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0" w:beforeAutospacing="0" w:after="0" w:afterAutospacing="0" w:line="576" w:lineRule="exact"/>
        <w:jc w:val="center"/>
        <w:outlineLvl w:val="0"/>
        <w:rPr>
          <w:rFonts w:ascii="Times New Roman" w:hAnsi="Times New Roman" w:eastAsia="方正小标宋简体"/>
          <w:kern w:val="2"/>
          <w:sz w:val="44"/>
          <w:szCs w:val="44"/>
          <w:lang w:val="zh-CN"/>
        </w:rPr>
      </w:pPr>
      <w:r>
        <w:rPr>
          <w:rFonts w:hint="eastAsia" w:ascii="Times New Roman" w:hAnsi="Times New Roman" w:eastAsia="方正小标宋简体"/>
          <w:kern w:val="2"/>
          <w:sz w:val="44"/>
          <w:szCs w:val="44"/>
          <w:lang w:val="zh-CN"/>
        </w:rPr>
        <w:t>《江门市实施标准化战略专项资金管理细则（征求意见稿）》</w:t>
      </w:r>
    </w:p>
    <w:p>
      <w:pPr>
        <w:pStyle w:val="6"/>
        <w:widowControl/>
        <w:spacing w:before="0" w:beforeAutospacing="0" w:after="0" w:afterAutospacing="0" w:line="576" w:lineRule="exact"/>
        <w:jc w:val="center"/>
        <w:outlineLvl w:val="0"/>
        <w:rPr>
          <w:rFonts w:ascii="Times New Roman" w:hAnsi="Times New Roman" w:eastAsia="方正小标宋简体"/>
          <w:kern w:val="2"/>
          <w:sz w:val="44"/>
          <w:szCs w:val="44"/>
          <w:lang w:val="zh-CN"/>
        </w:rPr>
      </w:pPr>
      <w:r>
        <w:rPr>
          <w:rFonts w:hint="eastAsia" w:ascii="Times New Roman" w:hAnsi="Times New Roman" w:eastAsia="方正小标宋简体"/>
          <w:kern w:val="2"/>
          <w:sz w:val="44"/>
          <w:szCs w:val="44"/>
          <w:lang w:val="zh-CN"/>
        </w:rPr>
        <w:t>意见建议采纳情况</w:t>
      </w:r>
    </w:p>
    <w:p>
      <w:pPr>
        <w:pStyle w:val="6"/>
        <w:widowControl/>
        <w:spacing w:before="0" w:beforeAutospacing="0" w:after="0" w:afterAutospacing="0" w:line="576" w:lineRule="exact"/>
        <w:jc w:val="center"/>
        <w:outlineLvl w:val="0"/>
        <w:rPr>
          <w:rFonts w:ascii="Times New Roman" w:hAnsi="Times New Roman" w:eastAsia="方正小标宋简体"/>
          <w:kern w:val="2"/>
          <w:sz w:val="32"/>
          <w:szCs w:val="32"/>
          <w:lang w:val="zh-CN"/>
        </w:rPr>
      </w:pPr>
    </w:p>
    <w:tbl>
      <w:tblPr>
        <w:tblStyle w:val="7"/>
        <w:tblW w:w="4950" w:type="pct"/>
        <w:jc w:val="center"/>
        <w:tblLayout w:type="fixed"/>
        <w:tblCellMar>
          <w:top w:w="0" w:type="dxa"/>
          <w:left w:w="108" w:type="dxa"/>
          <w:bottom w:w="0" w:type="dxa"/>
          <w:right w:w="108" w:type="dxa"/>
        </w:tblCellMar>
      </w:tblPr>
      <w:tblGrid>
        <w:gridCol w:w="643"/>
        <w:gridCol w:w="7375"/>
        <w:gridCol w:w="1019"/>
        <w:gridCol w:w="4995"/>
      </w:tblGrid>
      <w:tr>
        <w:tblPrEx>
          <w:tblCellMar>
            <w:top w:w="0" w:type="dxa"/>
            <w:left w:w="108" w:type="dxa"/>
            <w:bottom w:w="0" w:type="dxa"/>
            <w:right w:w="108" w:type="dxa"/>
          </w:tblCellMar>
        </w:tblPrEx>
        <w:trPr>
          <w:tblHeader/>
          <w:jc w:val="center"/>
        </w:trPr>
        <w:tc>
          <w:tcPr>
            <w:tcW w:w="22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2627" w:type="pct"/>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ascii="宋体" w:hAnsi="宋体" w:cs="宋体"/>
                <w:b/>
                <w:color w:val="000000"/>
                <w:sz w:val="24"/>
              </w:rPr>
            </w:pPr>
            <w:r>
              <w:rPr>
                <w:rFonts w:hint="eastAsia" w:ascii="宋体" w:hAnsi="宋体" w:cs="宋体"/>
                <w:b/>
                <w:color w:val="000000"/>
                <w:kern w:val="0"/>
                <w:sz w:val="24"/>
                <w:lang w:bidi="ar"/>
              </w:rPr>
              <w:t>意见或建议</w:t>
            </w:r>
          </w:p>
        </w:tc>
        <w:tc>
          <w:tcPr>
            <w:tcW w:w="3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采纳</w:t>
            </w:r>
          </w:p>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情况</w:t>
            </w:r>
          </w:p>
        </w:tc>
        <w:tc>
          <w:tcPr>
            <w:tcW w:w="1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理由</w:t>
            </w:r>
          </w:p>
        </w:tc>
      </w:tr>
      <w:tr>
        <w:tblPrEx>
          <w:tblCellMar>
            <w:top w:w="0" w:type="dxa"/>
            <w:left w:w="108" w:type="dxa"/>
            <w:bottom w:w="0" w:type="dxa"/>
            <w:right w:w="108" w:type="dxa"/>
          </w:tblCellMar>
        </w:tblPrEx>
        <w:trPr>
          <w:trHeight w:val="5656" w:hRule="atLeast"/>
          <w:jc w:val="center"/>
        </w:trPr>
        <w:tc>
          <w:tcPr>
            <w:tcW w:w="22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627"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建议在第十一条与第十二条之间增加一条，内容如下：申报单位由于标准发布时间与正式文本出版（或备案）时间差导致逾期未能申报上一年度的技术标准，给予宽限期，在本年度提出申请。（注：国际标准宽限期是从上一年度受理截止日推前 6 个月，其它类别标准宽限期是从上一年度受理截止日推前 6 个月）</w:t>
            </w:r>
          </w:p>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理由：旧版的管理办法和申报指南都没有提及由于出版滞后的处理指引，建议将这点写入本次的管理细则，政策依据： 1、国家标准管理办法第三十四条； 2、行业标准管理办法第十八条、第十九条、第二十条； 3、地方标准管理办法第二十条、第二十一条、第二十二条；</w:t>
            </w:r>
          </w:p>
          <w:p>
            <w:pPr>
              <w:widowControl/>
              <w:textAlignment w:val="center"/>
              <w:rPr>
                <w:rFonts w:ascii="宋体" w:hAnsi="宋体" w:cs="宋体"/>
                <w:color w:val="000000"/>
                <w:sz w:val="24"/>
              </w:rPr>
            </w:pPr>
            <w:r>
              <w:rPr>
                <w:rFonts w:hint="eastAsia" w:ascii="宋体" w:hAnsi="宋体" w:cs="宋体"/>
                <w:color w:val="000000"/>
                <w:kern w:val="0"/>
                <w:sz w:val="24"/>
                <w:lang w:bidi="ar"/>
              </w:rPr>
              <w:t>实例参考： 1、参照广东省、珠三角其它先进城市的申报指南及专项资金管理办法，都有提及由于标准文本出版时间差的客观原因可以顺延申报。 2、可参照《中山市实施标准化战略专项资金管理办法（2024 年修订）》、《2023年度广东省实施标准化战略专项资金项目库奖励性后补助项目申报指南》、佛山市 2024 年申报指南等等文本。 3、广东省市场监督管理局在批准省级地方标准发布公告时，都是写“标准文本六十日内备案通过后，可在标准委地方标准信息服务平台下载”，意思是备案后才能在官网查阅正文。</w:t>
            </w:r>
            <w:bookmarkStart w:id="0" w:name="_GoBack"/>
            <w:bookmarkEnd w:id="0"/>
          </w:p>
        </w:tc>
        <w:tc>
          <w:tcPr>
            <w:tcW w:w="363"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r>
              <w:rPr>
                <w:rFonts w:hint="eastAsia" w:ascii="宋体" w:hAnsi="宋体" w:cs="宋体"/>
                <w:color w:val="000000"/>
                <w:sz w:val="24"/>
              </w:rPr>
              <w:t>不采纳</w:t>
            </w:r>
          </w:p>
        </w:tc>
        <w:tc>
          <w:tcPr>
            <w:tcW w:w="1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sz w:val="24"/>
              </w:rPr>
            </w:pPr>
            <w:r>
              <w:rPr>
                <w:rFonts w:hint="eastAsia" w:ascii="宋体" w:hAnsi="宋体" w:cs="宋体"/>
                <w:color w:val="000000"/>
                <w:kern w:val="0"/>
                <w:sz w:val="24"/>
                <w:lang w:bidi="ar"/>
              </w:rPr>
              <w:t>关于标准制修订项目的申报受理期限及申报材料要求，属于实施标准化战略专项资金工作在操作层面的细节规定，每年都在征集通知和申报指南中详细明确。考虑到标准发布后到正式文本出版（或备案）前存在一定的延时和滞后，以后将原来仅以“标准发布日期”判定是否在受理期限范围，改为以标准的发布日期和实施日期作为双重判断基准，发布日期和实施日期两者中的任一个在受理时限范围内均可申报，但同一项目不能重复申报。</w:t>
            </w:r>
          </w:p>
        </w:tc>
      </w:tr>
      <w:tr>
        <w:tblPrEx>
          <w:tblCellMar>
            <w:top w:w="0" w:type="dxa"/>
            <w:left w:w="108" w:type="dxa"/>
            <w:bottom w:w="0" w:type="dxa"/>
            <w:right w:w="108" w:type="dxa"/>
          </w:tblCellMar>
        </w:tblPrEx>
        <w:trPr>
          <w:jc w:val="center"/>
        </w:trPr>
        <w:tc>
          <w:tcPr>
            <w:tcW w:w="22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2627"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建议第三十条的内容修改为：拟资助标准的协助起草单位排序在第 2—5 位、 第 6—10 位、第 11—15 位及第 16 位以后的，分别按申报年度该项目实际资助水平的 100%、80％、65％、50％给予资助。</w:t>
            </w:r>
          </w:p>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理由：1、原文第2-5位按 80%的表达与第六条关于协助制定的资助金额表达相矛盾，应按100%才正确。 2、建议不使用原文30%的比例，因为原文第六条关于协助制定的资助金额基数较低，遇到财政不充足时还会打打，这样会导致最终资助金额太低，影响企业参与的积极性。另外，结合我市企业在全国各行业的地位，排名相对靠后是客观事实，将实际资助水平定得过低，无法调动企业的积极性参与标准制定。 3、由于国标委对国家标准、行业标准进行数量控制，现在能成功立项的项目一年比一年少，我市企业能参与的范围也越来越小，目前我市应抓紧时间发动企业多参与标准的制定，所以不能将资助比例调得太低。</w:t>
            </w: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部分采纳</w:t>
            </w:r>
          </w:p>
        </w:tc>
        <w:tc>
          <w:tcPr>
            <w:tcW w:w="1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1.修改为：拟资助标准的协助起草单位排序在第 2—5 位、 第 6—10 位、第 11—15 位及第 16位以后的，分别按申报年度该项目实际资助水平的100%、75％、50％、30％给予资助。</w:t>
            </w:r>
          </w:p>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2.对起草单位排名在第16位及以后的资助比例定为30%，是因为江门市的专项资金总额有限，应将有限资金向实质性或参与深度靠前的标准制修订单位倾斜，以提高资金的使用效率，增强专项资金的引导激励作用。</w:t>
            </w:r>
          </w:p>
        </w:tc>
      </w:tr>
      <w:tr>
        <w:tblPrEx>
          <w:tblCellMar>
            <w:top w:w="0" w:type="dxa"/>
            <w:left w:w="108" w:type="dxa"/>
            <w:bottom w:w="0" w:type="dxa"/>
            <w:right w:w="108" w:type="dxa"/>
          </w:tblCellMar>
        </w:tblPrEx>
        <w:trPr>
          <w:jc w:val="center"/>
        </w:trPr>
        <w:tc>
          <w:tcPr>
            <w:tcW w:w="22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w:t>
            </w:r>
          </w:p>
        </w:tc>
        <w:tc>
          <w:tcPr>
            <w:tcW w:w="2627"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建议在第三十一条的最后一行，加上下面一行，以免引起理解上的歧义：注：多个单位是指市本级及三区范围内出现的两家（含两家）以上的单位。</w:t>
            </w:r>
          </w:p>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理由：原文的表达基本是沿用了旧版管理办法的文字，“多个单位”往往会给阅读者造成理解上的困难，建议在本次修订中加以备注。</w:t>
            </w: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不采纳</w:t>
            </w:r>
          </w:p>
        </w:tc>
        <w:tc>
          <w:tcPr>
            <w:tcW w:w="1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本细则的第二条、第三条已首先明确和限定专项资金的资助对象和能申请专项资金的主体，其行政区划只能是市直及三区（蓬江区、江海区、新会区）范围，不会出现理解歧义。</w:t>
            </w:r>
          </w:p>
        </w:tc>
      </w:tr>
      <w:tr>
        <w:tblPrEx>
          <w:tblCellMar>
            <w:top w:w="0" w:type="dxa"/>
            <w:left w:w="108" w:type="dxa"/>
            <w:bottom w:w="0" w:type="dxa"/>
            <w:right w:w="108" w:type="dxa"/>
          </w:tblCellMar>
        </w:tblPrEx>
        <w:trPr>
          <w:jc w:val="center"/>
        </w:trPr>
        <w:tc>
          <w:tcPr>
            <w:tcW w:w="22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2627"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建议第三十二条 修改为：同一单位申报的系列标准或多项相近标准视单位所属行业类别决定是否合并为一类标准予以资助；同一单位（包括同一法人代表注册的多家单位或同一组织注册的多家单位）在同一年度获得的资助总额上限原则上不得超过当年度专项资金中市本级部分的 20%。注：“单位所属行业类别”是指申报单位属于制造业还是非制造业。制造业涉及的系列标准或相近标准不进行合并；非制造业涉及的系列标准或相近标准按各单项标准资助额度之和的 70%计算。</w:t>
            </w:r>
          </w:p>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理由：1、原文“合并为一类标准并按一项标准予以资助”特别是“按一项标准予以资助”违公平原则。 2、目前国家标准有很大一部分是由国际标准转化而来，国际标准等同或修改转化为我国标准，是减少技术性贸易壁垒的重要手段，国际标准按一类标准拆分成多个部分标准存在，是因为这类标准涉及的内容太过庞大，必需进行拆分，在转化为国家标准时，都是在遵循国际标准的做法。按原文的表述，简单的合并为一类标准并按一项标准予以资助，对参与者来说是不公平的。3、按照 GBT/ 1.1规定太过庞大的标准需要拆分为部分标准（也就是系列标准），拆分后部分标准并不等于将全文内容进行简单拆分，而是要经过严格的审批，每一部分标准都要经历立项-起草-征求意见-审查-报批-发布等全流程，并非像之前的团体标准那样乱象丛生。 4、按制造业与非制造业区分对待是与江门坚持工业立市、坚持以制造业当家的定位相呼应，专项资金向制造业倾斜正是体现制造业在我市的地位。5、“非制造业涉及的系列标准或相近标准按各单项标准资助额度之和的70%计算”是为了体现多劳多得的原则。 6、参考2023 年及之前珠三角其它先进城市以及广东省的标准化奖补公告，也没有出现过合并后只按一项标准予以资助的情况。 7、参考2024年5月27日公示的“2024 年广东省实施标准化战略专项资金奖励性后补助项目评审结果”，广东省级已没有对同一类标准进行合并，而是按单独的项目处理。</w:t>
            </w: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不采纳</w:t>
            </w:r>
          </w:p>
        </w:tc>
        <w:tc>
          <w:tcPr>
            <w:tcW w:w="1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sz w:val="24"/>
              </w:rPr>
            </w:pPr>
            <w:r>
              <w:rPr>
                <w:rFonts w:hint="eastAsia" w:ascii="宋体" w:hAnsi="宋体"/>
                <w:sz w:val="24"/>
              </w:rPr>
              <w:t>同一单位是指名称、法人代表相同的单位。</w:t>
            </w:r>
            <w:r>
              <w:rPr>
                <w:rFonts w:hint="eastAsia" w:ascii="宋体" w:hAnsi="宋体" w:cs="宋体"/>
                <w:color w:val="000000"/>
                <w:kern w:val="0"/>
                <w:sz w:val="24"/>
                <w:lang w:bidi="ar"/>
              </w:rPr>
              <w:t>因江门市的专项资金总额有限，对同一年度申报的同系列或多项相近标准进行合并，是确保有限资金的奖励面更广，激励更多企业开展标准化工作，制定和实施标准。</w:t>
            </w:r>
          </w:p>
        </w:tc>
      </w:tr>
      <w:tr>
        <w:tblPrEx>
          <w:tblCellMar>
            <w:top w:w="0" w:type="dxa"/>
            <w:left w:w="108" w:type="dxa"/>
            <w:bottom w:w="0" w:type="dxa"/>
            <w:right w:w="108" w:type="dxa"/>
          </w:tblCellMar>
        </w:tblPrEx>
        <w:trPr>
          <w:jc w:val="center"/>
        </w:trPr>
        <w:tc>
          <w:tcPr>
            <w:tcW w:w="229"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2627"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本次征求意见稿涉及的内容较具体，但同时也是最苛刻的，特别是原文第三十条与第三十二条的叠加，无疑就将企业箍得太紧了，这将直接影响企业参与的积极性，对我市标准化政策的引导作用造成影响。</w:t>
            </w:r>
          </w:p>
        </w:tc>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不采纳</w:t>
            </w:r>
          </w:p>
        </w:tc>
        <w:tc>
          <w:tcPr>
            <w:tcW w:w="1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sz w:val="24"/>
              </w:rPr>
            </w:pPr>
            <w:r>
              <w:rPr>
                <w:rFonts w:hint="eastAsia" w:ascii="宋体" w:hAnsi="宋体"/>
                <w:sz w:val="24"/>
              </w:rPr>
              <w:t>《管理细则》的修订，目的是提高适用性、科学性和可行性；以及进一步加强标准化战略专项资金的严格公正管理和科学有效使用。</w:t>
            </w:r>
          </w:p>
        </w:tc>
      </w:tr>
    </w:tbl>
    <w:p>
      <w:pPr>
        <w:pStyle w:val="6"/>
        <w:widowControl/>
        <w:spacing w:before="0" w:beforeAutospacing="0" w:after="0" w:afterAutospacing="0" w:line="576" w:lineRule="exact"/>
        <w:jc w:val="center"/>
        <w:rPr>
          <w:rFonts w:ascii="宋体" w:hAnsi="宋体" w:cs="宋体"/>
          <w:kern w:val="2"/>
        </w:rPr>
      </w:pPr>
    </w:p>
    <w:sectPr>
      <w:footerReference r:id="rId3" w:type="default"/>
      <w:pgSz w:w="16838" w:h="11906" w:orient="landscape"/>
      <w:pgMar w:top="1418" w:right="1440" w:bottom="1418"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path/>
          <v:fill on="f" focussize="0,0"/>
          <v:stroke on="f" weight="0.5pt" joinstyle="miter"/>
          <v:imagedata o:title=""/>
          <o:lock v:ext="edit"/>
          <v:textbox inset="0mm,0mm,0mm,0mm" style="mso-fit-shape-to-text:t;">
            <w:txbxContent>
              <w:p>
                <w:pPr>
                  <w:pStyle w:val="3"/>
                  <w:rPr>
                    <w:rFonts w:ascii="宋体" w:hAnsi="宋体"/>
                    <w:sz w:val="21"/>
                    <w:szCs w:val="21"/>
                  </w:rPr>
                </w:pPr>
                <w:r>
                  <w:rPr>
                    <w:rFonts w:ascii="宋体" w:hAnsi="宋体"/>
                    <w:sz w:val="21"/>
                    <w:szCs w:val="21"/>
                  </w:rPr>
                  <w:t xml:space="preserve">— </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rPr>
                  <w:t>3</w:t>
                </w:r>
                <w:r>
                  <w:rPr>
                    <w:rFonts w:ascii="宋体" w:hAnsi="宋体"/>
                    <w:sz w:val="21"/>
                    <w:szCs w:val="21"/>
                  </w:rPr>
                  <w:fldChar w:fldCharType="end"/>
                </w:r>
                <w:r>
                  <w:rPr>
                    <w:rFonts w:ascii="宋体" w:hAnsi="宋体"/>
                    <w:sz w:val="21"/>
                    <w:szCs w:val="21"/>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FmNjllZmFjNzU5YjQ3NDQyYWY3MGJkMGQ5NjMzZmEifQ=="/>
  </w:docVars>
  <w:rsids>
    <w:rsidRoot w:val="76FF4CB1"/>
    <w:rsid w:val="000E0017"/>
    <w:rsid w:val="00153ECC"/>
    <w:rsid w:val="00174405"/>
    <w:rsid w:val="0021775E"/>
    <w:rsid w:val="002F3185"/>
    <w:rsid w:val="002F7303"/>
    <w:rsid w:val="00380BF9"/>
    <w:rsid w:val="00456116"/>
    <w:rsid w:val="00482B78"/>
    <w:rsid w:val="004C13D6"/>
    <w:rsid w:val="005413E7"/>
    <w:rsid w:val="005F7885"/>
    <w:rsid w:val="006144AA"/>
    <w:rsid w:val="00621EEF"/>
    <w:rsid w:val="006421FA"/>
    <w:rsid w:val="00661FCD"/>
    <w:rsid w:val="006E2C92"/>
    <w:rsid w:val="006F2103"/>
    <w:rsid w:val="00727DE1"/>
    <w:rsid w:val="007B00F3"/>
    <w:rsid w:val="007F1849"/>
    <w:rsid w:val="00885886"/>
    <w:rsid w:val="008F3D1E"/>
    <w:rsid w:val="009751A8"/>
    <w:rsid w:val="009856F9"/>
    <w:rsid w:val="00A525B6"/>
    <w:rsid w:val="00AA24A4"/>
    <w:rsid w:val="00B2743B"/>
    <w:rsid w:val="00BF07E7"/>
    <w:rsid w:val="00C12B20"/>
    <w:rsid w:val="00C130F7"/>
    <w:rsid w:val="00C72032"/>
    <w:rsid w:val="00D34D09"/>
    <w:rsid w:val="00D60605"/>
    <w:rsid w:val="00E53334"/>
    <w:rsid w:val="00E70B8D"/>
    <w:rsid w:val="00E81759"/>
    <w:rsid w:val="00F01473"/>
    <w:rsid w:val="00F51CE3"/>
    <w:rsid w:val="00F91DD8"/>
    <w:rsid w:val="00FC21B8"/>
    <w:rsid w:val="00FC5426"/>
    <w:rsid w:val="056B4982"/>
    <w:rsid w:val="17D79D0A"/>
    <w:rsid w:val="17F93C5F"/>
    <w:rsid w:val="3DCAFC1F"/>
    <w:rsid w:val="3F7F5329"/>
    <w:rsid w:val="3FFD52F7"/>
    <w:rsid w:val="6E1C6D0A"/>
    <w:rsid w:val="6FFFD25C"/>
    <w:rsid w:val="76FF4CB1"/>
    <w:rsid w:val="77F396EC"/>
    <w:rsid w:val="797B510C"/>
    <w:rsid w:val="7C1EEF04"/>
    <w:rsid w:val="7EFD46EA"/>
    <w:rsid w:val="7FFFC5F1"/>
    <w:rsid w:val="AFB6CD0A"/>
    <w:rsid w:val="B7578408"/>
    <w:rsid w:val="B98F3B95"/>
    <w:rsid w:val="CFAB568F"/>
    <w:rsid w:val="EFDFA9D3"/>
    <w:rsid w:val="F17B05F7"/>
    <w:rsid w:val="FBFF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0"/>
    <w:pPr>
      <w:ind w:left="420" w:leftChars="200"/>
    </w:pPr>
    <w:rPr>
      <w:rFonts w:hint="eastAsia"/>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页眉 Char"/>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399</Words>
  <Characters>2277</Characters>
  <Lines>18</Lines>
  <Paragraphs>5</Paragraphs>
  <TotalTime>292</TotalTime>
  <ScaleCrop>false</ScaleCrop>
  <LinksUpToDate>false</LinksUpToDate>
  <CharactersWithSpaces>2671</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2023-08-28T08:27:00Z</dcterms:created>
  <dc:creator>greatwall</dc:creator>
  <cp:lastModifiedBy>uos</cp:lastModifiedBy>
  <dcterms:modified xsi:type="dcterms:W3CDTF">2024-08-02T15:15:22Z</dcterms:modified>
  <dc:title>江门市市场监督管理局关于在企业登记中推行“容缺制度”的通知（征求意</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8B091626132443C18EADD4C947E13587_12</vt:lpwstr>
  </property>
</Properties>
</file>