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cstheme="minorBidi"/>
          <w:b/>
          <w:sz w:val="28"/>
          <w:szCs w:val="28"/>
          <w:lang w:val="en-US" w:eastAsia="zh-CN"/>
          <w14:ligatures w14:val="none"/>
        </w:rPr>
      </w:pPr>
      <w:r>
        <w:rPr>
          <w:rFonts w:hint="eastAsia" w:cstheme="minorBidi"/>
          <w:b/>
          <w:sz w:val="28"/>
          <w:szCs w:val="28"/>
          <w:lang w:val="en-US" w:eastAsia="zh-CN"/>
          <w14:ligatures w14:val="none"/>
        </w:rPr>
        <w:t>附件</w:t>
      </w:r>
    </w:p>
    <w:p>
      <w:pPr>
        <w:jc w:val="center"/>
        <w:rPr>
          <w:rFonts w:hint="eastAsia" w:asciiTheme="minorHAnsi" w:hAnsiTheme="minorHAnsi" w:eastAsiaTheme="minorEastAsia" w:cstheme="minorBidi"/>
          <w:b/>
          <w:sz w:val="44"/>
          <w:szCs w:val="22"/>
          <w:lang w:val="en-US" w:eastAsia="zh-CN"/>
          <w14:ligatures w14:val="none"/>
        </w:rPr>
      </w:pPr>
      <w:r>
        <w:rPr>
          <w:rFonts w:hint="eastAsia" w:cstheme="minorBidi"/>
          <w:b/>
          <w:sz w:val="44"/>
          <w:szCs w:val="22"/>
          <w:lang w:val="en-US" w:eastAsia="zh-CN"/>
          <w14:ligatures w14:val="none"/>
        </w:rPr>
        <w:t xml:space="preserve">  </w:t>
      </w:r>
      <w:r>
        <w:rPr>
          <w:rFonts w:hint="eastAsia" w:asciiTheme="minorHAnsi" w:hAnsiTheme="minorHAnsi" w:eastAsiaTheme="minorEastAsia" w:cstheme="minorBidi"/>
          <w:b/>
          <w:sz w:val="44"/>
          <w:szCs w:val="22"/>
          <w:lang w:val="en-US" w:eastAsia="zh-CN"/>
          <w14:ligatures w14:val="none"/>
        </w:rPr>
        <w:t>202</w:t>
      </w:r>
      <w:r>
        <w:rPr>
          <w:rFonts w:hint="eastAsia" w:cstheme="minorBidi"/>
          <w:b/>
          <w:sz w:val="44"/>
          <w:szCs w:val="22"/>
          <w:lang w:val="en-US" w:eastAsia="zh-CN"/>
          <w14:ligatures w14:val="none"/>
        </w:rPr>
        <w:t>4</w:t>
      </w:r>
      <w:r>
        <w:rPr>
          <w:rFonts w:hint="eastAsia" w:asciiTheme="minorHAnsi" w:hAnsiTheme="minorHAnsi" w:eastAsiaTheme="minorEastAsia" w:cstheme="minorBidi"/>
          <w:b/>
          <w:sz w:val="44"/>
          <w:szCs w:val="22"/>
          <w:lang w:val="en-US" w:eastAsia="zh-CN"/>
          <w14:ligatures w14:val="none"/>
        </w:rPr>
        <w:t>年江门市建设工程勘察设计文件</w:t>
      </w:r>
    </w:p>
    <w:p>
      <w:pPr>
        <w:jc w:val="center"/>
        <w:rPr>
          <w:b/>
          <w:sz w:val="44"/>
        </w:rPr>
      </w:pPr>
      <w:r>
        <w:rPr>
          <w:rFonts w:hint="eastAsia" w:cstheme="minorBidi"/>
          <w:b/>
          <w:sz w:val="44"/>
          <w:szCs w:val="22"/>
          <w:lang w:val="en-US" w:eastAsia="zh-CN"/>
          <w14:ligatures w14:val="none"/>
        </w:rPr>
        <w:t xml:space="preserve"> </w:t>
      </w:r>
      <w:r>
        <w:rPr>
          <w:rFonts w:hint="eastAsia" w:asciiTheme="minorHAnsi" w:hAnsiTheme="minorHAnsi" w:eastAsiaTheme="minorEastAsia" w:cstheme="minorBidi"/>
          <w:b/>
          <w:sz w:val="44"/>
          <w:szCs w:val="22"/>
          <w:lang w:val="en-US" w:eastAsia="zh-CN"/>
          <w14:ligatures w14:val="none"/>
        </w:rPr>
        <w:t>质量检查服务项目采购文件</w:t>
      </w:r>
    </w:p>
    <w:p>
      <w:pPr>
        <w:spacing w:line="480" w:lineRule="exact"/>
        <w:ind w:firstLine="642"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一、项目采购内容</w:t>
      </w:r>
    </w:p>
    <w:p>
      <w:pPr>
        <w:spacing w:line="48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sz w:val="32"/>
          <w:szCs w:val="32"/>
        </w:rPr>
        <w:t xml:space="preserve">  1.协助</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年江门市建设工程勘察设计文件质量检查。</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2.遵循回避原则，组织专家（相应专业的高级工程师或者一级注册师,优先选用省或江门相关专家库专家）对我局指定的15个项目的施工图设计文件进行质量检查，整合专家意见出具项目检查意见。</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3.回应确认施工图设计文件责任单位对检查意见提出的解释说明和整改措施。</w:t>
      </w:r>
    </w:p>
    <w:p>
      <w:pPr>
        <w:spacing w:line="480" w:lineRule="exact"/>
        <w:ind w:firstLine="629" w:firstLineChars="196"/>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二、项目服务期</w:t>
      </w:r>
    </w:p>
    <w:p>
      <w:pPr>
        <w:spacing w:line="480" w:lineRule="exact"/>
        <w:ind w:firstLine="627" w:firstLineChars="196"/>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合同签订并生效后四个月内完成。</w:t>
      </w:r>
    </w:p>
    <w:p>
      <w:pPr>
        <w:spacing w:line="480" w:lineRule="exact"/>
        <w:ind w:firstLine="629" w:firstLineChars="196"/>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三、采购方式</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本项目采购不在政府采购目录内，且在中介超市无该类别的服务项目，拟根据《江门市住房和城乡建设局自行采购管理办法》</w:t>
      </w:r>
      <w:r>
        <w:rPr>
          <w:rFonts w:hint="eastAsia" w:ascii="方正仿宋_GBK" w:hAnsi="方正仿宋_GBK" w:eastAsia="方正仿宋_GBK" w:cs="方正仿宋_GBK"/>
          <w:sz w:val="32"/>
          <w:szCs w:val="32"/>
          <w:lang w:eastAsia="zh-CN"/>
        </w:rPr>
        <w:t>开展公开采购。</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TW"/>
        </w:rPr>
        <w:t>供应商根据采购服务要求编写响应文件，包括但不仅限于以下内容：</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lang w:eastAsia="zh-TW"/>
        </w:rPr>
        <w:t>加盖公章的项目响应说明，内容应包括：</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服务项目的实施计划、方案、完成时限等；</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服务项目的详细报价（含各子项的报价清单）；</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其他相关业务优势等情况。</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TW"/>
        </w:rPr>
        <w:t>相关业绩、资质证明文件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营业执照等。</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3</w:t>
      </w:r>
      <w:r>
        <w:rPr>
          <w:rFonts w:hint="eastAsia" w:ascii="方正仿宋_GBK" w:hAnsi="方正仿宋_GBK" w:eastAsia="方正仿宋_GBK" w:cs="方正仿宋_GBK"/>
          <w:color w:val="auto"/>
          <w:sz w:val="32"/>
          <w:szCs w:val="32"/>
          <w:highlight w:val="none"/>
          <w:lang w:val="en-US" w:eastAsia="zh-TW"/>
        </w:rPr>
        <w:t>.</w:t>
      </w:r>
      <w:r>
        <w:rPr>
          <w:rFonts w:hint="eastAsia" w:ascii="方正仿宋_GBK" w:hAnsi="方正仿宋_GBK" w:eastAsia="方正仿宋_GBK" w:cs="方正仿宋_GBK"/>
          <w:color w:val="auto"/>
          <w:sz w:val="32"/>
          <w:szCs w:val="32"/>
          <w:highlight w:val="none"/>
          <w:lang w:eastAsia="zh-TW"/>
        </w:rPr>
        <w:t>响应期限：从采购需求公告之日起</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lang w:eastAsia="zh-TW"/>
        </w:rPr>
        <w:t>个工作日内将响应文件纸质材料</w:t>
      </w:r>
      <w:r>
        <w:rPr>
          <w:rFonts w:hint="eastAsia" w:ascii="方正仿宋_GBK" w:hAnsi="方正仿宋_GBK" w:eastAsia="方正仿宋_GBK" w:cs="方正仿宋_GBK"/>
          <w:color w:val="auto"/>
          <w:sz w:val="32"/>
          <w:szCs w:val="32"/>
          <w:highlight w:val="none"/>
          <w:lang w:val="en-US" w:eastAsia="zh-TW"/>
        </w:rPr>
        <w:t>(密封)</w:t>
      </w:r>
      <w:r>
        <w:rPr>
          <w:rFonts w:hint="eastAsia" w:ascii="方正仿宋_GBK" w:hAnsi="方正仿宋_GBK" w:eastAsia="方正仿宋_GBK" w:cs="方正仿宋_GBK"/>
          <w:color w:val="auto"/>
          <w:sz w:val="32"/>
          <w:szCs w:val="32"/>
          <w:highlight w:val="none"/>
          <w:lang w:eastAsia="zh-TW"/>
        </w:rPr>
        <w:t>交至江门市住房和城乡建设局（江门市江海区江海一路83号）</w:t>
      </w:r>
      <w:r>
        <w:rPr>
          <w:rFonts w:hint="eastAsia" w:ascii="方正仿宋_GBK" w:hAnsi="方正仿宋_GBK" w:eastAsia="方正仿宋_GBK" w:cs="方正仿宋_GBK"/>
          <w:color w:val="auto"/>
          <w:sz w:val="32"/>
          <w:szCs w:val="32"/>
          <w:highlight w:val="none"/>
          <w:lang w:val="en-US" w:eastAsia="zh-TW"/>
        </w:rPr>
        <w:t>9</w:t>
      </w:r>
      <w:r>
        <w:rPr>
          <w:rFonts w:hint="eastAsia" w:ascii="方正仿宋_GBK" w:hAnsi="方正仿宋_GBK" w:eastAsia="方正仿宋_GBK" w:cs="方正仿宋_GBK"/>
          <w:color w:val="auto"/>
          <w:sz w:val="32"/>
          <w:szCs w:val="32"/>
          <w:highlight w:val="none"/>
          <w:lang w:eastAsia="zh-TW"/>
        </w:rPr>
        <w:t>楼</w:t>
      </w:r>
      <w:r>
        <w:rPr>
          <w:rFonts w:hint="eastAsia" w:ascii="方正仿宋_GBK" w:hAnsi="方正仿宋_GBK" w:eastAsia="方正仿宋_GBK" w:cs="方正仿宋_GBK"/>
          <w:color w:val="auto"/>
          <w:sz w:val="32"/>
          <w:szCs w:val="32"/>
          <w:highlight w:val="none"/>
          <w:lang w:val="en-US" w:eastAsia="zh-TW"/>
        </w:rPr>
        <w:t>92</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TW"/>
        </w:rPr>
        <w:t>办公室（联系人：</w:t>
      </w:r>
      <w:r>
        <w:rPr>
          <w:rFonts w:hint="eastAsia" w:ascii="方正仿宋_GBK" w:hAnsi="方正仿宋_GBK" w:eastAsia="方正仿宋_GBK" w:cs="方正仿宋_GBK"/>
          <w:color w:val="auto"/>
          <w:sz w:val="32"/>
          <w:szCs w:val="32"/>
          <w:highlight w:val="none"/>
          <w:lang w:eastAsia="zh-CN"/>
        </w:rPr>
        <w:t>陈小姐</w:t>
      </w:r>
      <w:r>
        <w:rPr>
          <w:rFonts w:hint="eastAsia" w:ascii="方正仿宋_GBK" w:hAnsi="方正仿宋_GBK" w:eastAsia="方正仿宋_GBK" w:cs="方正仿宋_GBK"/>
          <w:color w:val="auto"/>
          <w:sz w:val="32"/>
          <w:szCs w:val="32"/>
          <w:highlight w:val="none"/>
          <w:lang w:val="en-US" w:eastAsia="zh-TW"/>
        </w:rPr>
        <w:t>,联系电话：38316</w:t>
      </w:r>
      <w:r>
        <w:rPr>
          <w:rFonts w:hint="eastAsia" w:ascii="方正仿宋_GBK" w:hAnsi="方正仿宋_GBK" w:eastAsia="方正仿宋_GBK" w:cs="方正仿宋_GBK"/>
          <w:color w:val="auto"/>
          <w:sz w:val="32"/>
          <w:szCs w:val="32"/>
          <w:highlight w:val="none"/>
          <w:lang w:val="en-US" w:eastAsia="zh-CN"/>
        </w:rPr>
        <w:t>89</w:t>
      </w:r>
      <w:r>
        <w:rPr>
          <w:rFonts w:hint="eastAsia" w:ascii="方正仿宋_GBK" w:hAnsi="方正仿宋_GBK" w:eastAsia="方正仿宋_GBK" w:cs="方正仿宋_GBK"/>
          <w:color w:val="auto"/>
          <w:sz w:val="32"/>
          <w:szCs w:val="32"/>
          <w:highlight w:val="none"/>
          <w:lang w:eastAsia="zh-TW"/>
        </w:rPr>
        <w:t>）。响应纸质材料逾期提交或未密封</w:t>
      </w:r>
      <w:r>
        <w:rPr>
          <w:rFonts w:hint="eastAsia" w:ascii="方正仿宋_GBK" w:hAnsi="方正仿宋_GBK" w:eastAsia="方正仿宋_GBK" w:cs="方正仿宋_GBK"/>
          <w:color w:val="auto"/>
          <w:sz w:val="32"/>
          <w:szCs w:val="32"/>
          <w:highlight w:val="none"/>
          <w:lang w:val="en-US" w:eastAsia="zh-TW"/>
        </w:rPr>
        <w:t>,视为无效</w:t>
      </w:r>
      <w:r>
        <w:rPr>
          <w:rFonts w:hint="eastAsia" w:ascii="方正仿宋_GBK" w:hAnsi="方正仿宋_GBK" w:eastAsia="方正仿宋_GBK" w:cs="方正仿宋_GBK"/>
          <w:color w:val="auto"/>
          <w:sz w:val="32"/>
          <w:szCs w:val="32"/>
          <w:highlight w:val="none"/>
          <w:lang w:eastAsia="zh-TW"/>
        </w:rPr>
        <w:t>。</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4</w:t>
      </w:r>
      <w:r>
        <w:rPr>
          <w:rFonts w:hint="eastAsia" w:ascii="方正仿宋_GBK" w:hAnsi="方正仿宋_GBK" w:eastAsia="方正仿宋_GBK" w:cs="方正仿宋_GBK"/>
          <w:color w:val="auto"/>
          <w:sz w:val="32"/>
          <w:szCs w:val="32"/>
          <w:highlight w:val="none"/>
          <w:lang w:val="en-US" w:eastAsia="zh-TW"/>
        </w:rPr>
        <w:t>.</w:t>
      </w:r>
      <w:r>
        <w:rPr>
          <w:rFonts w:hint="eastAsia" w:ascii="方正仿宋_GBK" w:hAnsi="方正仿宋_GBK" w:eastAsia="方正仿宋_GBK" w:cs="方正仿宋_GBK"/>
          <w:color w:val="auto"/>
          <w:sz w:val="32"/>
          <w:szCs w:val="32"/>
          <w:highlight w:val="none"/>
          <w:lang w:eastAsia="zh-TW"/>
        </w:rPr>
        <w:t>响应期限结束后，响应供应商不足三家的不开标，采购人重新招标；响应供应商不少于三家的，正常开标，并采用评审的方式进行择优，对供应商的供应文件按附表中的评审内容进行评审，最后得出其综合得分，得分最高者即为中选供应商。</w:t>
      </w:r>
    </w:p>
    <w:p>
      <w:pPr>
        <w:numPr>
          <w:ilvl w:val="0"/>
          <w:numId w:val="1"/>
        </w:numPr>
        <w:spacing w:line="480" w:lineRule="exact"/>
        <w:ind w:firstLine="642"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供应商资格要求</w:t>
      </w:r>
    </w:p>
    <w:p>
      <w:pPr>
        <w:keepNext w:val="0"/>
        <w:keepLines w:val="0"/>
        <w:pageBreakBefore w:val="0"/>
        <w:widowControl/>
        <w:numPr>
          <w:ilvl w:val="255"/>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供应商应当是具有合法经营资格的法人或其他组织，提供有效的企业法人营业执照（或事业法人登记证）或者其他组织的营业执照复印件。</w:t>
      </w:r>
    </w:p>
    <w:p>
      <w:pPr>
        <w:numPr>
          <w:ilvl w:val="255"/>
          <w:numId w:val="0"/>
        </w:num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2.供应商应具备《政府采购法》第二十二条规定的条件，具有合法经营资格的法人、自然人或者其他组织。</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spacing w:line="480" w:lineRule="exact"/>
        <w:ind w:firstLine="629" w:firstLineChars="196"/>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五、项目服务费用及结算方式</w:t>
      </w:r>
    </w:p>
    <w:p>
      <w:pPr>
        <w:spacing w:line="480" w:lineRule="exact"/>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本项目服务采购费用是完成服务内容及要求的含税全包价，采取总价包干方式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kern w:val="0"/>
          <w:sz w:val="32"/>
          <w:szCs w:val="32"/>
          <w:highlight w:val="none"/>
          <w:lang w:val="zh-TW"/>
        </w:rPr>
        <w:t>所有价格变动的风险均由</w:t>
      </w:r>
      <w:r>
        <w:rPr>
          <w:rFonts w:hint="eastAsia" w:ascii="方正仿宋_GBK" w:hAnsi="方正仿宋_GBK" w:eastAsia="方正仿宋_GBK" w:cs="方正仿宋_GBK"/>
          <w:kern w:val="0"/>
          <w:sz w:val="32"/>
          <w:szCs w:val="32"/>
          <w:highlight w:val="none"/>
          <w:lang w:val="zh-TW" w:eastAsia="zh-CN"/>
        </w:rPr>
        <w:t>供应商</w:t>
      </w:r>
      <w:r>
        <w:rPr>
          <w:rFonts w:hint="eastAsia" w:ascii="方正仿宋_GBK" w:hAnsi="方正仿宋_GBK" w:eastAsia="方正仿宋_GBK" w:cs="方正仿宋_GBK"/>
          <w:kern w:val="0"/>
          <w:sz w:val="32"/>
          <w:szCs w:val="32"/>
          <w:highlight w:val="none"/>
          <w:lang w:val="zh-TW"/>
        </w:rPr>
        <w:t>承担。</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本项目服务采购费用资金概算为人民币</w:t>
      </w:r>
      <w:r>
        <w:rPr>
          <w:rFonts w:hint="eastAsia" w:ascii="方正仿宋_GBK" w:hAnsi="方正仿宋_GBK" w:eastAsia="方正仿宋_GBK" w:cs="方正仿宋_GBK"/>
          <w:sz w:val="32"/>
          <w:szCs w:val="32"/>
          <w:lang w:eastAsia="zh-CN"/>
        </w:rPr>
        <w:t>壹拾</w:t>
      </w:r>
      <w:r>
        <w:rPr>
          <w:rFonts w:hint="eastAsia" w:ascii="方正仿宋_GBK" w:hAnsi="方正仿宋_GBK" w:eastAsia="方正仿宋_GBK" w:cs="方正仿宋_GBK"/>
          <w:sz w:val="32"/>
          <w:szCs w:val="32"/>
        </w:rPr>
        <w:t>万元整（￥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 xml:space="preserve">0,000.00元）本项目付款方式为分二期支付: </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第一期在合同签订并生效后</w:t>
      </w:r>
      <w:r>
        <w:rPr>
          <w:rFonts w:hint="eastAsia" w:ascii="方正仿宋_GBK" w:hAnsi="方正仿宋_GBK" w:eastAsia="方正仿宋_GBK" w:cs="方正仿宋_GBK"/>
          <w:sz w:val="32"/>
          <w:szCs w:val="32"/>
          <w:lang w:val="en-US" w:eastAsia="zh-CN"/>
        </w:rPr>
        <w:t>30个工作日内</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采购人</w:t>
      </w:r>
      <w:r>
        <w:rPr>
          <w:rFonts w:hint="eastAsia" w:ascii="方正仿宋_GBK" w:hAnsi="方正仿宋_GBK" w:eastAsia="方正仿宋_GBK" w:cs="方正仿宋_GBK"/>
          <w:sz w:val="32"/>
          <w:szCs w:val="32"/>
        </w:rPr>
        <w:t>向供应商支付合同总价中的60%；</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第二期在完成服务工作且</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rPr>
        <w:t>采购人验收后，支付合同剩余价款。</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因采购人使用的是财政资金，在前款规定的付款时间为采购经办人发起支付申请手续的时间（不含相关手续审核时间），在规定时间内发起支付申请手续后即视为采购人已经按期支付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0"/>
          <w:szCs w:val="30"/>
          <w:u w:val="none"/>
        </w:rPr>
        <w:t>因资金审批、财政拨款延迟等原因导致未能按时付款，采购人不构成违约</w:t>
      </w:r>
      <w:r>
        <w:rPr>
          <w:rFonts w:hint="eastAsia" w:ascii="方正仿宋_GBK" w:hAnsi="方正仿宋_GBK" w:eastAsia="方正仿宋_GBK" w:cs="方正仿宋_GBK"/>
          <w:sz w:val="32"/>
          <w:szCs w:val="32"/>
        </w:rPr>
        <w:t>。</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供应商向采购人申请付款时，需先提供相当于采购人付款金额的发票，且收款方、出具发票方、均必须与供应商合同名称一致，否则采购人有权拒绝付款。</w:t>
      </w:r>
    </w:p>
    <w:p>
      <w:pPr>
        <w:spacing w:line="480" w:lineRule="exact"/>
        <w:ind w:firstLine="642"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六、验收方式</w:t>
      </w:r>
    </w:p>
    <w:p>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供应商合同服务期内完成合同全部服务内容后，供应商向采购人报送服务事项工作总结以及相关文件，并由采购人按照程序对合同规定的具体服务内容事项组织验收。</w:t>
      </w:r>
    </w:p>
    <w:p>
      <w:pPr>
        <w:spacing w:line="480" w:lineRule="exact"/>
        <w:ind w:firstLine="642" w:firstLineChars="200"/>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七</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lang w:eastAsia="zh-CN"/>
        </w:rPr>
        <w:t>违约责任</w:t>
      </w:r>
    </w:p>
    <w:p>
      <w:pPr>
        <w:adjustRightInd w:val="0"/>
        <w:spacing w:line="480" w:lineRule="exact"/>
        <w:ind w:firstLine="640" w:firstLineChars="200"/>
        <w:jc w:val="left"/>
        <w:textAlignment w:val="top"/>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lang w:eastAsia="zh-CN"/>
        </w:rPr>
        <w:t>存在</w:t>
      </w:r>
      <w:r>
        <w:rPr>
          <w:rFonts w:hint="eastAsia" w:ascii="方正仿宋_GBK" w:hAnsi="方正仿宋_GBK" w:eastAsia="方正仿宋_GBK" w:cs="方正仿宋_GBK"/>
          <w:b w:val="0"/>
          <w:bCs w:val="0"/>
          <w:sz w:val="32"/>
          <w:szCs w:val="32"/>
        </w:rPr>
        <w:t>违反服务事项工作要求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未能做好</w:t>
      </w:r>
      <w:r>
        <w:rPr>
          <w:rFonts w:hint="eastAsia" w:ascii="方正仿宋_GBK" w:hAnsi="方正仿宋_GBK" w:eastAsia="方正仿宋_GBK" w:cs="方正仿宋_GBK"/>
          <w:sz w:val="32"/>
          <w:szCs w:val="32"/>
          <w:lang w:eastAsia="zh-CN"/>
        </w:rPr>
        <w:t>组织对勘察</w:t>
      </w:r>
      <w:r>
        <w:rPr>
          <w:rFonts w:hint="eastAsia" w:ascii="方正仿宋_GBK" w:hAnsi="方正仿宋_GBK" w:eastAsia="方正仿宋_GBK" w:cs="方正仿宋_GBK"/>
          <w:sz w:val="32"/>
          <w:szCs w:val="32"/>
        </w:rPr>
        <w:t>设计文件进行质量检查工作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lang w:eastAsia="zh-CN"/>
        </w:rPr>
        <w:t>对施工图设计文件检查不仔细不认真等行为的，</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责令</w:t>
      </w:r>
      <w:r>
        <w:rPr>
          <w:rFonts w:hint="eastAsia" w:ascii="方正仿宋_GBK" w:hAnsi="方正仿宋_GBK" w:eastAsia="方正仿宋_GBK" w:cs="方正仿宋_GBK"/>
          <w:b w:val="0"/>
          <w:bCs w:val="0"/>
          <w:sz w:val="32"/>
          <w:szCs w:val="32"/>
          <w:lang w:eastAsia="zh-CN"/>
        </w:rPr>
        <w:t>限期</w:t>
      </w:r>
      <w:r>
        <w:rPr>
          <w:rFonts w:hint="eastAsia" w:ascii="方正仿宋_GBK" w:hAnsi="方正仿宋_GBK" w:eastAsia="方正仿宋_GBK" w:cs="方正仿宋_GBK"/>
          <w:b w:val="0"/>
          <w:bCs w:val="0"/>
          <w:sz w:val="32"/>
          <w:szCs w:val="32"/>
        </w:rPr>
        <w:t>改正，如</w:t>
      </w: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b w:val="0"/>
          <w:bCs w:val="0"/>
          <w:sz w:val="32"/>
          <w:szCs w:val="32"/>
        </w:rPr>
        <w:t>未能按时按要求改正的视为违约，则</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有权解除合同并要求</w:t>
      </w: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b w:val="0"/>
          <w:bCs w:val="0"/>
          <w:sz w:val="32"/>
          <w:szCs w:val="32"/>
        </w:rPr>
        <w:t>承担违约责任，赔偿</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由此造成的一切损失</w:t>
      </w:r>
      <w:r>
        <w:rPr>
          <w:rFonts w:hint="eastAsia" w:ascii="方正仿宋_GBK" w:hAnsi="方正仿宋_GBK" w:eastAsia="方正仿宋_GBK" w:cs="方正仿宋_GBK"/>
          <w:b w:val="0"/>
          <w:bCs w:val="0"/>
          <w:sz w:val="32"/>
          <w:szCs w:val="32"/>
          <w:lang w:eastAsia="zh-CN"/>
        </w:rPr>
        <w:t>，并</w:t>
      </w:r>
      <w:r>
        <w:rPr>
          <w:rFonts w:hint="eastAsia" w:ascii="方正仿宋_GBK" w:hAnsi="方正仿宋_GBK" w:eastAsia="方正仿宋_GBK" w:cs="方正仿宋_GBK"/>
          <w:b w:val="0"/>
          <w:bCs w:val="0"/>
          <w:sz w:val="32"/>
          <w:szCs w:val="32"/>
        </w:rPr>
        <w:t>扣减相应的服务费用，</w:t>
      </w: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lang w:eastAsia="zh-CN"/>
        </w:rPr>
        <w:t>另外</w:t>
      </w:r>
      <w:r>
        <w:rPr>
          <w:rFonts w:hint="eastAsia" w:ascii="方正仿宋_GBK" w:hAnsi="方正仿宋_GBK" w:eastAsia="方正仿宋_GBK" w:cs="方正仿宋_GBK"/>
          <w:b w:val="0"/>
          <w:bCs w:val="0"/>
          <w:sz w:val="32"/>
          <w:szCs w:val="32"/>
        </w:rPr>
        <w:t>按照合同总价20%支付违约金；</w:t>
      </w:r>
    </w:p>
    <w:p>
      <w:pPr>
        <w:spacing w:line="4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因</w:t>
      </w: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b w:val="0"/>
          <w:bCs w:val="0"/>
          <w:sz w:val="32"/>
          <w:szCs w:val="32"/>
        </w:rPr>
        <w:t>过错造成</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行政失当，甚至承担法律责任的，</w:t>
      </w: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b w:val="0"/>
          <w:bCs w:val="0"/>
          <w:sz w:val="32"/>
          <w:szCs w:val="32"/>
        </w:rPr>
        <w:t>应承担相应的责任。</w:t>
      </w:r>
    </w:p>
    <w:p>
      <w:pPr>
        <w:spacing w:line="480" w:lineRule="exact"/>
        <w:ind w:firstLine="640" w:firstLineChars="200"/>
        <w:rPr>
          <w:rFonts w:hint="eastAsia" w:ascii="方正仿宋_GBK" w:hAnsi="方正仿宋_GBK" w:eastAsia="方正仿宋_GBK" w:cs="方正仿宋_GBK"/>
          <w:b w:val="0"/>
          <w:bCs w:val="0"/>
          <w:sz w:val="32"/>
          <w:szCs w:val="32"/>
        </w:rPr>
      </w:pPr>
    </w:p>
    <w:p>
      <w:pPr>
        <w:spacing w:line="480" w:lineRule="exact"/>
        <w:ind w:firstLine="640" w:firstLineChars="200"/>
        <w:jc w:val="left"/>
        <w:rPr>
          <w:rFonts w:hint="eastAsia" w:ascii="方正仿宋_GBK" w:hAnsi="方正仿宋_GBK" w:eastAsia="方正仿宋_GBK" w:cs="方正仿宋_GBK"/>
          <w:sz w:val="32"/>
          <w:szCs w:val="32"/>
        </w:rPr>
      </w:pPr>
    </w:p>
    <w:p>
      <w:pPr>
        <w:ind w:firstLine="640" w:firstLineChars="200"/>
        <w:jc w:val="right"/>
        <w:rPr>
          <w:rFonts w:ascii="仿宋_GB2312" w:eastAsia="仿宋_GB2312"/>
          <w:sz w:val="32"/>
          <w:szCs w:val="32"/>
        </w:rPr>
      </w:pPr>
    </w:p>
    <w:p>
      <w:pPr>
        <w:ind w:firstLine="640" w:firstLineChars="200"/>
        <w:jc w:val="right"/>
        <w:rPr>
          <w:rFonts w:ascii="仿宋_GB2312" w:eastAsia="仿宋_GB2312"/>
          <w:sz w:val="32"/>
          <w:szCs w:val="32"/>
        </w:rPr>
      </w:pPr>
    </w:p>
    <w:p>
      <w:pPr>
        <w:ind w:firstLine="640" w:firstLineChars="200"/>
        <w:jc w:val="right"/>
        <w:rPr>
          <w:rFonts w:hint="eastAsia" w:ascii="仿宋_GB2312" w:hAnsi="Times New Roman" w:eastAsia="仿宋_GB2312" w:cs="Times New Roman"/>
          <w:sz w:val="32"/>
          <w:szCs w:val="32"/>
        </w:rPr>
      </w:pPr>
    </w:p>
    <w:p>
      <w:pPr>
        <w:ind w:firstLine="0" w:firstLineChars="0"/>
        <w:jc w:val="both"/>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附表：</w:t>
      </w:r>
    </w:p>
    <w:tbl>
      <w:tblPr>
        <w:tblStyle w:val="2"/>
        <w:tblpPr w:leftFromText="180" w:rightFromText="180" w:vertAnchor="text" w:horzAnchor="page" w:tblpX="1676" w:tblpY="1186"/>
        <w:tblOverlap w:val="never"/>
        <w:tblW w:w="8850" w:type="dxa"/>
        <w:tblInd w:w="0" w:type="dxa"/>
        <w:tblLayout w:type="fixed"/>
        <w:tblCellMar>
          <w:top w:w="0" w:type="dxa"/>
          <w:left w:w="108" w:type="dxa"/>
          <w:bottom w:w="0" w:type="dxa"/>
          <w:right w:w="108" w:type="dxa"/>
        </w:tblCellMar>
      </w:tblPr>
      <w:tblGrid>
        <w:gridCol w:w="488"/>
        <w:gridCol w:w="713"/>
        <w:gridCol w:w="601"/>
        <w:gridCol w:w="7048"/>
      </w:tblGrid>
      <w:tr>
        <w:tblPrEx>
          <w:tblCellMar>
            <w:top w:w="0" w:type="dxa"/>
            <w:left w:w="108" w:type="dxa"/>
            <w:bottom w:w="0" w:type="dxa"/>
            <w:right w:w="108" w:type="dxa"/>
          </w:tblCellMar>
        </w:tblPrEx>
        <w:trPr>
          <w:trHeight w:val="506" w:hRule="atLeast"/>
        </w:trPr>
        <w:tc>
          <w:tcPr>
            <w:tcW w:w="885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b/>
                <w:bCs/>
                <w:color w:val="auto"/>
                <w:kern w:val="0"/>
                <w:sz w:val="22"/>
                <w:szCs w:val="22"/>
                <w:lang w:eastAsia="zh-CN"/>
              </w:rPr>
            </w:pPr>
            <w:r>
              <w:rPr>
                <w:rFonts w:hint="eastAsia" w:ascii="仿宋_GB2312" w:hAnsi="仿宋_GB2312" w:eastAsia="仿宋_GB2312" w:cs="仿宋_GB2312"/>
                <w:b/>
                <w:bCs/>
                <w:color w:val="auto"/>
                <w:kern w:val="0"/>
                <w:sz w:val="28"/>
                <w:szCs w:val="28"/>
                <w:lang w:eastAsia="zh-CN"/>
              </w:rPr>
              <w:t>评分标准</w:t>
            </w:r>
          </w:p>
        </w:tc>
      </w:tr>
      <w:tr>
        <w:tblPrEx>
          <w:tblCellMar>
            <w:top w:w="0" w:type="dxa"/>
            <w:left w:w="108" w:type="dxa"/>
            <w:bottom w:w="0" w:type="dxa"/>
            <w:right w:w="108" w:type="dxa"/>
          </w:tblCellMar>
        </w:tblPrEx>
        <w:trPr>
          <w:trHeight w:val="506" w:hRule="atLeast"/>
        </w:trPr>
        <w:tc>
          <w:tcPr>
            <w:tcW w:w="4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序号</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评审</w:t>
            </w:r>
          </w:p>
          <w:p>
            <w:pPr>
              <w:widowControl/>
              <w:spacing w:line="300" w:lineRule="exact"/>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项目</w:t>
            </w:r>
          </w:p>
        </w:tc>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分值</w:t>
            </w:r>
          </w:p>
        </w:tc>
        <w:tc>
          <w:tcPr>
            <w:tcW w:w="70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评审内容</w:t>
            </w:r>
          </w:p>
        </w:tc>
      </w:tr>
      <w:tr>
        <w:tblPrEx>
          <w:tblCellMar>
            <w:top w:w="0" w:type="dxa"/>
            <w:left w:w="108" w:type="dxa"/>
            <w:bottom w:w="0" w:type="dxa"/>
            <w:right w:w="108" w:type="dxa"/>
          </w:tblCellMar>
        </w:tblPrEx>
        <w:trPr>
          <w:trHeight w:val="642" w:hRule="atLeast"/>
        </w:trPr>
        <w:tc>
          <w:tcPr>
            <w:tcW w:w="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b/>
                <w:bCs/>
                <w:color w:val="auto"/>
                <w:kern w:val="0"/>
                <w:sz w:val="22"/>
                <w:szCs w:val="22"/>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b/>
                <w:bCs/>
                <w:color w:val="auto"/>
                <w:kern w:val="0"/>
                <w:sz w:val="22"/>
                <w:szCs w:val="22"/>
              </w:rPr>
            </w:pPr>
          </w:p>
        </w:tc>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b/>
                <w:bCs/>
                <w:color w:val="auto"/>
                <w:kern w:val="0"/>
                <w:sz w:val="22"/>
                <w:szCs w:val="22"/>
              </w:rPr>
            </w:pPr>
          </w:p>
        </w:tc>
        <w:tc>
          <w:tcPr>
            <w:tcW w:w="70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b/>
                <w:bCs/>
                <w:color w:val="auto"/>
                <w:kern w:val="0"/>
                <w:sz w:val="22"/>
                <w:szCs w:val="22"/>
              </w:rPr>
            </w:pPr>
          </w:p>
        </w:tc>
      </w:tr>
      <w:tr>
        <w:tblPrEx>
          <w:tblCellMar>
            <w:top w:w="0" w:type="dxa"/>
            <w:left w:w="108" w:type="dxa"/>
            <w:bottom w:w="0" w:type="dxa"/>
            <w:right w:w="108" w:type="dxa"/>
          </w:tblCellMar>
        </w:tblPrEx>
        <w:trPr>
          <w:trHeight w:val="1004" w:hRule="atLeast"/>
        </w:trPr>
        <w:tc>
          <w:tcPr>
            <w:tcW w:w="488"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w:t>
            </w:r>
          </w:p>
        </w:tc>
        <w:tc>
          <w:tcPr>
            <w:tcW w:w="71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val="0"/>
                <w:bCs w:val="0"/>
                <w:sz w:val="22"/>
                <w:szCs w:val="22"/>
                <w:lang w:val="en-US" w:eastAsia="zh-CN"/>
              </w:rPr>
              <w:t>实施方案</w:t>
            </w:r>
          </w:p>
        </w:tc>
        <w:tc>
          <w:tcPr>
            <w:tcW w:w="601"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20</w:t>
            </w:r>
          </w:p>
        </w:tc>
        <w:tc>
          <w:tcPr>
            <w:tcW w:w="7048" w:type="dxa"/>
            <w:tcBorders>
              <w:top w:val="nil"/>
              <w:left w:val="nil"/>
              <w:bottom w:val="single" w:color="auto" w:sz="4" w:space="0"/>
              <w:right w:val="single" w:color="auto" w:sz="4" w:space="0"/>
            </w:tcBorders>
            <w:noWrap w:val="0"/>
            <w:vAlign w:val="center"/>
          </w:tcPr>
          <w:p>
            <w:pPr>
              <w:widowControl/>
              <w:numPr>
                <w:ilvl w:val="0"/>
                <w:numId w:val="0"/>
              </w:numPr>
              <w:spacing w:line="300" w:lineRule="exact"/>
              <w:ind w:firstLine="440" w:firstLineChars="200"/>
              <w:jc w:val="left"/>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b w:val="0"/>
                <w:bCs w:val="0"/>
                <w:color w:val="auto"/>
                <w:sz w:val="22"/>
                <w:szCs w:val="22"/>
                <w:lang w:val="en-US" w:eastAsia="zh-CN"/>
              </w:rPr>
              <w:t>供应商制定检查方案，对每一项工作分工明确，合理科学可行，满足项目需求和实际环境条件要求。方案制定合理、科学，分工明确对采购需求理解准确的，得20分；方案制定较合理、较科学，分工较明确，对采购需求理解较准确的，得14分；方案的合理性、科学性、分工情况、对采购需求理解等编制质量一般的，得8分。</w:t>
            </w:r>
          </w:p>
        </w:tc>
      </w:tr>
      <w:tr>
        <w:tblPrEx>
          <w:tblCellMar>
            <w:top w:w="0" w:type="dxa"/>
            <w:left w:w="108" w:type="dxa"/>
            <w:bottom w:w="0" w:type="dxa"/>
            <w:right w:w="108" w:type="dxa"/>
          </w:tblCellMar>
        </w:tblPrEx>
        <w:trPr>
          <w:trHeight w:val="1501" w:hRule="atLeast"/>
        </w:trPr>
        <w:tc>
          <w:tcPr>
            <w:tcW w:w="488"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2</w:t>
            </w:r>
          </w:p>
        </w:tc>
        <w:tc>
          <w:tcPr>
            <w:tcW w:w="71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服务</w:t>
            </w:r>
          </w:p>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经历评分</w:t>
            </w:r>
          </w:p>
        </w:tc>
        <w:tc>
          <w:tcPr>
            <w:tcW w:w="601"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50</w:t>
            </w:r>
          </w:p>
        </w:tc>
        <w:tc>
          <w:tcPr>
            <w:tcW w:w="7048" w:type="dxa"/>
            <w:tcBorders>
              <w:top w:val="nil"/>
              <w:left w:val="nil"/>
              <w:bottom w:val="single" w:color="auto" w:sz="4" w:space="0"/>
              <w:right w:val="single" w:color="auto" w:sz="4" w:space="0"/>
            </w:tcBorders>
            <w:noWrap w:val="0"/>
            <w:vAlign w:val="center"/>
          </w:tcPr>
          <w:p>
            <w:pPr>
              <w:widowControl/>
              <w:numPr>
                <w:ilvl w:val="-1"/>
                <w:numId w:val="0"/>
              </w:numPr>
              <w:spacing w:line="240" w:lineRule="auto"/>
              <w:ind w:firstLine="0" w:firstLineChars="0"/>
              <w:jc w:val="left"/>
              <w:rPr>
                <w:rFonts w:hint="eastAsia" w:ascii="仿宋_GB2312" w:hAnsi="仿宋_GB2312" w:eastAsia="仿宋_GB2312" w:cs="仿宋_GB2312"/>
                <w:color w:val="auto"/>
                <w:kern w:val="2"/>
                <w:sz w:val="22"/>
                <w:szCs w:val="22"/>
              </w:rPr>
            </w:pPr>
            <w:r>
              <w:rPr>
                <w:rFonts w:hint="eastAsia" w:ascii="仿宋_GB2312" w:hAnsi="仿宋_GB2312" w:eastAsia="仿宋_GB2312" w:cs="仿宋_GB2312"/>
                <w:color w:val="auto"/>
                <w:kern w:val="2"/>
                <w:sz w:val="22"/>
                <w:szCs w:val="22"/>
                <w:lang w:val="en-US" w:eastAsia="zh-CN"/>
              </w:rPr>
              <w:t>1.</w:t>
            </w:r>
            <w:r>
              <w:rPr>
                <w:rFonts w:hint="eastAsia" w:ascii="仿宋_GB2312" w:hAnsi="仿宋_GB2312" w:eastAsia="仿宋_GB2312" w:cs="仿宋_GB2312"/>
                <w:color w:val="auto"/>
                <w:kern w:val="2"/>
                <w:sz w:val="22"/>
                <w:szCs w:val="22"/>
              </w:rPr>
              <w:t>具有</w:t>
            </w:r>
            <w:r>
              <w:rPr>
                <w:rFonts w:hint="eastAsia" w:ascii="仿宋_GB2312" w:hAnsi="仿宋_GB2312" w:eastAsia="仿宋_GB2312" w:cs="仿宋_GB2312"/>
                <w:color w:val="auto"/>
                <w:kern w:val="2"/>
                <w:sz w:val="22"/>
                <w:szCs w:val="22"/>
                <w:highlight w:val="none"/>
                <w:lang w:eastAsia="zh-CN"/>
              </w:rPr>
              <w:t>同类型组织工程建设领域质量检查业绩</w:t>
            </w:r>
            <w:r>
              <w:rPr>
                <w:rFonts w:hint="eastAsia" w:ascii="仿宋_GB2312" w:hAnsi="仿宋_GB2312" w:eastAsia="仿宋_GB2312" w:cs="仿宋_GB2312"/>
                <w:color w:val="auto"/>
                <w:kern w:val="2"/>
                <w:sz w:val="22"/>
                <w:szCs w:val="22"/>
                <w:lang w:eastAsia="zh-CN"/>
              </w:rPr>
              <w:t>的，每次</w:t>
            </w:r>
            <w:r>
              <w:rPr>
                <w:rFonts w:hint="eastAsia" w:ascii="仿宋_GB2312" w:hAnsi="仿宋_GB2312" w:eastAsia="仿宋_GB2312" w:cs="仿宋_GB2312"/>
                <w:color w:val="auto"/>
                <w:kern w:val="2"/>
                <w:sz w:val="22"/>
                <w:szCs w:val="22"/>
                <w:lang w:val="en-US" w:eastAsia="zh-CN"/>
              </w:rPr>
              <w:t>10分</w:t>
            </w:r>
            <w:r>
              <w:rPr>
                <w:rFonts w:hint="eastAsia" w:ascii="仿宋_GB2312" w:hAnsi="仿宋_GB2312" w:eastAsia="仿宋_GB2312" w:cs="仿宋_GB2312"/>
                <w:color w:val="auto"/>
                <w:kern w:val="2"/>
                <w:sz w:val="22"/>
                <w:szCs w:val="22"/>
                <w:lang w:eastAsia="zh-CN"/>
              </w:rPr>
              <w:t>，最高得</w:t>
            </w:r>
            <w:r>
              <w:rPr>
                <w:rFonts w:hint="eastAsia" w:ascii="仿宋_GB2312" w:hAnsi="仿宋_GB2312" w:eastAsia="仿宋_GB2312" w:cs="仿宋_GB2312"/>
                <w:color w:val="auto"/>
                <w:kern w:val="2"/>
                <w:sz w:val="22"/>
                <w:szCs w:val="22"/>
                <w:lang w:val="en-US" w:eastAsia="zh-CN"/>
              </w:rPr>
              <w:t>30分。</w:t>
            </w:r>
          </w:p>
          <w:p>
            <w:pPr>
              <w:widowControl/>
              <w:numPr>
                <w:ilvl w:val="0"/>
                <w:numId w:val="0"/>
              </w:numPr>
              <w:spacing w:line="300" w:lineRule="exact"/>
              <w:ind w:firstLine="0" w:firstLineChars="0"/>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2"/>
                <w:sz w:val="22"/>
                <w:szCs w:val="22"/>
                <w:lang w:val="en-US" w:eastAsia="zh-CN"/>
              </w:rPr>
              <w:t>2.具有</w:t>
            </w:r>
            <w:r>
              <w:rPr>
                <w:rFonts w:hint="eastAsia" w:ascii="仿宋_GB2312" w:hAnsi="仿宋_GB2312" w:eastAsia="仿宋_GB2312" w:cs="仿宋_GB2312"/>
                <w:color w:val="auto"/>
                <w:kern w:val="2"/>
                <w:sz w:val="22"/>
                <w:szCs w:val="22"/>
                <w:lang w:eastAsia="zh-CN"/>
              </w:rPr>
              <w:t>组织工程建设领域相关项目专家论证、项目评价或项目评审业绩的，每次得</w:t>
            </w:r>
            <w:r>
              <w:rPr>
                <w:rFonts w:hint="eastAsia" w:ascii="仿宋_GB2312" w:hAnsi="仿宋_GB2312" w:eastAsia="仿宋_GB2312" w:cs="仿宋_GB2312"/>
                <w:color w:val="auto"/>
                <w:kern w:val="2"/>
                <w:sz w:val="22"/>
                <w:szCs w:val="22"/>
                <w:lang w:val="en-US" w:eastAsia="zh-CN"/>
              </w:rPr>
              <w:t>10分，</w:t>
            </w:r>
            <w:r>
              <w:rPr>
                <w:rFonts w:hint="eastAsia" w:ascii="仿宋_GB2312" w:hAnsi="仿宋_GB2312" w:eastAsia="仿宋_GB2312" w:cs="仿宋_GB2312"/>
                <w:color w:val="auto"/>
                <w:kern w:val="2"/>
                <w:sz w:val="22"/>
                <w:szCs w:val="22"/>
                <w:lang w:eastAsia="zh-CN"/>
              </w:rPr>
              <w:t>最高得</w:t>
            </w:r>
            <w:r>
              <w:rPr>
                <w:rFonts w:hint="eastAsia" w:ascii="仿宋_GB2312" w:hAnsi="仿宋_GB2312" w:eastAsia="仿宋_GB2312" w:cs="仿宋_GB2312"/>
                <w:color w:val="auto"/>
                <w:kern w:val="2"/>
                <w:sz w:val="22"/>
                <w:szCs w:val="22"/>
                <w:lang w:val="en-US" w:eastAsia="zh-CN"/>
              </w:rPr>
              <w:t>20分。</w:t>
            </w:r>
          </w:p>
        </w:tc>
      </w:tr>
      <w:tr>
        <w:tblPrEx>
          <w:tblCellMar>
            <w:top w:w="0" w:type="dxa"/>
            <w:left w:w="108" w:type="dxa"/>
            <w:bottom w:w="0" w:type="dxa"/>
            <w:right w:w="108" w:type="dxa"/>
          </w:tblCellMar>
        </w:tblPrEx>
        <w:trPr>
          <w:trHeight w:val="1004" w:hRule="atLeast"/>
        </w:trPr>
        <w:tc>
          <w:tcPr>
            <w:tcW w:w="488"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3</w:t>
            </w:r>
          </w:p>
        </w:tc>
        <w:tc>
          <w:tcPr>
            <w:tcW w:w="71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相关行业经验评分</w:t>
            </w:r>
          </w:p>
        </w:tc>
        <w:tc>
          <w:tcPr>
            <w:tcW w:w="601"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10</w:t>
            </w:r>
          </w:p>
        </w:tc>
        <w:tc>
          <w:tcPr>
            <w:tcW w:w="7048" w:type="dxa"/>
            <w:tcBorders>
              <w:top w:val="nil"/>
              <w:left w:val="nil"/>
              <w:bottom w:val="single" w:color="auto" w:sz="4" w:space="0"/>
              <w:right w:val="single" w:color="auto" w:sz="4" w:space="0"/>
            </w:tcBorders>
            <w:noWrap w:val="0"/>
            <w:vAlign w:val="center"/>
          </w:tcPr>
          <w:p>
            <w:pPr>
              <w:widowControl/>
              <w:spacing w:line="300" w:lineRule="exact"/>
              <w:jc w:val="left"/>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具有</w:t>
            </w:r>
            <w:r>
              <w:rPr>
                <w:rFonts w:hint="eastAsia" w:ascii="仿宋_GB2312" w:hAnsi="仿宋_GB2312" w:eastAsia="仿宋_GB2312" w:cs="仿宋_GB2312"/>
                <w:color w:val="auto"/>
                <w:kern w:val="0"/>
                <w:sz w:val="22"/>
                <w:szCs w:val="22"/>
              </w:rPr>
              <w:t>参与辅助</w:t>
            </w:r>
            <w:r>
              <w:rPr>
                <w:rFonts w:hint="eastAsia" w:ascii="仿宋_GB2312" w:hAnsi="仿宋_GB2312" w:eastAsia="仿宋_GB2312" w:cs="仿宋_GB2312"/>
                <w:color w:val="auto"/>
                <w:kern w:val="0"/>
                <w:sz w:val="22"/>
                <w:szCs w:val="22"/>
                <w:lang w:eastAsia="zh-CN"/>
              </w:rPr>
              <w:t>工程建设领域</w:t>
            </w:r>
            <w:r>
              <w:rPr>
                <w:rFonts w:hint="eastAsia" w:ascii="仿宋_GB2312" w:hAnsi="仿宋_GB2312" w:eastAsia="仿宋_GB2312" w:cs="仿宋_GB2312"/>
                <w:color w:val="auto"/>
                <w:kern w:val="0"/>
                <w:sz w:val="22"/>
                <w:szCs w:val="22"/>
              </w:rPr>
              <w:t>市场管理</w:t>
            </w:r>
            <w:r>
              <w:rPr>
                <w:rFonts w:hint="eastAsia" w:ascii="仿宋_GB2312" w:hAnsi="仿宋_GB2312" w:eastAsia="仿宋_GB2312" w:cs="仿宋_GB2312"/>
                <w:color w:val="auto"/>
                <w:kern w:val="0"/>
                <w:sz w:val="22"/>
                <w:szCs w:val="22"/>
                <w:lang w:eastAsia="zh-CN"/>
              </w:rPr>
              <w:t>的服务经验的</w:t>
            </w:r>
            <w:r>
              <w:rPr>
                <w:rFonts w:hint="eastAsia" w:ascii="仿宋_GB2312" w:hAnsi="仿宋_GB2312" w:eastAsia="仿宋_GB2312" w:cs="仿宋_GB2312"/>
                <w:color w:val="auto"/>
                <w:kern w:val="0"/>
                <w:sz w:val="22"/>
                <w:szCs w:val="22"/>
                <w:lang w:val="en-US" w:eastAsia="zh-CN"/>
              </w:rPr>
              <w:t>，得10分。</w:t>
            </w:r>
          </w:p>
        </w:tc>
      </w:tr>
      <w:tr>
        <w:tblPrEx>
          <w:tblCellMar>
            <w:top w:w="0" w:type="dxa"/>
            <w:left w:w="108" w:type="dxa"/>
            <w:bottom w:w="0" w:type="dxa"/>
            <w:right w:w="108" w:type="dxa"/>
          </w:tblCellMar>
        </w:tblPrEx>
        <w:trPr>
          <w:trHeight w:val="965" w:hRule="atLeast"/>
        </w:trPr>
        <w:tc>
          <w:tcPr>
            <w:tcW w:w="488"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val="en-US" w:eastAsia="zh-CN"/>
              </w:rPr>
              <w:t>4</w:t>
            </w:r>
          </w:p>
        </w:tc>
        <w:tc>
          <w:tcPr>
            <w:tcW w:w="71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人员评分</w:t>
            </w:r>
          </w:p>
        </w:tc>
        <w:tc>
          <w:tcPr>
            <w:tcW w:w="601"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1</w:t>
            </w:r>
            <w:r>
              <w:rPr>
                <w:rFonts w:hint="eastAsia" w:ascii="仿宋_GB2312" w:hAnsi="仿宋_GB2312" w:eastAsia="仿宋_GB2312" w:cs="仿宋_GB2312"/>
                <w:color w:val="auto"/>
                <w:kern w:val="0"/>
                <w:sz w:val="22"/>
                <w:szCs w:val="22"/>
              </w:rPr>
              <w:t>0</w:t>
            </w:r>
          </w:p>
        </w:tc>
        <w:tc>
          <w:tcPr>
            <w:tcW w:w="704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具备与本项目相适应的业务能力和从业人员的得</w:t>
            </w:r>
            <w:r>
              <w:rPr>
                <w:rFonts w:hint="eastAsia" w:ascii="仿宋_GB2312" w:hAnsi="仿宋_GB2312" w:eastAsia="仿宋_GB2312" w:cs="仿宋_GB2312"/>
                <w:color w:val="auto"/>
                <w:kern w:val="0"/>
                <w:sz w:val="22"/>
                <w:szCs w:val="22"/>
                <w:lang w:val="en-US" w:eastAsia="zh-CN"/>
              </w:rPr>
              <w:t>6</w:t>
            </w:r>
            <w:r>
              <w:rPr>
                <w:rFonts w:hint="eastAsia" w:ascii="仿宋_GB2312" w:hAnsi="仿宋_GB2312" w:eastAsia="仿宋_GB2312" w:cs="仿宋_GB2312"/>
                <w:color w:val="auto"/>
                <w:kern w:val="0"/>
                <w:sz w:val="22"/>
                <w:szCs w:val="22"/>
              </w:rPr>
              <w:t>分（按人员配备，充足得</w:t>
            </w:r>
            <w:r>
              <w:rPr>
                <w:rFonts w:hint="eastAsia" w:ascii="仿宋_GB2312" w:hAnsi="仿宋_GB2312" w:eastAsia="仿宋_GB2312" w:cs="仿宋_GB2312"/>
                <w:color w:val="auto"/>
                <w:kern w:val="0"/>
                <w:sz w:val="22"/>
                <w:szCs w:val="22"/>
                <w:lang w:val="en-US" w:eastAsia="zh-CN"/>
              </w:rPr>
              <w:t>6</w:t>
            </w:r>
            <w:r>
              <w:rPr>
                <w:rFonts w:hint="eastAsia" w:ascii="仿宋_GB2312" w:hAnsi="仿宋_GB2312" w:eastAsia="仿宋_GB2312" w:cs="仿宋_GB2312"/>
                <w:color w:val="auto"/>
                <w:kern w:val="0"/>
                <w:sz w:val="22"/>
                <w:szCs w:val="22"/>
              </w:rPr>
              <w:t>分，较充足得</w:t>
            </w:r>
            <w:r>
              <w:rPr>
                <w:rFonts w:hint="eastAsia" w:ascii="仿宋_GB2312" w:hAnsi="仿宋_GB2312" w:eastAsia="仿宋_GB2312" w:cs="仿宋_GB2312"/>
                <w:color w:val="auto"/>
                <w:kern w:val="0"/>
                <w:sz w:val="22"/>
                <w:szCs w:val="22"/>
                <w:lang w:val="en-US" w:eastAsia="zh-CN"/>
              </w:rPr>
              <w:t>4</w:t>
            </w:r>
            <w:r>
              <w:rPr>
                <w:rFonts w:hint="eastAsia" w:ascii="仿宋_GB2312" w:hAnsi="仿宋_GB2312" w:eastAsia="仿宋_GB2312" w:cs="仿宋_GB2312"/>
                <w:color w:val="auto"/>
                <w:kern w:val="0"/>
                <w:sz w:val="22"/>
                <w:szCs w:val="22"/>
              </w:rPr>
              <w:t>分，一般</w:t>
            </w:r>
            <w:r>
              <w:rPr>
                <w:rFonts w:hint="eastAsia" w:ascii="仿宋_GB2312" w:hAnsi="仿宋_GB2312" w:eastAsia="仿宋_GB2312" w:cs="仿宋_GB2312"/>
                <w:color w:val="auto"/>
                <w:kern w:val="0"/>
                <w:sz w:val="22"/>
                <w:szCs w:val="22"/>
                <w:lang w:eastAsia="zh-CN"/>
              </w:rPr>
              <w:t>得</w:t>
            </w:r>
            <w:r>
              <w:rPr>
                <w:rFonts w:hint="eastAsia" w:ascii="仿宋_GB2312" w:hAnsi="仿宋_GB2312" w:eastAsia="仿宋_GB2312" w:cs="仿宋_GB2312"/>
                <w:color w:val="auto"/>
                <w:kern w:val="0"/>
                <w:sz w:val="22"/>
                <w:szCs w:val="22"/>
                <w:lang w:val="en-US" w:eastAsia="zh-CN"/>
              </w:rPr>
              <w:t>2</w:t>
            </w:r>
            <w:r>
              <w:rPr>
                <w:rFonts w:hint="eastAsia" w:ascii="仿宋_GB2312" w:hAnsi="仿宋_GB2312" w:eastAsia="仿宋_GB2312" w:cs="仿宋_GB2312"/>
                <w:color w:val="auto"/>
                <w:kern w:val="0"/>
                <w:sz w:val="22"/>
                <w:szCs w:val="22"/>
              </w:rPr>
              <w:t>分）；确定各项工作的负责人，说明主要参与人员的职责和任务的得</w:t>
            </w:r>
            <w:r>
              <w:rPr>
                <w:rFonts w:hint="eastAsia" w:ascii="仿宋_GB2312" w:hAnsi="仿宋_GB2312" w:eastAsia="仿宋_GB2312" w:cs="仿宋_GB2312"/>
                <w:color w:val="auto"/>
                <w:kern w:val="0"/>
                <w:sz w:val="22"/>
                <w:szCs w:val="22"/>
                <w:lang w:val="en-US" w:eastAsia="zh-CN"/>
              </w:rPr>
              <w:t>4</w:t>
            </w:r>
            <w:r>
              <w:rPr>
                <w:rFonts w:hint="eastAsia" w:ascii="仿宋_GB2312" w:hAnsi="仿宋_GB2312" w:eastAsia="仿宋_GB2312" w:cs="仿宋_GB2312"/>
                <w:color w:val="auto"/>
                <w:kern w:val="0"/>
                <w:sz w:val="22"/>
                <w:szCs w:val="22"/>
              </w:rPr>
              <w:t>分</w:t>
            </w:r>
          </w:p>
        </w:tc>
      </w:tr>
      <w:tr>
        <w:tblPrEx>
          <w:tblCellMar>
            <w:top w:w="0" w:type="dxa"/>
            <w:left w:w="108" w:type="dxa"/>
            <w:bottom w:w="0" w:type="dxa"/>
            <w:right w:w="108" w:type="dxa"/>
          </w:tblCellMar>
        </w:tblPrEx>
        <w:trPr>
          <w:trHeight w:val="1004" w:hRule="atLeast"/>
        </w:trPr>
        <w:tc>
          <w:tcPr>
            <w:tcW w:w="488"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val="en-US" w:eastAsia="zh-CN"/>
              </w:rPr>
              <w:t>5</w:t>
            </w:r>
          </w:p>
        </w:tc>
        <w:tc>
          <w:tcPr>
            <w:tcW w:w="713"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报价评分</w:t>
            </w:r>
          </w:p>
        </w:tc>
        <w:tc>
          <w:tcPr>
            <w:tcW w:w="601"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10</w:t>
            </w:r>
          </w:p>
        </w:tc>
        <w:tc>
          <w:tcPr>
            <w:tcW w:w="7048"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2"/>
                <w:sz w:val="22"/>
                <w:szCs w:val="22"/>
              </w:rPr>
              <w:t>超出预算资金报价的</w:t>
            </w:r>
            <w:r>
              <w:rPr>
                <w:rFonts w:hint="eastAsia" w:ascii="仿宋_GB2312" w:hAnsi="仿宋_GB2312" w:eastAsia="仿宋_GB2312" w:cs="仿宋_GB2312"/>
                <w:color w:val="auto"/>
                <w:kern w:val="2"/>
                <w:sz w:val="22"/>
                <w:szCs w:val="22"/>
                <w:lang w:val="en-US" w:eastAsia="zh-CN"/>
              </w:rPr>
              <w:t>0分；</w:t>
            </w:r>
            <w:r>
              <w:rPr>
                <w:rFonts w:hint="eastAsia" w:ascii="仿宋_GB2312" w:hAnsi="仿宋_GB2312" w:eastAsia="仿宋_GB2312" w:cs="仿宋_GB2312"/>
                <w:color w:val="auto"/>
                <w:kern w:val="2"/>
                <w:sz w:val="22"/>
                <w:szCs w:val="22"/>
              </w:rPr>
              <w:t>按照项目服务内容列明详细服务报价的得10分（一般6分，较好8分，完全符合10分）</w:t>
            </w:r>
          </w:p>
        </w:tc>
      </w:tr>
    </w:tbl>
    <w:p>
      <w:pPr>
        <w:ind w:firstLine="640" w:firstLineChars="200"/>
        <w:rPr>
          <w:rFonts w:hint="eastAsia" w:ascii="仿宋_GB2312" w:hAnsi="Times New Roman" w:eastAsia="仿宋_GB2312" w:cs="Times New Roman"/>
          <w:sz w:val="32"/>
          <w:szCs w:val="32"/>
          <w:lang w:eastAsia="zh-CN"/>
        </w:rPr>
      </w:pPr>
    </w:p>
    <w:p>
      <w:pPr>
        <w:adjustRightInd w:val="0"/>
        <w:spacing w:line="480" w:lineRule="exact"/>
        <w:ind w:firstLine="640" w:firstLineChars="200"/>
        <w:jc w:val="left"/>
        <w:textAlignment w:val="top"/>
        <w:rPr>
          <w:rFonts w:hint="eastAsia" w:ascii="方正仿宋_GBK" w:hAnsi="方正仿宋_GBK" w:eastAsia="方正仿宋_GBK" w:cs="方正仿宋_GBK"/>
          <w:sz w:val="32"/>
          <w:szCs w:val="32"/>
          <w:lang w:val="en-US" w:eastAsia="zh-CN"/>
        </w:rPr>
      </w:pPr>
    </w:p>
    <w:p>
      <w:pPr>
        <w:widowControl/>
        <w:adjustRightInd/>
        <w:spacing w:line="300" w:lineRule="exact"/>
        <w:ind w:firstLine="0" w:firstLineChars="0"/>
        <w:jc w:val="left"/>
        <w:textAlignment w:val="auto"/>
        <w:rPr>
          <w:rFonts w:hint="eastAsia" w:ascii="仿宋_GB2312" w:hAnsi="仿宋_GB2312" w:eastAsia="仿宋_GB2312" w:cs="仿宋_GB2312"/>
          <w:color w:val="auto"/>
          <w:sz w:val="22"/>
          <w:szCs w:val="22"/>
          <w:lang w:val="en-US" w:eastAsia="zh-CN"/>
        </w:rPr>
      </w:pPr>
    </w:p>
    <w:p>
      <w:pPr>
        <w:widowControl/>
        <w:adjustRightInd/>
        <w:spacing w:line="300" w:lineRule="exact"/>
        <w:ind w:firstLine="0" w:firstLineChars="0"/>
        <w:jc w:val="left"/>
        <w:textAlignment w:val="auto"/>
        <w:rPr>
          <w:rFonts w:hint="eastAsia" w:ascii="仿宋_GB2312" w:hAnsi="仿宋_GB2312" w:eastAsia="仿宋_GB2312" w:cs="仿宋_GB2312"/>
          <w:color w:val="auto"/>
          <w:sz w:val="22"/>
          <w:szCs w:val="22"/>
          <w:lang w:val="en-US" w:eastAsia="zh-CN"/>
        </w:rPr>
      </w:pPr>
      <w:bookmarkStart w:id="0" w:name="_GoBack"/>
      <w:bookmarkEnd w:id="0"/>
      <w:r>
        <w:rPr>
          <w:rFonts w:hint="eastAsia" w:ascii="仿宋_GB2312" w:hAnsi="仿宋_GB2312" w:eastAsia="仿宋_GB2312" w:cs="仿宋_GB2312"/>
          <w:color w:val="auto"/>
          <w:sz w:val="22"/>
          <w:szCs w:val="22"/>
          <w:lang w:val="en-US" w:eastAsia="zh-CN"/>
        </w:rPr>
        <w:t>注：以上评审项均需提供相关佐证材料或说明。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E"/>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EF1C9"/>
    <w:multiLevelType w:val="singleLevel"/>
    <w:tmpl w:val="9F3EF1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EB2737"/>
    <w:rsid w:val="4A1947CF"/>
    <w:rsid w:val="7FBDD613"/>
    <w:rsid w:val="EF7E272B"/>
    <w:rsid w:val="FF27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cp:lastModifiedBy>
  <dcterms:modified xsi:type="dcterms:W3CDTF">2024-07-12T16:32:23Z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3123E0389739A82CC9E190668DAF9936</vt:lpwstr>
  </property>
</Properties>
</file>