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6166">
      <w:pPr>
        <w:jc w:val="center"/>
        <w:rPr>
          <w:rFonts w:hint="eastAsia" w:ascii="方正小标宋_GBK" w:hAnsi="方正公文小标宋" w:eastAsia="方正小标宋_GBK" w:cs="方正公文小标宋"/>
          <w:color w:val="auto"/>
          <w:sz w:val="44"/>
          <w:szCs w:val="44"/>
          <w:highlight w:val="none"/>
          <w:shd w:val="clear" w:color="auto" w:fill="FFFFFF"/>
        </w:rPr>
      </w:pPr>
      <w:r>
        <w:rPr>
          <w:rFonts w:hint="eastAsia" w:ascii="方正小标宋_GBK" w:hAnsi="方正公文小标宋" w:eastAsia="方正小标宋_GBK" w:cs="方正公文小标宋"/>
          <w:color w:val="auto"/>
          <w:sz w:val="44"/>
          <w:szCs w:val="44"/>
          <w:highlight w:val="none"/>
          <w:shd w:val="clear" w:color="auto" w:fill="FFFFFF"/>
        </w:rPr>
        <w:t>关于</w:t>
      </w:r>
      <w:r>
        <w:rPr>
          <w:rFonts w:hint="eastAsia" w:ascii="方正小标宋_GBK" w:hAnsi="方正公文小标宋" w:eastAsia="方正小标宋_GBK" w:cs="方正公文小标宋"/>
          <w:color w:val="auto"/>
          <w:sz w:val="44"/>
          <w:szCs w:val="44"/>
          <w:highlight w:val="none"/>
          <w:shd w:val="clear" w:color="auto" w:fill="FFFFFF"/>
          <w:lang w:val="en-US" w:eastAsia="zh-CN"/>
        </w:rPr>
        <w:t>2024广州全球茶业交易博览会</w:t>
      </w:r>
      <w:r>
        <w:rPr>
          <w:rFonts w:hint="eastAsia" w:ascii="方正小标宋_GBK" w:hAnsi="方正公文小标宋" w:eastAsia="方正小标宋_GBK" w:cs="方正公文小标宋"/>
          <w:color w:val="auto"/>
          <w:sz w:val="44"/>
          <w:szCs w:val="44"/>
          <w:highlight w:val="none"/>
          <w:shd w:val="clear" w:color="auto" w:fill="FFFFFF"/>
          <w:lang w:eastAsia="zh-CN"/>
        </w:rPr>
        <w:t>江门综合馆</w:t>
      </w:r>
      <w:r>
        <w:rPr>
          <w:rFonts w:hint="eastAsia" w:ascii="方正小标宋_GBK" w:hAnsi="方正公文小标宋" w:eastAsia="方正小标宋_GBK" w:cs="方正公文小标宋"/>
          <w:color w:val="auto"/>
          <w:sz w:val="44"/>
          <w:szCs w:val="44"/>
          <w:highlight w:val="none"/>
          <w:shd w:val="clear" w:color="auto" w:fill="FFFFFF"/>
        </w:rPr>
        <w:t>设计方案及搭建项目的评审方案</w:t>
      </w:r>
    </w:p>
    <w:p w14:paraId="676D060B">
      <w:pPr>
        <w:keepNext w:val="0"/>
        <w:keepLines w:val="0"/>
        <w:pageBreakBefore w:val="0"/>
        <w:widowControl w:val="0"/>
        <w:kinsoku/>
        <w:wordWrap/>
        <w:overflowPunct/>
        <w:topLinePunct w:val="0"/>
        <w:autoSpaceDE/>
        <w:autoSpaceDN/>
        <w:bidi w:val="0"/>
        <w:adjustRightInd/>
        <w:snapToGrid/>
        <w:spacing w:before="313" w:beforeLines="100"/>
        <w:ind w:firstLine="643" w:firstLineChars="200"/>
        <w:textAlignment w:val="auto"/>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一、评审小组</w:t>
      </w:r>
    </w:p>
    <w:p w14:paraId="5697F8F2">
      <w:pPr>
        <w:tabs>
          <w:tab w:val="left" w:pos="714"/>
        </w:tabs>
        <w:spacing w:line="360" w:lineRule="auto"/>
        <w:ind w:firstLine="627" w:firstLineChars="196"/>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局相关业务科室人员</w:t>
      </w:r>
      <w:r>
        <w:rPr>
          <w:rFonts w:hint="default" w:ascii="仿宋_GB2312" w:eastAsia="仿宋_GB2312"/>
          <w:color w:val="auto"/>
          <w:sz w:val="32"/>
          <w:szCs w:val="32"/>
          <w:highlight w:val="none"/>
          <w:lang w:eastAsia="zh-CN"/>
        </w:rPr>
        <w:t>共</w:t>
      </w:r>
      <w:r>
        <w:rPr>
          <w:rFonts w:hint="eastAsia" w:ascii="仿宋_GB2312" w:eastAsia="仿宋_GB2312"/>
          <w:color w:val="auto"/>
          <w:sz w:val="32"/>
          <w:szCs w:val="32"/>
          <w:highlight w:val="none"/>
          <w:lang w:eastAsia="zh-CN"/>
        </w:rPr>
        <w:t xml:space="preserve"> 3 名</w:t>
      </w:r>
      <w:r>
        <w:rPr>
          <w:rFonts w:hint="default" w:ascii="仿宋_GB2312" w:eastAsia="仿宋_GB2312"/>
          <w:color w:val="auto"/>
          <w:sz w:val="32"/>
          <w:szCs w:val="32"/>
          <w:highlight w:val="none"/>
          <w:lang w:eastAsia="zh-CN"/>
        </w:rPr>
        <w:t>组成</w:t>
      </w:r>
      <w:r>
        <w:rPr>
          <w:rFonts w:hint="eastAsia" w:ascii="仿宋_GB2312" w:eastAsia="仿宋_GB2312"/>
          <w:color w:val="auto"/>
          <w:sz w:val="32"/>
          <w:szCs w:val="32"/>
          <w:highlight w:val="none"/>
          <w:lang w:eastAsia="zh-CN"/>
        </w:rPr>
        <w:t>评审小组对</w:t>
      </w:r>
      <w:r>
        <w:rPr>
          <w:rFonts w:hint="eastAsia" w:ascii="仿宋_GB2312" w:eastAsia="仿宋_GB2312"/>
          <w:color w:val="auto"/>
          <w:sz w:val="32"/>
          <w:szCs w:val="32"/>
          <w:highlight w:val="none"/>
          <w:lang w:eastAsia="zh-CN"/>
        </w:rPr>
        <w:t>供应商提交的响应文件进行评审。</w:t>
      </w:r>
    </w:p>
    <w:p w14:paraId="4A946CDF">
      <w:pPr>
        <w:tabs>
          <w:tab w:val="left" w:pos="714"/>
        </w:tabs>
        <w:spacing w:line="360" w:lineRule="auto"/>
        <w:ind w:firstLine="630" w:firstLineChars="196"/>
        <w:rPr>
          <w:rFonts w:ascii="仿宋_GB2312" w:eastAsia="仿宋_GB2312"/>
          <w:b/>
          <w:color w:val="auto"/>
          <w:sz w:val="32"/>
          <w:szCs w:val="32"/>
          <w:highlight w:val="none"/>
        </w:rPr>
      </w:pPr>
      <w:r>
        <w:rPr>
          <w:rFonts w:hint="eastAsia" w:ascii="仿宋_GB2312" w:eastAsia="仿宋_GB2312"/>
          <w:b/>
          <w:color w:val="auto"/>
          <w:sz w:val="32"/>
          <w:szCs w:val="32"/>
          <w:highlight w:val="none"/>
        </w:rPr>
        <w:t>二、评审方法</w:t>
      </w:r>
    </w:p>
    <w:p w14:paraId="426664AD">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投标家数达到</w:t>
      </w:r>
      <w:r>
        <w:rPr>
          <w:rFonts w:hint="eastAsia" w:ascii="仿宋_GB2312" w:hAnsi="仿宋_GB2312" w:eastAsia="仿宋_GB2312" w:cs="仿宋_GB2312"/>
          <w:color w:val="auto"/>
          <w:sz w:val="32"/>
          <w:szCs w:val="32"/>
          <w:highlight w:val="none"/>
          <w:lang w:val="en-US" w:eastAsia="zh-CN"/>
        </w:rPr>
        <w:t>3家（包含及以上）即可开标评审。</w:t>
      </w:r>
    </w:p>
    <w:p w14:paraId="24001377">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2、评审小组对供应商提交的响应文件进行公开唱标（评审过程中</w:t>
      </w:r>
      <w:r>
        <w:rPr>
          <w:rFonts w:hint="default"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lang w:val="en-US" w:eastAsia="zh-CN"/>
        </w:rPr>
        <w:t>有两家</w:t>
      </w:r>
      <w:r>
        <w:rPr>
          <w:rFonts w:hint="default"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lang w:val="en-US" w:eastAsia="zh-CN"/>
        </w:rPr>
        <w:t>资格</w:t>
      </w:r>
      <w:r>
        <w:rPr>
          <w:rFonts w:hint="default" w:ascii="仿宋_GB2312" w:hAnsi="仿宋_GB2312" w:eastAsia="仿宋_GB2312" w:cs="仿宋_GB2312"/>
          <w:color w:val="auto"/>
          <w:sz w:val="32"/>
          <w:szCs w:val="32"/>
          <w:highlight w:val="none"/>
          <w:lang w:eastAsia="zh-CN"/>
        </w:rPr>
        <w:t>性审查</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eastAsia="zh-CN"/>
        </w:rPr>
        <w:t>方可</w:t>
      </w:r>
      <w:r>
        <w:rPr>
          <w:rFonts w:hint="eastAsia" w:ascii="仿宋_GB2312" w:hAnsi="仿宋_GB2312" w:eastAsia="仿宋_GB2312" w:cs="仿宋_GB2312"/>
          <w:color w:val="auto"/>
          <w:sz w:val="32"/>
          <w:szCs w:val="32"/>
          <w:highlight w:val="none"/>
          <w:lang w:val="en-US" w:eastAsia="zh-CN"/>
        </w:rPr>
        <w:t>继续进行），给予不少二次的报价，通过综合评分标准评审，评审小组出具评审报告，报分管业务局领导确认，综合评分最高的成为成交供应商。</w:t>
      </w:r>
    </w:p>
    <w:p w14:paraId="345362F1">
      <w:pPr>
        <w:pStyle w:val="6"/>
        <w:tabs>
          <w:tab w:val="left" w:pos="540"/>
          <w:tab w:val="left" w:pos="720"/>
        </w:tabs>
        <w:adjustRightInd w:val="0"/>
        <w:snapToGrid w:val="0"/>
        <w:spacing w:line="360" w:lineRule="auto"/>
        <w:ind w:left="2" w:leftChars="1"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评审小组对各供应商材料进行资格性审查和评审，评审采用综合评分法，即对通过资格审核的供应商的各项评审因素、价格进行评审、比较，并量化打分，最后根据各项得分之和，计算出综合得分，以得分最高的单位为项目承担方(综合得分相同，以价格评估得分高的优先，结果报局党组审批)。</w:t>
      </w:r>
    </w:p>
    <w:p w14:paraId="128F979D">
      <w:pPr>
        <w:tabs>
          <w:tab w:val="left" w:pos="714"/>
        </w:tabs>
        <w:spacing w:line="360" w:lineRule="auto"/>
        <w:ind w:firstLine="630" w:firstLineChars="196"/>
        <w:rPr>
          <w:rFonts w:ascii="仿宋_GB2312" w:eastAsia="仿宋_GB2312"/>
          <w:b/>
          <w:color w:val="auto"/>
          <w:sz w:val="32"/>
          <w:szCs w:val="32"/>
          <w:highlight w:val="none"/>
        </w:rPr>
      </w:pPr>
      <w:r>
        <w:rPr>
          <w:rFonts w:hint="eastAsia" w:ascii="仿宋_GB2312" w:eastAsia="仿宋_GB2312"/>
          <w:b/>
          <w:color w:val="auto"/>
          <w:sz w:val="32"/>
          <w:szCs w:val="32"/>
          <w:highlight w:val="none"/>
        </w:rPr>
        <w:t>三、评审步骤</w:t>
      </w:r>
    </w:p>
    <w:p w14:paraId="52FF6B8D">
      <w:pPr>
        <w:pStyle w:val="2"/>
        <w:adjustRightInd w:val="0"/>
        <w:snapToGrid w:val="0"/>
        <w:ind w:firstLine="627" w:firstLineChars="196"/>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 xml:space="preserve">评审小组对申报资料的评审分为初审、比较与评价： </w:t>
      </w:r>
    </w:p>
    <w:p w14:paraId="3FCC6B2A">
      <w:pPr>
        <w:pStyle w:val="2"/>
        <w:adjustRightInd w:val="0"/>
        <w:snapToGrid w:val="0"/>
        <w:ind w:firstLine="56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（一）初审</w:t>
      </w:r>
    </w:p>
    <w:p w14:paraId="302EACFA">
      <w:pPr>
        <w:pStyle w:val="2"/>
        <w:adjustRightInd w:val="0"/>
        <w:snapToGrid w:val="0"/>
        <w:ind w:firstLine="56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资格性检查（见</w:t>
      </w:r>
      <w:r>
        <w:rPr>
          <w:rFonts w:hint="eastAsia" w:ascii="仿宋_GB2312" w:hAnsi="仿宋" w:eastAsia="仿宋_GB2312"/>
          <w:color w:val="auto"/>
          <w:sz w:val="32"/>
          <w:szCs w:val="32"/>
          <w:highlight w:val="none"/>
          <w:lang w:eastAsia="zh-CN"/>
        </w:rPr>
        <w:t>附件</w:t>
      </w:r>
      <w:r>
        <w:rPr>
          <w:rFonts w:hint="eastAsia" w:ascii="仿宋_GB2312" w:hAnsi="仿宋" w:eastAsia="仿宋_GB2312"/>
          <w:color w:val="auto"/>
          <w:sz w:val="32"/>
          <w:szCs w:val="32"/>
          <w:highlight w:val="none"/>
        </w:rPr>
        <w:t>1），审查内容详见资格性审查表，只有通过初审才能进入评审环节。</w:t>
      </w:r>
    </w:p>
    <w:p w14:paraId="7298502D">
      <w:pPr>
        <w:pStyle w:val="2"/>
        <w:numPr>
          <w:ilvl w:val="0"/>
          <w:numId w:val="1"/>
        </w:numPr>
        <w:adjustRightInd w:val="0"/>
        <w:snapToGrid w:val="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比较与评价</w:t>
      </w:r>
    </w:p>
    <w:p w14:paraId="65110DE1">
      <w:pPr>
        <w:pStyle w:val="2"/>
        <w:tabs>
          <w:tab w:val="left" w:pos="920"/>
          <w:tab w:val="left" w:pos="1080"/>
        </w:tabs>
        <w:adjustRightInd w:val="0"/>
        <w:snapToGrid w:val="0"/>
        <w:ind w:left="561" w:leftChars="267" w:firstLine="160" w:firstLineChars="5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1、评价</w:t>
      </w:r>
    </w:p>
    <w:p w14:paraId="57C00BD0">
      <w:pPr>
        <w:pStyle w:val="2"/>
        <w:tabs>
          <w:tab w:val="left" w:pos="1080"/>
        </w:tabs>
        <w:adjustRightInd w:val="0"/>
        <w:snapToGrid w:val="0"/>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kern w:val="0"/>
          <w:sz w:val="32"/>
          <w:szCs w:val="32"/>
          <w:highlight w:val="none"/>
        </w:rPr>
        <w:t>评审小组对通过资格审查的供应商，对照各项评审因素</w:t>
      </w:r>
      <w:r>
        <w:rPr>
          <w:rFonts w:hint="eastAsia" w:ascii="仿宋_GB2312" w:hAnsi="宋体" w:eastAsia="仿宋_GB2312"/>
          <w:color w:val="auto"/>
          <w:sz w:val="32"/>
          <w:szCs w:val="32"/>
          <w:highlight w:val="none"/>
        </w:rPr>
        <w:t>进行评审和比较，并量化打分</w:t>
      </w:r>
      <w:r>
        <w:rPr>
          <w:rFonts w:hint="eastAsia" w:ascii="仿宋_GB2312" w:hAnsi="仿宋" w:eastAsia="仿宋_GB2312"/>
          <w:color w:val="auto"/>
          <w:sz w:val="32"/>
          <w:szCs w:val="32"/>
          <w:highlight w:val="none"/>
        </w:rPr>
        <w:t>（详</w:t>
      </w:r>
      <w:r>
        <w:rPr>
          <w:rFonts w:hint="eastAsia" w:ascii="仿宋_GB2312" w:hAnsi="宋体" w:eastAsia="仿宋_GB2312"/>
          <w:color w:val="auto"/>
          <w:sz w:val="32"/>
          <w:szCs w:val="32"/>
          <w:highlight w:val="none"/>
        </w:rPr>
        <w:t>见</w:t>
      </w:r>
      <w:r>
        <w:rPr>
          <w:rFonts w:hint="eastAsia" w:ascii="仿宋_GB2312" w:hAnsi="宋体" w:eastAsia="仿宋_GB2312"/>
          <w:color w:val="auto"/>
          <w:sz w:val="32"/>
          <w:szCs w:val="32"/>
          <w:highlight w:val="none"/>
          <w:lang w:eastAsia="zh-CN"/>
        </w:rPr>
        <w:t>附件</w:t>
      </w:r>
      <w:r>
        <w:rPr>
          <w:rFonts w:hint="eastAsia" w:ascii="仿宋_GB2312" w:hAnsi="宋体" w:eastAsia="仿宋_GB2312"/>
          <w:color w:val="auto"/>
          <w:sz w:val="32"/>
          <w:szCs w:val="32"/>
          <w:highlight w:val="none"/>
        </w:rPr>
        <w:t>2）。</w:t>
      </w:r>
    </w:p>
    <w:p w14:paraId="7B12FEE0">
      <w:pPr>
        <w:pStyle w:val="2"/>
        <w:tabs>
          <w:tab w:val="left" w:pos="900"/>
          <w:tab w:val="left" w:pos="1080"/>
        </w:tabs>
        <w:adjustRightInd w:val="0"/>
        <w:snapToGrid w:val="0"/>
        <w:ind w:left="561" w:leftChars="267" w:firstLine="160" w:firstLineChars="5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2、价格评估</w:t>
      </w:r>
    </w:p>
    <w:p w14:paraId="53AC9C0D">
      <w:pPr>
        <w:pStyle w:val="2"/>
        <w:adjustRightInd w:val="0"/>
        <w:snapToGrid w:val="0"/>
        <w:ind w:left="0" w:leftChars="0"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价格评估得分采用低价优先法计算，即通过</w:t>
      </w:r>
      <w:r>
        <w:rPr>
          <w:rFonts w:hint="eastAsia" w:ascii="仿宋_GB2312" w:hAnsi="仿宋" w:eastAsia="仿宋_GB2312"/>
          <w:color w:val="auto"/>
          <w:kern w:val="0"/>
          <w:sz w:val="32"/>
          <w:szCs w:val="32"/>
          <w:highlight w:val="none"/>
        </w:rPr>
        <w:t>资格审查</w:t>
      </w:r>
      <w:r>
        <w:rPr>
          <w:rFonts w:hint="eastAsia" w:ascii="仿宋_GB2312" w:hAnsi="仿宋" w:eastAsia="仿宋_GB2312"/>
          <w:color w:val="auto"/>
          <w:sz w:val="32"/>
          <w:szCs w:val="32"/>
          <w:highlight w:val="none"/>
        </w:rPr>
        <w:t>且价格最低者的评审价为评审基准价，其价格评估得分为30分；其他供应商的价格评估得分按</w:t>
      </w:r>
      <w:r>
        <w:rPr>
          <w:rFonts w:hint="eastAsia" w:ascii="仿宋_GB2312" w:hAnsi="仿宋" w:eastAsia="仿宋_GB2312"/>
          <w:color w:val="auto"/>
          <w:sz w:val="32"/>
          <w:szCs w:val="32"/>
          <w:highlight w:val="none"/>
          <w:lang w:eastAsia="zh-CN"/>
        </w:rPr>
        <w:t>附件</w:t>
      </w:r>
      <w:r>
        <w:rPr>
          <w:rFonts w:hint="eastAsia" w:ascii="仿宋_GB2312" w:hAnsi="仿宋" w:eastAsia="仿宋_GB2312"/>
          <w:color w:val="auto"/>
          <w:sz w:val="32"/>
          <w:szCs w:val="32"/>
          <w:highlight w:val="none"/>
        </w:rPr>
        <w:t>2计算。</w:t>
      </w:r>
    </w:p>
    <w:p w14:paraId="7D4DC654">
      <w:pPr>
        <w:pStyle w:val="2"/>
        <w:adjustRightInd w:val="0"/>
        <w:snapToGrid w:val="0"/>
        <w:ind w:firstLine="56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3.综合比较与评价</w:t>
      </w:r>
    </w:p>
    <w:p w14:paraId="2C902F75">
      <w:pPr>
        <w:pStyle w:val="2"/>
        <w:adjustRightInd w:val="0"/>
        <w:snapToGrid w:val="0"/>
        <w:ind w:firstLine="579" w:firstLineChars="181"/>
        <w:rPr>
          <w:rFonts w:ascii="仿宋_GB2312" w:hAnsi="仿宋" w:eastAsia="仿宋_GB2312"/>
          <w:color w:val="auto"/>
          <w:sz w:val="32"/>
          <w:szCs w:val="32"/>
          <w:highlight w:val="none"/>
        </w:rPr>
      </w:pPr>
      <w:r>
        <w:rPr>
          <w:rFonts w:hint="eastAsia" w:ascii="仿宋_GB2312" w:hAnsi="宋体" w:eastAsia="仿宋_GB2312"/>
          <w:color w:val="auto"/>
          <w:sz w:val="32"/>
          <w:szCs w:val="32"/>
          <w:highlight w:val="none"/>
        </w:rPr>
        <w:t>将各供应商的各项评价得分和价格评估得分相加，计算得出该</w:t>
      </w:r>
      <w:r>
        <w:rPr>
          <w:rFonts w:hint="eastAsia" w:ascii="仿宋_GB2312" w:hAnsi="仿宋" w:eastAsia="仿宋_GB2312"/>
          <w:color w:val="auto"/>
          <w:sz w:val="32"/>
          <w:szCs w:val="32"/>
          <w:highlight w:val="none"/>
        </w:rPr>
        <w:t>供应商</w:t>
      </w:r>
      <w:r>
        <w:rPr>
          <w:rFonts w:hint="eastAsia" w:ascii="仿宋_GB2312" w:hAnsi="宋体" w:eastAsia="仿宋_GB2312"/>
          <w:color w:val="auto"/>
          <w:sz w:val="32"/>
          <w:szCs w:val="32"/>
          <w:highlight w:val="none"/>
        </w:rPr>
        <w:t>的综合评价得分。</w:t>
      </w:r>
    </w:p>
    <w:p w14:paraId="036B7663">
      <w:pPr>
        <w:pStyle w:val="2"/>
        <w:adjustRightInd w:val="0"/>
        <w:snapToGrid w:val="0"/>
        <w:ind w:firstLine="643" w:firstLineChars="200"/>
        <w:rPr>
          <w:rFonts w:ascii="仿宋_GB2312" w:hAnsi="仿宋" w:eastAsia="仿宋_GB2312"/>
          <w:b/>
          <w:color w:val="auto"/>
          <w:sz w:val="32"/>
          <w:szCs w:val="32"/>
          <w:highlight w:val="none"/>
        </w:rPr>
      </w:pPr>
      <w:r>
        <w:rPr>
          <w:rFonts w:hint="eastAsia" w:ascii="仿宋_GB2312" w:hAnsi="仿宋" w:eastAsia="仿宋_GB2312"/>
          <w:b/>
          <w:color w:val="auto"/>
          <w:sz w:val="32"/>
          <w:szCs w:val="32"/>
          <w:highlight w:val="none"/>
        </w:rPr>
        <w:t>四、确定承担单位</w:t>
      </w:r>
    </w:p>
    <w:p w14:paraId="06F67911">
      <w:pPr>
        <w:pStyle w:val="2"/>
        <w:adjustRightInd w:val="0"/>
        <w:snapToGrid w:val="0"/>
        <w:ind w:firstLine="640" w:firstLineChars="200"/>
        <w:rPr>
          <w:rFonts w:hint="eastAsia" w:ascii="仿宋_GB2312" w:hAnsi="仿宋" w:eastAsia="仿宋_GB2312"/>
          <w:color w:val="auto"/>
          <w:kern w:val="0"/>
          <w:sz w:val="32"/>
          <w:szCs w:val="32"/>
          <w:highlight w:val="none"/>
        </w:rPr>
      </w:pPr>
      <w:r>
        <w:rPr>
          <w:rFonts w:hint="eastAsia" w:ascii="仿宋_GB2312" w:hAnsi="仿宋" w:eastAsia="仿宋_GB2312"/>
          <w:color w:val="auto"/>
          <w:kern w:val="0"/>
          <w:sz w:val="32"/>
          <w:szCs w:val="32"/>
          <w:highlight w:val="none"/>
        </w:rPr>
        <w:t>评审小组按综合评价得分由高到低进行排序，确定排名第一的供应商为项目承担单位。</w:t>
      </w:r>
    </w:p>
    <w:p w14:paraId="1F924824">
      <w:pPr>
        <w:pStyle w:val="2"/>
        <w:adjustRightInd w:val="0"/>
        <w:snapToGrid w:val="0"/>
        <w:ind w:firstLine="640" w:firstLineChars="200"/>
        <w:rPr>
          <w:rFonts w:hint="eastAsia" w:ascii="仿宋_GB2312" w:hAnsi="仿宋" w:eastAsia="仿宋_GB2312"/>
          <w:color w:val="auto"/>
          <w:kern w:val="0"/>
          <w:sz w:val="32"/>
          <w:szCs w:val="32"/>
          <w:highlight w:val="none"/>
        </w:rPr>
      </w:pPr>
    </w:p>
    <w:p w14:paraId="5BF1A566">
      <w:pPr>
        <w:pStyle w:val="2"/>
        <w:adjustRightInd w:val="0"/>
        <w:snapToGrid w:val="0"/>
        <w:ind w:firstLine="640" w:firstLineChars="200"/>
        <w:rPr>
          <w:rFonts w:hint="eastAsia" w:ascii="仿宋_GB2312" w:hAnsi="仿宋" w:eastAsia="仿宋_GB2312"/>
          <w:color w:val="auto"/>
          <w:kern w:val="0"/>
          <w:sz w:val="32"/>
          <w:szCs w:val="32"/>
          <w:highlight w:val="none"/>
        </w:rPr>
      </w:pPr>
    </w:p>
    <w:p w14:paraId="3472298A">
      <w:pPr>
        <w:pStyle w:val="2"/>
        <w:adjustRightInd w:val="0"/>
        <w:snapToGrid w:val="0"/>
        <w:ind w:firstLine="640" w:firstLineChars="200"/>
        <w:rPr>
          <w:rFonts w:hint="eastAsia" w:ascii="仿宋_GB2312" w:hAnsi="仿宋" w:eastAsia="仿宋_GB2312"/>
          <w:color w:val="auto"/>
          <w:kern w:val="0"/>
          <w:sz w:val="32"/>
          <w:szCs w:val="32"/>
          <w:highlight w:val="none"/>
        </w:rPr>
      </w:pPr>
    </w:p>
    <w:p w14:paraId="2506C021">
      <w:pPr>
        <w:pStyle w:val="2"/>
        <w:adjustRightInd w:val="0"/>
        <w:snapToGrid w:val="0"/>
        <w:ind w:firstLine="640" w:firstLineChars="200"/>
        <w:rPr>
          <w:rFonts w:hint="eastAsia" w:ascii="仿宋_GB2312" w:hAnsi="仿宋" w:eastAsia="仿宋_GB2312"/>
          <w:color w:val="auto"/>
          <w:kern w:val="0"/>
          <w:sz w:val="32"/>
          <w:szCs w:val="32"/>
          <w:highlight w:val="none"/>
        </w:rPr>
      </w:pPr>
    </w:p>
    <w:p w14:paraId="0EF22B26">
      <w:pPr>
        <w:pStyle w:val="2"/>
        <w:adjustRightInd w:val="0"/>
        <w:snapToGrid w:val="0"/>
        <w:ind w:left="0" w:leftChars="0" w:firstLine="0" w:firstLineChars="0"/>
        <w:rPr>
          <w:rFonts w:hint="eastAsia" w:ascii="仿宋_GB2312" w:hAnsi="仿宋" w:eastAsia="仿宋_GB2312"/>
          <w:color w:val="auto"/>
          <w:kern w:val="0"/>
          <w:sz w:val="32"/>
          <w:szCs w:val="32"/>
          <w:highlight w:val="none"/>
        </w:rPr>
      </w:pPr>
    </w:p>
    <w:p w14:paraId="37F3B389">
      <w:pPr>
        <w:widowControl/>
        <w:jc w:val="left"/>
        <w:rPr>
          <w:rFonts w:hint="eastAsia" w:ascii="仿宋_GB2312" w:hAnsi="仿宋" w:eastAsia="仿宋_GB2312"/>
          <w:b/>
          <w:bCs/>
          <w:color w:val="auto"/>
          <w:sz w:val="32"/>
          <w:szCs w:val="32"/>
          <w:highlight w:val="none"/>
        </w:rPr>
      </w:pPr>
      <w:bookmarkStart w:id="0" w:name="_GoBack"/>
      <w:bookmarkEnd w:id="0"/>
    </w:p>
    <w:p w14:paraId="153CFE8F">
      <w:pPr>
        <w:widowControl/>
        <w:jc w:val="left"/>
        <w:rPr>
          <w:rFonts w:ascii="仿宋_GB2312" w:hAnsi="仿宋" w:eastAsia="仿宋_GB2312"/>
          <w:color w:val="auto"/>
          <w:kern w:val="0"/>
          <w:sz w:val="32"/>
          <w:szCs w:val="32"/>
          <w:highlight w:val="none"/>
        </w:rPr>
      </w:pPr>
      <w:r>
        <w:rPr>
          <w:rFonts w:hint="eastAsia" w:ascii="仿宋_GB2312" w:hAnsi="仿宋" w:eastAsia="仿宋_GB2312"/>
          <w:b/>
          <w:bCs/>
          <w:color w:val="auto"/>
          <w:sz w:val="32"/>
          <w:szCs w:val="32"/>
          <w:highlight w:val="none"/>
        </w:rPr>
        <w:t>附件</w:t>
      </w:r>
      <w:r>
        <w:rPr>
          <w:rFonts w:hint="eastAsia" w:ascii="仿宋_GB2312" w:hAnsi="仿宋" w:eastAsia="仿宋_GB2312"/>
          <w:b/>
          <w:bCs/>
          <w:color w:val="auto"/>
          <w:sz w:val="32"/>
          <w:szCs w:val="32"/>
          <w:highlight w:val="none"/>
          <w:lang w:val="en-US" w:eastAsia="zh-CN"/>
        </w:rPr>
        <w:t>1</w:t>
      </w:r>
      <w:r>
        <w:rPr>
          <w:rFonts w:hint="eastAsia" w:ascii="仿宋_GB2312" w:hAnsi="仿宋" w:eastAsia="仿宋_GB2312"/>
          <w:b/>
          <w:bCs/>
          <w:color w:val="auto"/>
          <w:sz w:val="32"/>
          <w:szCs w:val="32"/>
          <w:highlight w:val="none"/>
        </w:rPr>
        <w:t>：</w:t>
      </w:r>
    </w:p>
    <w:p w14:paraId="51E65CEF">
      <w:pPr>
        <w:spacing w:line="360" w:lineRule="auto"/>
        <w:jc w:val="center"/>
        <w:rPr>
          <w:rFonts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rPr>
        <w:t>表1：资格性审查表</w:t>
      </w:r>
    </w:p>
    <w:tbl>
      <w:tblPr>
        <w:tblStyle w:val="4"/>
        <w:tblW w:w="84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00"/>
        <w:gridCol w:w="3663"/>
        <w:gridCol w:w="1"/>
        <w:gridCol w:w="1153"/>
        <w:gridCol w:w="1"/>
        <w:gridCol w:w="1148"/>
        <w:gridCol w:w="1"/>
        <w:gridCol w:w="1134"/>
        <w:gridCol w:w="1"/>
      </w:tblGrid>
      <w:tr w14:paraId="1793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04"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14:paraId="4C038B40">
            <w:pPr>
              <w:adjustRightInd w:val="0"/>
              <w:snapToGrid w:val="0"/>
              <w:jc w:val="center"/>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7AEDDECA">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123C316C">
            <w:pPr>
              <w:adjustRightInd w:val="0"/>
              <w:snapToGrid w:val="0"/>
              <w:jc w:val="center"/>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4682447E">
            <w:pPr>
              <w:adjustRightInd w:val="0"/>
              <w:snapToGrid w:val="0"/>
              <w:jc w:val="center"/>
              <w:rPr>
                <w:rFonts w:hint="eastAsia" w:ascii="仿宋_GB2312" w:hAnsi="仿宋" w:eastAsia="仿宋_GB2312"/>
                <w:b/>
                <w:bCs/>
                <w:color w:val="auto"/>
                <w:sz w:val="28"/>
                <w:szCs w:val="28"/>
                <w:highlight w:val="none"/>
                <w:lang w:eastAsia="zh-CN"/>
              </w:rPr>
            </w:pPr>
            <w:r>
              <w:rPr>
                <w:rFonts w:hint="eastAsia" w:ascii="仿宋_GB2312" w:hAnsi="仿宋" w:eastAsia="仿宋_GB2312"/>
                <w:b/>
                <w:bCs/>
                <w:color w:val="auto"/>
                <w:sz w:val="28"/>
                <w:szCs w:val="28"/>
                <w:highlight w:val="none"/>
                <w:lang w:eastAsia="zh-CN"/>
              </w:rPr>
              <w:t>供应商</w:t>
            </w:r>
          </w:p>
          <w:p w14:paraId="6CB66E69">
            <w:pPr>
              <w:adjustRightInd w:val="0"/>
              <w:snapToGrid w:val="0"/>
              <w:jc w:val="center"/>
              <w:rPr>
                <w:rFonts w:hint="default" w:ascii="仿宋_GB2312" w:hAnsi="仿宋" w:eastAsia="仿宋_GB2312"/>
                <w:b/>
                <w:bCs/>
                <w:color w:val="auto"/>
                <w:sz w:val="28"/>
                <w:szCs w:val="28"/>
                <w:highlight w:val="none"/>
                <w:lang w:val="en-US" w:eastAsia="zh-CN"/>
              </w:rPr>
            </w:pPr>
            <w:r>
              <w:rPr>
                <w:rFonts w:hint="eastAsia" w:ascii="仿宋_GB2312" w:hAnsi="仿宋" w:eastAsia="仿宋_GB2312"/>
                <w:b/>
                <w:bCs/>
                <w:color w:val="auto"/>
                <w:sz w:val="28"/>
                <w:szCs w:val="28"/>
                <w:highlight w:val="none"/>
                <w:lang w:val="en-US" w:eastAsia="zh-CN"/>
              </w:rPr>
              <w:t>...</w:t>
            </w:r>
          </w:p>
        </w:tc>
      </w:tr>
      <w:tr w14:paraId="58E3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restart"/>
            <w:tcBorders>
              <w:top w:val="single" w:color="auto" w:sz="4" w:space="0"/>
              <w:left w:val="single" w:color="auto" w:sz="4" w:space="0"/>
              <w:right w:val="single" w:color="auto" w:sz="4" w:space="0"/>
            </w:tcBorders>
            <w:noWrap w:val="0"/>
            <w:textDirection w:val="tbRlV"/>
            <w:vAlign w:val="center"/>
          </w:tcPr>
          <w:p w14:paraId="06F6EA0C">
            <w:pPr>
              <w:spacing w:line="360" w:lineRule="auto"/>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14:paraId="34336CFB">
            <w:pPr>
              <w:adjustRightInd w:val="0"/>
              <w:snapToGrid w:val="0"/>
              <w:ind w:left="113" w:right="113"/>
              <w:jc w:val="center"/>
              <w:rPr>
                <w:rFonts w:ascii="宋体" w:cs="宋体"/>
                <w:color w:val="auto"/>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14:paraId="58B7C26A">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①营业执照或组织机构代码证</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7F1971DD">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0BD00A5B">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7AB1F941">
            <w:pPr>
              <w:adjustRightInd w:val="0"/>
              <w:snapToGrid w:val="0"/>
              <w:jc w:val="center"/>
              <w:rPr>
                <w:rFonts w:ascii="仿宋_GB2312" w:hAnsi="宋体" w:eastAsia="仿宋_GB2312"/>
                <w:color w:val="auto"/>
                <w:sz w:val="28"/>
                <w:szCs w:val="28"/>
                <w:highlight w:val="none"/>
              </w:rPr>
            </w:pPr>
          </w:p>
        </w:tc>
      </w:tr>
      <w:tr w14:paraId="4AD9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14:paraId="477DE676">
            <w:pPr>
              <w:widowControl/>
              <w:jc w:val="left"/>
              <w:rPr>
                <w:rFonts w:ascii="宋体" w:cs="宋体"/>
                <w:color w:val="auto"/>
                <w:sz w:val="28"/>
                <w:szCs w:val="28"/>
                <w:highlight w:val="none"/>
              </w:rPr>
            </w:pPr>
          </w:p>
        </w:tc>
        <w:tc>
          <w:tcPr>
            <w:tcW w:w="500" w:type="dxa"/>
            <w:vMerge w:val="restart"/>
            <w:tcBorders>
              <w:top w:val="single" w:color="auto" w:sz="4" w:space="0"/>
              <w:left w:val="single" w:color="auto" w:sz="4" w:space="0"/>
              <w:right w:val="single" w:color="auto" w:sz="4" w:space="0"/>
            </w:tcBorders>
            <w:noWrap w:val="0"/>
            <w:vAlign w:val="center"/>
          </w:tcPr>
          <w:p w14:paraId="26217161">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3664" w:type="dxa"/>
            <w:gridSpan w:val="2"/>
            <w:tcBorders>
              <w:top w:val="single" w:color="auto" w:sz="4" w:space="0"/>
              <w:left w:val="single" w:color="auto" w:sz="4" w:space="0"/>
              <w:right w:val="single" w:color="auto" w:sz="4" w:space="0"/>
            </w:tcBorders>
            <w:noWrap w:val="0"/>
            <w:vAlign w:val="center"/>
          </w:tcPr>
          <w:p w14:paraId="76CCCAD1">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②未被列入“信用中国”网站（www.creditchina.gov.cn）“记录失信被执行人或重大税收违法案件当事人名单或政府采购严重违法失信行为”记录名单</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0C5FADAC">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07C889B0">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443F0100">
            <w:pPr>
              <w:adjustRightInd w:val="0"/>
              <w:snapToGrid w:val="0"/>
              <w:jc w:val="center"/>
              <w:rPr>
                <w:rFonts w:ascii="仿宋_GB2312" w:hAnsi="宋体" w:eastAsia="仿宋_GB2312"/>
                <w:color w:val="auto"/>
                <w:sz w:val="28"/>
                <w:szCs w:val="28"/>
                <w:highlight w:val="none"/>
              </w:rPr>
            </w:pPr>
          </w:p>
        </w:tc>
      </w:tr>
      <w:tr w14:paraId="6011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14:paraId="51837F72">
            <w:pPr>
              <w:widowControl/>
              <w:jc w:val="left"/>
              <w:rPr>
                <w:rFonts w:ascii="宋体" w:cs="宋体"/>
                <w:color w:val="auto"/>
                <w:sz w:val="28"/>
                <w:szCs w:val="28"/>
                <w:highlight w:val="none"/>
              </w:rPr>
            </w:pPr>
          </w:p>
        </w:tc>
        <w:tc>
          <w:tcPr>
            <w:tcW w:w="500" w:type="dxa"/>
            <w:vMerge w:val="continue"/>
            <w:tcBorders>
              <w:left w:val="single" w:color="auto" w:sz="4" w:space="0"/>
              <w:bottom w:val="single" w:color="auto" w:sz="4" w:space="0"/>
              <w:right w:val="single" w:color="auto" w:sz="4" w:space="0"/>
            </w:tcBorders>
            <w:noWrap w:val="0"/>
            <w:vAlign w:val="center"/>
          </w:tcPr>
          <w:p w14:paraId="47018C65">
            <w:pPr>
              <w:adjustRightInd w:val="0"/>
              <w:snapToGrid w:val="0"/>
              <w:rPr>
                <w:rFonts w:hint="eastAsia" w:ascii="仿宋_GB2312" w:hAnsi="宋体" w:eastAsia="仿宋_GB2312"/>
                <w:color w:val="auto"/>
                <w:sz w:val="28"/>
                <w:szCs w:val="28"/>
                <w:highlight w:val="none"/>
              </w:rPr>
            </w:pPr>
          </w:p>
        </w:tc>
        <w:tc>
          <w:tcPr>
            <w:tcW w:w="3664" w:type="dxa"/>
            <w:gridSpan w:val="2"/>
            <w:tcBorders>
              <w:left w:val="single" w:color="auto" w:sz="4" w:space="0"/>
              <w:bottom w:val="single" w:color="auto" w:sz="4" w:space="0"/>
              <w:right w:val="single" w:color="auto" w:sz="4" w:space="0"/>
            </w:tcBorders>
            <w:noWrap w:val="0"/>
            <w:vAlign w:val="center"/>
          </w:tcPr>
          <w:p w14:paraId="5281B5F6">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5D29FAE9">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613EAA49">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4B7AFA34">
            <w:pPr>
              <w:adjustRightInd w:val="0"/>
              <w:snapToGrid w:val="0"/>
              <w:jc w:val="center"/>
              <w:rPr>
                <w:rFonts w:ascii="仿宋_GB2312" w:hAnsi="宋体" w:eastAsia="仿宋_GB2312"/>
                <w:color w:val="auto"/>
                <w:sz w:val="28"/>
                <w:szCs w:val="28"/>
                <w:highlight w:val="none"/>
              </w:rPr>
            </w:pPr>
          </w:p>
        </w:tc>
      </w:tr>
      <w:tr w14:paraId="67A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09" w:type="dxa"/>
            <w:vMerge w:val="continue"/>
            <w:tcBorders>
              <w:left w:val="single" w:color="auto" w:sz="4" w:space="0"/>
              <w:right w:val="single" w:color="auto" w:sz="4" w:space="0"/>
            </w:tcBorders>
            <w:noWrap w:val="0"/>
            <w:vAlign w:val="center"/>
          </w:tcPr>
          <w:p w14:paraId="02CAE55E">
            <w:pPr>
              <w:widowControl/>
              <w:jc w:val="left"/>
              <w:rPr>
                <w:rFonts w:ascii="宋体" w:cs="宋体"/>
                <w:color w:val="auto"/>
                <w:sz w:val="28"/>
                <w:szCs w:val="28"/>
                <w:highlight w:val="none"/>
              </w:rPr>
            </w:pPr>
          </w:p>
        </w:tc>
        <w:tc>
          <w:tcPr>
            <w:tcW w:w="4164" w:type="dxa"/>
            <w:gridSpan w:val="3"/>
            <w:tcBorders>
              <w:top w:val="single" w:color="auto" w:sz="4" w:space="0"/>
              <w:left w:val="single" w:color="auto" w:sz="4" w:space="0"/>
              <w:bottom w:val="single" w:color="auto" w:sz="4" w:space="0"/>
              <w:right w:val="single" w:color="auto" w:sz="4" w:space="0"/>
            </w:tcBorders>
            <w:noWrap w:val="0"/>
            <w:vAlign w:val="center"/>
          </w:tcPr>
          <w:p w14:paraId="48FEFA53">
            <w:pPr>
              <w:adjustRightInd w:val="0"/>
              <w:snapToGrid w:val="0"/>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④项目总体不超出</w:t>
            </w:r>
            <w:r>
              <w:rPr>
                <w:rFonts w:hint="default" w:ascii="仿宋_GB2312" w:hAnsi="宋体" w:eastAsia="仿宋_GB2312"/>
                <w:color w:val="auto"/>
                <w:sz w:val="28"/>
                <w:szCs w:val="28"/>
                <w:highlight w:val="none"/>
                <w:lang w:eastAsia="zh-CN"/>
              </w:rPr>
              <w:t>5.4</w:t>
            </w:r>
            <w:r>
              <w:rPr>
                <w:rFonts w:hint="eastAsia" w:ascii="仿宋_GB2312" w:hAnsi="宋体" w:eastAsia="仿宋_GB2312"/>
                <w:color w:val="auto"/>
                <w:sz w:val="28"/>
                <w:szCs w:val="28"/>
                <w:highlight w:val="none"/>
              </w:rPr>
              <w:t>万元</w:t>
            </w:r>
            <w:r>
              <w:rPr>
                <w:rFonts w:hint="eastAsia" w:ascii="仿宋_GB2312" w:hAnsi="宋体" w:eastAsia="仿宋_GB2312"/>
                <w:color w:val="auto"/>
                <w:sz w:val="28"/>
                <w:szCs w:val="28"/>
                <w:highlight w:val="none"/>
                <w:lang w:eastAsia="zh-CN"/>
              </w:rPr>
              <w:t>（含税）</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0A299223">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25A3AFC1">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186F57A2">
            <w:pPr>
              <w:adjustRightInd w:val="0"/>
              <w:snapToGrid w:val="0"/>
              <w:jc w:val="center"/>
              <w:rPr>
                <w:rFonts w:ascii="仿宋_GB2312" w:hAnsi="宋体" w:eastAsia="仿宋_GB2312"/>
                <w:color w:val="auto"/>
                <w:sz w:val="28"/>
                <w:szCs w:val="28"/>
                <w:highlight w:val="none"/>
              </w:rPr>
            </w:pPr>
          </w:p>
        </w:tc>
      </w:tr>
      <w:tr w14:paraId="094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14:paraId="138C3EDE">
            <w:pPr>
              <w:widowControl/>
              <w:jc w:val="left"/>
              <w:rPr>
                <w:rFonts w:ascii="宋体" w:cs="宋体"/>
                <w:color w:val="auto"/>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14:paraId="6AD9376E">
            <w:pPr>
              <w:adjustRightInd w:val="0"/>
              <w:snapToGrid w:val="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w:t>
            </w:r>
            <w:r>
              <w:rPr>
                <w:rFonts w:hint="eastAsia" w:ascii="仿宋_GB2312" w:hAnsi="仿宋" w:eastAsia="仿宋_GB2312"/>
                <w:color w:val="auto"/>
                <w:sz w:val="28"/>
                <w:szCs w:val="28"/>
                <w:highlight w:val="none"/>
              </w:rPr>
              <w:t>供应商</w:t>
            </w:r>
            <w:r>
              <w:rPr>
                <w:rFonts w:hint="eastAsia" w:ascii="仿宋_GB2312" w:hAnsi="宋体" w:eastAsia="仿宋_GB2312"/>
                <w:color w:val="auto"/>
                <w:sz w:val="28"/>
                <w:szCs w:val="28"/>
                <w:highlight w:val="none"/>
              </w:rPr>
              <w:t>非联合体</w:t>
            </w:r>
          </w:p>
        </w:tc>
        <w:tc>
          <w:tcPr>
            <w:tcW w:w="1154" w:type="dxa"/>
            <w:gridSpan w:val="2"/>
            <w:tcBorders>
              <w:top w:val="single" w:color="auto" w:sz="4" w:space="0"/>
              <w:left w:val="single" w:color="auto" w:sz="4" w:space="0"/>
              <w:right w:val="single" w:color="auto" w:sz="4" w:space="0"/>
            </w:tcBorders>
            <w:noWrap w:val="0"/>
            <w:vAlign w:val="center"/>
          </w:tcPr>
          <w:p w14:paraId="54E060D6">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61B4D848">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1A886448">
            <w:pPr>
              <w:adjustRightInd w:val="0"/>
              <w:snapToGrid w:val="0"/>
              <w:jc w:val="center"/>
              <w:rPr>
                <w:rFonts w:ascii="仿宋_GB2312" w:hAnsi="宋体" w:eastAsia="仿宋_GB2312"/>
                <w:color w:val="auto"/>
                <w:sz w:val="28"/>
                <w:szCs w:val="28"/>
                <w:highlight w:val="none"/>
              </w:rPr>
            </w:pPr>
          </w:p>
        </w:tc>
      </w:tr>
      <w:tr w14:paraId="5B3E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09" w:type="dxa"/>
            <w:vMerge w:val="continue"/>
            <w:tcBorders>
              <w:left w:val="single" w:color="auto" w:sz="4" w:space="0"/>
              <w:right w:val="single" w:color="auto" w:sz="4" w:space="0"/>
            </w:tcBorders>
            <w:noWrap w:val="0"/>
            <w:vAlign w:val="center"/>
          </w:tcPr>
          <w:p w14:paraId="715C567A">
            <w:pPr>
              <w:widowControl/>
              <w:jc w:val="left"/>
              <w:rPr>
                <w:rFonts w:ascii="宋体" w:cs="宋体"/>
                <w:color w:val="auto"/>
                <w:sz w:val="28"/>
                <w:szCs w:val="28"/>
                <w:highlight w:val="none"/>
              </w:rPr>
            </w:pPr>
          </w:p>
        </w:tc>
        <w:tc>
          <w:tcPr>
            <w:tcW w:w="4164" w:type="dxa"/>
            <w:gridSpan w:val="3"/>
            <w:tcBorders>
              <w:top w:val="single" w:color="auto" w:sz="4" w:space="0"/>
              <w:left w:val="single" w:color="auto" w:sz="4" w:space="0"/>
              <w:right w:val="single" w:color="auto" w:sz="4" w:space="0"/>
            </w:tcBorders>
            <w:noWrap w:val="0"/>
            <w:vAlign w:val="center"/>
          </w:tcPr>
          <w:p w14:paraId="149D0326">
            <w:pPr>
              <w:adjustRightInd w:val="0"/>
              <w:snapToGrid w:val="0"/>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highlight w:val="none"/>
              </w:rPr>
              <w:t>⑥有符合要求的固定办公场所及合法稳定的收入来源</w:t>
            </w:r>
          </w:p>
        </w:tc>
        <w:tc>
          <w:tcPr>
            <w:tcW w:w="1154" w:type="dxa"/>
            <w:gridSpan w:val="2"/>
            <w:tcBorders>
              <w:top w:val="single" w:color="auto" w:sz="4" w:space="0"/>
              <w:left w:val="single" w:color="auto" w:sz="4" w:space="0"/>
              <w:right w:val="single" w:color="auto" w:sz="4" w:space="0"/>
            </w:tcBorders>
            <w:noWrap w:val="0"/>
            <w:vAlign w:val="center"/>
          </w:tcPr>
          <w:p w14:paraId="244A12FC">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4248704A">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6C1515EA">
            <w:pPr>
              <w:adjustRightInd w:val="0"/>
              <w:snapToGrid w:val="0"/>
              <w:jc w:val="center"/>
              <w:rPr>
                <w:rFonts w:ascii="仿宋_GB2312" w:hAnsi="宋体" w:eastAsia="仿宋_GB2312"/>
                <w:color w:val="auto"/>
                <w:sz w:val="28"/>
                <w:szCs w:val="28"/>
                <w:highlight w:val="none"/>
              </w:rPr>
            </w:pPr>
          </w:p>
        </w:tc>
      </w:tr>
      <w:tr w14:paraId="096D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809" w:type="dxa"/>
            <w:vMerge w:val="continue"/>
            <w:tcBorders>
              <w:left w:val="single" w:color="auto" w:sz="4" w:space="0"/>
              <w:right w:val="single" w:color="auto" w:sz="4" w:space="0"/>
            </w:tcBorders>
            <w:noWrap w:val="0"/>
            <w:vAlign w:val="center"/>
          </w:tcPr>
          <w:p w14:paraId="7331265D">
            <w:pPr>
              <w:widowControl/>
              <w:jc w:val="left"/>
              <w:rPr>
                <w:rFonts w:ascii="宋体" w:cs="宋体"/>
                <w:color w:val="auto"/>
                <w:sz w:val="28"/>
                <w:szCs w:val="28"/>
                <w:highlight w:val="green"/>
              </w:rPr>
            </w:pPr>
          </w:p>
        </w:tc>
        <w:tc>
          <w:tcPr>
            <w:tcW w:w="4164" w:type="dxa"/>
            <w:gridSpan w:val="3"/>
            <w:tcBorders>
              <w:top w:val="single" w:color="auto" w:sz="4" w:space="0"/>
              <w:left w:val="single" w:color="auto" w:sz="4" w:space="0"/>
              <w:right w:val="single" w:color="auto" w:sz="4" w:space="0"/>
            </w:tcBorders>
            <w:noWrap w:val="0"/>
            <w:vAlign w:val="center"/>
          </w:tcPr>
          <w:p w14:paraId="09088BA3">
            <w:pPr>
              <w:adjustRightInd w:val="0"/>
              <w:snapToGrid w:val="0"/>
              <w:rPr>
                <w:rFonts w:hint="default" w:ascii="仿宋_GB2312" w:hAnsi="宋体" w:eastAsia="仿宋_GB2312"/>
                <w:color w:val="auto"/>
                <w:sz w:val="28"/>
                <w:szCs w:val="28"/>
                <w:highlight w:val="green"/>
              </w:rPr>
            </w:pPr>
            <w:r>
              <w:rPr>
                <w:rFonts w:hint="eastAsia" w:ascii="仿宋_GB2312" w:hAnsi="宋体" w:eastAsia="仿宋_GB2312"/>
                <w:color w:val="auto"/>
                <w:sz w:val="28"/>
                <w:szCs w:val="28"/>
                <w:highlight w:val="none"/>
                <w:lang w:eastAsia="zh-CN"/>
              </w:rPr>
              <w:fldChar w:fldCharType="begin"/>
            </w:r>
            <w:r>
              <w:rPr>
                <w:rFonts w:hint="eastAsia" w:ascii="仿宋_GB2312" w:hAnsi="宋体" w:eastAsia="仿宋_GB2312"/>
                <w:color w:val="auto"/>
                <w:sz w:val="28"/>
                <w:szCs w:val="28"/>
                <w:highlight w:val="none"/>
                <w:lang w:eastAsia="zh-CN"/>
              </w:rPr>
              <w:instrText xml:space="preserve"> = 7 \* GB3 \* MERGEFORMAT </w:instrText>
            </w:r>
            <w:r>
              <w:rPr>
                <w:rFonts w:hint="eastAsia" w:ascii="仿宋_GB2312" w:hAnsi="宋体" w:eastAsia="仿宋_GB2312"/>
                <w:color w:val="auto"/>
                <w:sz w:val="28"/>
                <w:szCs w:val="28"/>
                <w:highlight w:val="none"/>
                <w:lang w:eastAsia="zh-CN"/>
              </w:rPr>
              <w:fldChar w:fldCharType="separate"/>
            </w:r>
            <w:r>
              <w:rPr>
                <w:rFonts w:hint="eastAsia" w:ascii="仿宋_GB2312" w:hAnsi="宋体" w:eastAsia="仿宋_GB2312"/>
                <w:color w:val="auto"/>
                <w:sz w:val="28"/>
                <w:szCs w:val="28"/>
                <w:highlight w:val="none"/>
              </w:rPr>
              <w:t>⑦</w:t>
            </w:r>
            <w:r>
              <w:rPr>
                <w:rFonts w:hint="eastAsia" w:ascii="仿宋_GB2312" w:hAnsi="宋体" w:eastAsia="仿宋_GB2312"/>
                <w:color w:val="auto"/>
                <w:sz w:val="28"/>
                <w:szCs w:val="28"/>
                <w:highlight w:val="none"/>
                <w:lang w:eastAsia="zh-CN"/>
              </w:rPr>
              <w:fldChar w:fldCharType="end"/>
            </w:r>
            <w:r>
              <w:rPr>
                <w:rFonts w:hint="eastAsia" w:ascii="仿宋_GB2312" w:hAnsi="宋体" w:eastAsia="仿宋_GB2312"/>
                <w:color w:val="auto"/>
                <w:sz w:val="28"/>
                <w:szCs w:val="28"/>
                <w:highlight w:val="none"/>
                <w:lang w:eastAsia="zh-CN"/>
              </w:rPr>
              <w:t>搭建商经营范围必须包括展览设计与服务</w:t>
            </w:r>
            <w:r>
              <w:rPr>
                <w:rFonts w:hint="default" w:ascii="仿宋_GB2312" w:hAnsi="宋体" w:eastAsia="仿宋_GB2312"/>
                <w:color w:val="auto"/>
                <w:sz w:val="28"/>
                <w:szCs w:val="28"/>
                <w:highlight w:val="none"/>
                <w:lang w:eastAsia="zh-CN"/>
              </w:rPr>
              <w:t>。</w:t>
            </w:r>
          </w:p>
        </w:tc>
        <w:tc>
          <w:tcPr>
            <w:tcW w:w="1154" w:type="dxa"/>
            <w:gridSpan w:val="2"/>
            <w:tcBorders>
              <w:top w:val="single" w:color="auto" w:sz="4" w:space="0"/>
              <w:left w:val="single" w:color="auto" w:sz="4" w:space="0"/>
              <w:right w:val="single" w:color="auto" w:sz="4" w:space="0"/>
            </w:tcBorders>
            <w:noWrap w:val="0"/>
            <w:vAlign w:val="center"/>
          </w:tcPr>
          <w:p w14:paraId="0F7927E9">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3E94B3F6">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1A82EFF2">
            <w:pPr>
              <w:adjustRightInd w:val="0"/>
              <w:snapToGrid w:val="0"/>
              <w:jc w:val="center"/>
              <w:rPr>
                <w:rFonts w:ascii="仿宋_GB2312" w:hAnsi="宋体" w:eastAsia="仿宋_GB2312"/>
                <w:color w:val="auto"/>
                <w:sz w:val="28"/>
                <w:szCs w:val="28"/>
                <w:highlight w:val="none"/>
              </w:rPr>
            </w:pPr>
          </w:p>
        </w:tc>
      </w:tr>
      <w:tr w14:paraId="3B3D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679" w:hRule="atLeast"/>
        </w:trPr>
        <w:tc>
          <w:tcPr>
            <w:tcW w:w="4972" w:type="dxa"/>
            <w:gridSpan w:val="3"/>
            <w:tcBorders>
              <w:top w:val="single" w:color="auto" w:sz="4" w:space="0"/>
              <w:left w:val="single" w:color="auto" w:sz="4" w:space="0"/>
              <w:bottom w:val="single" w:color="auto" w:sz="4" w:space="0"/>
              <w:right w:val="single" w:color="auto" w:sz="4" w:space="0"/>
            </w:tcBorders>
            <w:noWrap w:val="0"/>
            <w:vAlign w:val="center"/>
          </w:tcPr>
          <w:p w14:paraId="08730061">
            <w:pPr>
              <w:adjustRightInd w:val="0"/>
              <w:snapToGrid w:val="0"/>
              <w:jc w:val="center"/>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154" w:type="dxa"/>
            <w:gridSpan w:val="2"/>
            <w:tcBorders>
              <w:top w:val="single" w:color="auto" w:sz="4" w:space="0"/>
              <w:left w:val="single" w:color="auto" w:sz="4" w:space="0"/>
              <w:bottom w:val="single" w:color="auto" w:sz="4" w:space="0"/>
              <w:right w:val="single" w:color="auto" w:sz="4" w:space="0"/>
            </w:tcBorders>
            <w:noWrap w:val="0"/>
            <w:vAlign w:val="center"/>
          </w:tcPr>
          <w:p w14:paraId="38AD7D6C">
            <w:pPr>
              <w:adjustRightInd w:val="0"/>
              <w:snapToGrid w:val="0"/>
              <w:jc w:val="center"/>
              <w:rPr>
                <w:rFonts w:ascii="仿宋_GB2312" w:hAnsi="宋体" w:eastAsia="仿宋_GB2312"/>
                <w:color w:val="auto"/>
                <w:sz w:val="28"/>
                <w:szCs w:val="28"/>
                <w:highlight w:val="none"/>
              </w:rPr>
            </w:pPr>
          </w:p>
        </w:tc>
        <w:tc>
          <w:tcPr>
            <w:tcW w:w="1149" w:type="dxa"/>
            <w:gridSpan w:val="2"/>
            <w:tcBorders>
              <w:top w:val="single" w:color="auto" w:sz="4" w:space="0"/>
              <w:left w:val="single" w:color="auto" w:sz="4" w:space="0"/>
              <w:bottom w:val="single" w:color="auto" w:sz="4" w:space="0"/>
              <w:right w:val="single" w:color="auto" w:sz="4" w:space="0"/>
            </w:tcBorders>
            <w:noWrap w:val="0"/>
            <w:vAlign w:val="center"/>
          </w:tcPr>
          <w:p w14:paraId="131822E6">
            <w:pPr>
              <w:adjustRightInd w:val="0"/>
              <w:snapToGrid w:val="0"/>
              <w:jc w:val="center"/>
              <w:rPr>
                <w:rFonts w:ascii="仿宋_GB2312" w:hAnsi="宋体" w:eastAsia="仿宋_GB2312"/>
                <w:color w:val="auto"/>
                <w:sz w:val="28"/>
                <w:szCs w:val="28"/>
                <w:highlight w:val="none"/>
              </w:rPr>
            </w:pP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14:paraId="772C2438">
            <w:pPr>
              <w:adjustRightInd w:val="0"/>
              <w:snapToGrid w:val="0"/>
              <w:jc w:val="center"/>
              <w:rPr>
                <w:rFonts w:ascii="仿宋_GB2312" w:hAnsi="宋体" w:eastAsia="仿宋_GB2312"/>
                <w:color w:val="auto"/>
                <w:sz w:val="28"/>
                <w:szCs w:val="28"/>
                <w:highlight w:val="none"/>
              </w:rPr>
            </w:pPr>
          </w:p>
        </w:tc>
      </w:tr>
    </w:tbl>
    <w:p w14:paraId="6FEEAAA1">
      <w:pPr>
        <w:rPr>
          <w:rFonts w:ascii="方正楷体_GBK" w:hAnsi="宋体" w:eastAsia="方正楷体_GBK"/>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14:paraId="43560FAC">
      <w:pPr>
        <w:rPr>
          <w:rFonts w:ascii="仿宋_GB2312" w:hAnsi="宋体" w:eastAsia="仿宋_GB2312"/>
          <w:color w:val="auto"/>
          <w:sz w:val="32"/>
          <w:szCs w:val="32"/>
          <w:highlight w:val="none"/>
        </w:rPr>
      </w:pPr>
    </w:p>
    <w:p w14:paraId="2F4A1270">
      <w:pPr>
        <w:pStyle w:val="2"/>
        <w:adjustRightInd w:val="0"/>
        <w:snapToGrid w:val="0"/>
        <w:ind w:firstLine="640" w:firstLineChars="200"/>
        <w:rPr>
          <w:rFonts w:hint="eastAsia" w:ascii="仿宋_GB2312" w:hAnsi="仿宋" w:eastAsia="仿宋_GB2312"/>
          <w:color w:val="auto"/>
          <w:kern w:val="0"/>
          <w:sz w:val="32"/>
          <w:szCs w:val="32"/>
          <w:highlight w:val="none"/>
        </w:rPr>
      </w:pPr>
    </w:p>
    <w:p w14:paraId="704BBA67">
      <w:pPr>
        <w:pStyle w:val="2"/>
        <w:adjustRightInd w:val="0"/>
        <w:snapToGrid w:val="0"/>
        <w:ind w:firstLine="640" w:firstLineChars="200"/>
        <w:rPr>
          <w:rFonts w:hint="eastAsia" w:ascii="仿宋_GB2312" w:hAnsi="仿宋" w:eastAsia="仿宋_GB2312"/>
          <w:color w:val="auto"/>
          <w:kern w:val="0"/>
          <w:sz w:val="32"/>
          <w:szCs w:val="32"/>
          <w:highlight w:val="none"/>
        </w:rPr>
      </w:pPr>
    </w:p>
    <w:p w14:paraId="1DCA4A92">
      <w:pPr>
        <w:numPr>
          <w:ilvl w:val="0"/>
          <w:numId w:val="0"/>
        </w:numPr>
        <w:jc w:val="left"/>
        <w:rPr>
          <w:rFonts w:hint="eastAsia" w:ascii="仿宋_GB2312" w:hAnsi="仿宋_GB2312" w:eastAsia="仿宋_GB2312" w:cs="仿宋_GB2312"/>
          <w:b/>
          <w:bCs/>
          <w:color w:val="auto"/>
          <w:sz w:val="24"/>
          <w:szCs w:val="24"/>
          <w:lang w:val="en-US" w:eastAsia="zh-CN"/>
        </w:rPr>
      </w:pPr>
    </w:p>
    <w:p w14:paraId="5198305B">
      <w:pPr>
        <w:numPr>
          <w:ilvl w:val="0"/>
          <w:numId w:val="0"/>
        </w:numPr>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附件2：</w:t>
      </w:r>
    </w:p>
    <w:p w14:paraId="008EDC57">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210" w:leftChars="0"/>
        <w:jc w:val="center"/>
        <w:textAlignment w:val="auto"/>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t>评分标准</w:t>
      </w:r>
    </w:p>
    <w:tbl>
      <w:tblPr>
        <w:tblStyle w:val="4"/>
        <w:tblW w:w="941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4"/>
        <w:gridCol w:w="770"/>
        <w:gridCol w:w="912"/>
        <w:gridCol w:w="5988"/>
        <w:gridCol w:w="1050"/>
      </w:tblGrid>
      <w:tr w14:paraId="2F5632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64C358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序号</w:t>
            </w:r>
          </w:p>
        </w:tc>
        <w:tc>
          <w:tcPr>
            <w:tcW w:w="1682"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A87CE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评分内容</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BF9C2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评分细则</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CF76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分值</w:t>
            </w:r>
          </w:p>
        </w:tc>
      </w:tr>
      <w:tr w14:paraId="7A9AE2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F3D5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1</w:t>
            </w:r>
          </w:p>
        </w:tc>
        <w:tc>
          <w:tcPr>
            <w:tcW w:w="770" w:type="dxa"/>
            <w:vMerge w:val="restart"/>
            <w:tcBorders>
              <w:left w:val="nil"/>
              <w:right w:val="single" w:color="000000" w:sz="8" w:space="0"/>
            </w:tcBorders>
            <w:shd w:val="clear" w:color="auto" w:fill="FFFFFF"/>
            <w:tcMar>
              <w:top w:w="75" w:type="dxa"/>
              <w:left w:w="150" w:type="dxa"/>
              <w:bottom w:w="75" w:type="dxa"/>
              <w:right w:w="150" w:type="dxa"/>
            </w:tcMar>
            <w:vAlign w:val="center"/>
          </w:tcPr>
          <w:p w14:paraId="52B51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rPr>
              <w:t>商务评分</w:t>
            </w:r>
          </w:p>
        </w:tc>
        <w:tc>
          <w:tcPr>
            <w:tcW w:w="912" w:type="dxa"/>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2C9A4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default" w:ascii="微软雅黑" w:hAnsi="微软雅黑" w:eastAsia="微软雅黑" w:cs="微软雅黑"/>
                <w:b w:val="0"/>
                <w:bCs w:val="0"/>
                <w:i w:val="0"/>
                <w:caps w:val="0"/>
                <w:color w:val="auto"/>
                <w:spacing w:val="0"/>
                <w:sz w:val="24"/>
                <w:szCs w:val="24"/>
                <w:highlight w:val="none"/>
              </w:rPr>
            </w:pPr>
            <w:r>
              <w:rPr>
                <w:rFonts w:hint="default" w:ascii="微软雅黑" w:hAnsi="微软雅黑" w:eastAsia="微软雅黑" w:cs="微软雅黑"/>
                <w:b w:val="0"/>
                <w:bCs w:val="0"/>
                <w:i w:val="0"/>
                <w:caps w:val="0"/>
                <w:color w:val="auto"/>
                <w:spacing w:val="0"/>
                <w:sz w:val="24"/>
                <w:szCs w:val="24"/>
                <w:highlight w:val="none"/>
              </w:rPr>
              <w:t>企业</w:t>
            </w:r>
          </w:p>
          <w:p w14:paraId="5954B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i w:val="0"/>
                <w:caps w:val="0"/>
                <w:color w:val="auto"/>
                <w:spacing w:val="0"/>
                <w:kern w:val="0"/>
                <w:sz w:val="24"/>
                <w:szCs w:val="24"/>
                <w:highlight w:val="none"/>
                <w:lang w:val="en-US" w:eastAsia="zh-CN" w:bidi="ar"/>
              </w:rPr>
            </w:pPr>
            <w:r>
              <w:rPr>
                <w:rFonts w:hint="default" w:ascii="微软雅黑" w:hAnsi="微软雅黑" w:eastAsia="微软雅黑" w:cs="微软雅黑"/>
                <w:b w:val="0"/>
                <w:bCs w:val="0"/>
                <w:i w:val="0"/>
                <w:caps w:val="0"/>
                <w:color w:val="auto"/>
                <w:spacing w:val="0"/>
                <w:sz w:val="24"/>
                <w:szCs w:val="24"/>
                <w:highlight w:val="none"/>
              </w:rPr>
              <w:t>资质</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5179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项目服务团队人员配置具有明确工作分工，符合本项目采购要求所需的工作能力，综合能力好的得</w:t>
            </w:r>
            <w:r>
              <w:rPr>
                <w:rFonts w:hint="default" w:ascii="微软雅黑" w:hAnsi="微软雅黑" w:eastAsia="微软雅黑" w:cs="微软雅黑"/>
                <w:b w:val="0"/>
                <w:bCs w:val="0"/>
                <w:i w:val="0"/>
                <w:caps w:val="0"/>
                <w:color w:val="auto"/>
                <w:spacing w:val="0"/>
                <w:sz w:val="24"/>
                <w:szCs w:val="24"/>
                <w:lang w:eastAsia="zh-CN"/>
              </w:rPr>
              <w:t>4</w:t>
            </w:r>
            <w:r>
              <w:rPr>
                <w:rFonts w:hint="eastAsia" w:ascii="微软雅黑" w:hAnsi="微软雅黑" w:eastAsia="微软雅黑" w:cs="微软雅黑"/>
                <w:b w:val="0"/>
                <w:bCs w:val="0"/>
                <w:i w:val="0"/>
                <w:caps w:val="0"/>
                <w:color w:val="auto"/>
                <w:spacing w:val="0"/>
                <w:sz w:val="24"/>
                <w:szCs w:val="24"/>
              </w:rPr>
              <w:t>分；综合能力较好的，得</w:t>
            </w:r>
            <w:r>
              <w:rPr>
                <w:rFonts w:hint="eastAsia" w:ascii="微软雅黑" w:hAnsi="微软雅黑" w:eastAsia="微软雅黑" w:cs="微软雅黑"/>
                <w:b w:val="0"/>
                <w:bCs w:val="0"/>
                <w:i w:val="0"/>
                <w:caps w:val="0"/>
                <w:color w:val="auto"/>
                <w:spacing w:val="0"/>
                <w:sz w:val="24"/>
                <w:szCs w:val="24"/>
                <w:lang w:val="en-US" w:eastAsia="zh-CN"/>
              </w:rPr>
              <w:t>2</w:t>
            </w:r>
            <w:r>
              <w:rPr>
                <w:rFonts w:hint="eastAsia" w:ascii="微软雅黑" w:hAnsi="微软雅黑" w:eastAsia="微软雅黑" w:cs="微软雅黑"/>
                <w:b w:val="0"/>
                <w:bCs w:val="0"/>
                <w:i w:val="0"/>
                <w:caps w:val="0"/>
                <w:color w:val="auto"/>
                <w:spacing w:val="0"/>
                <w:sz w:val="24"/>
                <w:szCs w:val="24"/>
              </w:rPr>
              <w:t>分；综合能力一般的，得</w:t>
            </w:r>
            <w:r>
              <w:rPr>
                <w:rFonts w:hint="eastAsia" w:ascii="微软雅黑" w:hAnsi="微软雅黑" w:eastAsia="微软雅黑" w:cs="微软雅黑"/>
                <w:b w:val="0"/>
                <w:bCs w:val="0"/>
                <w:i w:val="0"/>
                <w:caps w:val="0"/>
                <w:color w:val="auto"/>
                <w:spacing w:val="0"/>
                <w:sz w:val="24"/>
                <w:szCs w:val="24"/>
                <w:lang w:val="en-US" w:eastAsia="zh-CN"/>
              </w:rPr>
              <w:t>1</w:t>
            </w:r>
            <w:r>
              <w:rPr>
                <w:rFonts w:hint="eastAsia" w:ascii="微软雅黑" w:hAnsi="微软雅黑" w:eastAsia="微软雅黑" w:cs="微软雅黑"/>
                <w:b w:val="0"/>
                <w:bCs w:val="0"/>
                <w:i w:val="0"/>
                <w:caps w:val="0"/>
                <w:color w:val="auto"/>
                <w:spacing w:val="0"/>
                <w:sz w:val="24"/>
                <w:szCs w:val="24"/>
              </w:rPr>
              <w:t>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CD8DB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4</w:t>
            </w:r>
          </w:p>
        </w:tc>
      </w:tr>
      <w:tr w14:paraId="569D2A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C1524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2</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14:paraId="249C6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78EFA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b w:val="0"/>
                <w:bCs w:val="0"/>
                <w:i w:val="0"/>
                <w:caps w:val="0"/>
                <w:color w:val="auto"/>
                <w:spacing w:val="0"/>
                <w:sz w:val="24"/>
                <w:szCs w:val="24"/>
                <w:highlight w:val="none"/>
              </w:rPr>
            </w:pPr>
            <w:r>
              <w:rPr>
                <w:rFonts w:hint="eastAsia" w:ascii="微软雅黑" w:hAnsi="微软雅黑" w:eastAsia="微软雅黑" w:cs="微软雅黑"/>
                <w:b w:val="0"/>
                <w:bCs w:val="0"/>
                <w:i w:val="0"/>
                <w:caps w:val="0"/>
                <w:color w:val="auto"/>
                <w:spacing w:val="0"/>
                <w:sz w:val="24"/>
                <w:szCs w:val="24"/>
                <w:highlight w:val="none"/>
              </w:rPr>
              <w:t>项目</w:t>
            </w:r>
          </w:p>
          <w:p w14:paraId="42CC42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i w:val="0"/>
                <w:caps w:val="0"/>
                <w:color w:val="auto"/>
                <w:spacing w:val="0"/>
                <w:sz w:val="24"/>
                <w:szCs w:val="24"/>
                <w:highlight w:val="none"/>
              </w:rPr>
              <w:t>业绩</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FC89599">
            <w:pPr>
              <w:keepNext w:val="0"/>
              <w:keepLines w:val="0"/>
              <w:pageBreakBefore w:val="0"/>
              <w:widowControl/>
              <w:kinsoku/>
              <w:overflowPunct/>
              <w:topLinePunct w:val="0"/>
              <w:autoSpaceDE/>
              <w:autoSpaceDN/>
              <w:bidi w:val="0"/>
              <w:adjustRightInd/>
              <w:snapToGrid/>
              <w:spacing w:line="420" w:lineRule="exact"/>
              <w:ind w:firstLine="0" w:firstLineChars="0"/>
              <w:jc w:val="left"/>
              <w:textAlignment w:val="auto"/>
              <w:rPr>
                <w:rFonts w:hint="eastAsia" w:ascii="微软雅黑" w:hAnsi="微软雅黑" w:eastAsia="微软雅黑" w:cs="微软雅黑"/>
                <w:b w:val="0"/>
                <w:bCs w:val="0"/>
                <w:i w:val="0"/>
                <w:caps w:val="0"/>
                <w:color w:val="auto"/>
                <w:spacing w:val="0"/>
                <w:kern w:val="0"/>
                <w:sz w:val="24"/>
                <w:szCs w:val="24"/>
                <w:lang w:val="zh-CN" w:eastAsia="zh-CN" w:bidi="ar"/>
              </w:rPr>
            </w:pPr>
            <w:r>
              <w:rPr>
                <w:rFonts w:hint="eastAsia" w:ascii="微软雅黑" w:hAnsi="微软雅黑" w:eastAsia="微软雅黑" w:cs="微软雅黑"/>
                <w:b w:val="0"/>
                <w:bCs w:val="0"/>
                <w:i w:val="0"/>
                <w:caps w:val="0"/>
                <w:color w:val="auto"/>
                <w:spacing w:val="0"/>
                <w:kern w:val="0"/>
                <w:sz w:val="24"/>
                <w:szCs w:val="24"/>
                <w:lang w:val="zh-CN" w:eastAsia="zh-CN" w:bidi="ar"/>
              </w:rPr>
              <w:t>提供20</w:t>
            </w:r>
            <w:r>
              <w:rPr>
                <w:rFonts w:hint="default" w:ascii="微软雅黑" w:hAnsi="微软雅黑" w:eastAsia="微软雅黑" w:cs="微软雅黑"/>
                <w:b w:val="0"/>
                <w:bCs w:val="0"/>
                <w:i w:val="0"/>
                <w:caps w:val="0"/>
                <w:color w:val="auto"/>
                <w:spacing w:val="0"/>
                <w:kern w:val="0"/>
                <w:sz w:val="24"/>
                <w:szCs w:val="24"/>
                <w:lang w:eastAsia="zh-CN" w:bidi="ar"/>
              </w:rPr>
              <w:t>22</w:t>
            </w:r>
            <w:r>
              <w:rPr>
                <w:rFonts w:hint="eastAsia" w:ascii="微软雅黑" w:hAnsi="微软雅黑" w:eastAsia="微软雅黑" w:cs="微软雅黑"/>
                <w:b w:val="0"/>
                <w:bCs w:val="0"/>
                <w:i w:val="0"/>
                <w:caps w:val="0"/>
                <w:color w:val="auto"/>
                <w:spacing w:val="0"/>
                <w:kern w:val="0"/>
                <w:sz w:val="24"/>
                <w:szCs w:val="24"/>
                <w:lang w:val="zh-CN" w:eastAsia="zh-CN" w:bidi="ar"/>
              </w:rPr>
              <w:t>年1月1日至今的</w:t>
            </w:r>
            <w:r>
              <w:rPr>
                <w:rFonts w:hint="default" w:ascii="微软雅黑" w:hAnsi="微软雅黑" w:eastAsia="微软雅黑" w:cs="微软雅黑"/>
                <w:b w:val="0"/>
                <w:bCs w:val="0"/>
                <w:i w:val="0"/>
                <w:caps w:val="0"/>
                <w:color w:val="auto"/>
                <w:spacing w:val="0"/>
                <w:kern w:val="0"/>
                <w:sz w:val="24"/>
                <w:szCs w:val="24"/>
                <w:lang w:eastAsia="zh-CN" w:bidi="ar"/>
              </w:rPr>
              <w:t>承接政府部门同类</w:t>
            </w:r>
            <w:r>
              <w:rPr>
                <w:rFonts w:hint="eastAsia" w:ascii="微软雅黑" w:hAnsi="微软雅黑" w:eastAsia="微软雅黑" w:cs="微软雅黑"/>
                <w:b w:val="0"/>
                <w:bCs w:val="0"/>
                <w:i w:val="0"/>
                <w:caps w:val="0"/>
                <w:color w:val="auto"/>
                <w:spacing w:val="0"/>
                <w:kern w:val="0"/>
                <w:sz w:val="24"/>
                <w:szCs w:val="24"/>
                <w:lang w:val="zh-CN" w:eastAsia="zh-CN" w:bidi="ar"/>
              </w:rPr>
              <w:t>展会布展项目资料，每提供一项得</w:t>
            </w:r>
            <w:r>
              <w:rPr>
                <w:rFonts w:hint="eastAsia" w:ascii="微软雅黑" w:hAnsi="微软雅黑" w:eastAsia="微软雅黑" w:cs="微软雅黑"/>
                <w:b w:val="0"/>
                <w:bCs w:val="0"/>
                <w:i w:val="0"/>
                <w:caps w:val="0"/>
                <w:color w:val="auto"/>
                <w:spacing w:val="0"/>
                <w:kern w:val="0"/>
                <w:sz w:val="24"/>
                <w:szCs w:val="24"/>
                <w:lang w:val="en-US" w:eastAsia="zh-CN" w:bidi="ar"/>
              </w:rPr>
              <w:t>2</w:t>
            </w:r>
            <w:r>
              <w:rPr>
                <w:rFonts w:hint="eastAsia" w:ascii="微软雅黑" w:hAnsi="微软雅黑" w:eastAsia="微软雅黑" w:cs="微软雅黑"/>
                <w:b w:val="0"/>
                <w:bCs w:val="0"/>
                <w:i w:val="0"/>
                <w:caps w:val="0"/>
                <w:color w:val="auto"/>
                <w:spacing w:val="0"/>
                <w:kern w:val="0"/>
                <w:sz w:val="24"/>
                <w:szCs w:val="24"/>
                <w:lang w:val="zh-CN" w:eastAsia="zh-CN" w:bidi="ar"/>
              </w:rPr>
              <w:t>分，最高得</w:t>
            </w:r>
            <w:r>
              <w:rPr>
                <w:rFonts w:hint="default" w:ascii="微软雅黑" w:hAnsi="微软雅黑" w:eastAsia="微软雅黑" w:cs="微软雅黑"/>
                <w:b w:val="0"/>
                <w:bCs w:val="0"/>
                <w:i w:val="0"/>
                <w:caps w:val="0"/>
                <w:color w:val="auto"/>
                <w:spacing w:val="0"/>
                <w:kern w:val="0"/>
                <w:sz w:val="24"/>
                <w:szCs w:val="24"/>
                <w:lang w:eastAsia="zh-CN" w:bidi="ar"/>
              </w:rPr>
              <w:t>10</w:t>
            </w:r>
            <w:r>
              <w:rPr>
                <w:rFonts w:hint="eastAsia" w:ascii="微软雅黑" w:hAnsi="微软雅黑" w:eastAsia="微软雅黑" w:cs="微软雅黑"/>
                <w:b w:val="0"/>
                <w:bCs w:val="0"/>
                <w:i w:val="0"/>
                <w:caps w:val="0"/>
                <w:color w:val="auto"/>
                <w:spacing w:val="0"/>
                <w:kern w:val="0"/>
                <w:sz w:val="24"/>
                <w:szCs w:val="24"/>
                <w:lang w:val="zh-CN" w:eastAsia="zh-CN" w:bidi="ar"/>
              </w:rPr>
              <w:t>分。</w:t>
            </w:r>
          </w:p>
          <w:p w14:paraId="14FF2F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kern w:val="0"/>
                <w:sz w:val="24"/>
                <w:szCs w:val="24"/>
                <w:lang w:val="zh-CN" w:eastAsia="zh-CN" w:bidi="ar"/>
              </w:rPr>
              <w:t>须提供合同关键页（封面页、内容页、合同金额页、盖章页）复印件。</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C887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10</w:t>
            </w:r>
          </w:p>
        </w:tc>
      </w:tr>
      <w:tr w14:paraId="2A21C3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242ED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3</w:t>
            </w:r>
          </w:p>
        </w:tc>
        <w:tc>
          <w:tcPr>
            <w:tcW w:w="770" w:type="dxa"/>
            <w:vMerge w:val="restart"/>
            <w:tcBorders>
              <w:top w:val="single" w:color="000000" w:sz="8" w:space="0"/>
              <w:left w:val="nil"/>
              <w:right w:val="single" w:color="000000" w:sz="8" w:space="0"/>
            </w:tcBorders>
            <w:shd w:val="clear" w:color="auto" w:fill="FFFFFF"/>
            <w:tcMar>
              <w:top w:w="75" w:type="dxa"/>
              <w:left w:w="150" w:type="dxa"/>
              <w:bottom w:w="75" w:type="dxa"/>
              <w:right w:w="150" w:type="dxa"/>
            </w:tcMar>
            <w:vAlign w:val="center"/>
          </w:tcPr>
          <w:p w14:paraId="1ECA1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caps w:val="0"/>
                <w:color w:val="auto"/>
                <w:spacing w:val="0"/>
                <w:sz w:val="24"/>
                <w:szCs w:val="24"/>
              </w:rPr>
              <w:t>技术</w:t>
            </w:r>
            <w:r>
              <w:rPr>
                <w:rFonts w:hint="default" w:ascii="微软雅黑" w:hAnsi="微软雅黑" w:eastAsia="微软雅黑" w:cs="微软雅黑"/>
                <w:i w:val="0"/>
                <w:caps w:val="0"/>
                <w:color w:val="auto"/>
                <w:spacing w:val="0"/>
                <w:sz w:val="24"/>
                <w:szCs w:val="24"/>
              </w:rPr>
              <w:t>评</w:t>
            </w:r>
            <w:r>
              <w:rPr>
                <w:rFonts w:hint="eastAsia" w:ascii="微软雅黑" w:hAnsi="微软雅黑" w:eastAsia="微软雅黑" w:cs="微软雅黑"/>
                <w:i w:val="0"/>
                <w:caps w:val="0"/>
                <w:color w:val="auto"/>
                <w:spacing w:val="0"/>
                <w:sz w:val="24"/>
                <w:szCs w:val="24"/>
              </w:rPr>
              <w:t>分</w:t>
            </w:r>
          </w:p>
          <w:p w14:paraId="41790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2A801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color w:val="auto"/>
                <w:sz w:val="24"/>
                <w:szCs w:val="24"/>
                <w:highlight w:val="none"/>
              </w:rPr>
              <w:t>设计方案</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478FC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供应商针对本项目展示</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主线为</w:t>
            </w:r>
            <w:r>
              <w:rPr>
                <w:rFonts w:hint="eastAsia" w:ascii="微软雅黑" w:hAnsi="微软雅黑" w:eastAsia="微软雅黑" w:cs="微软雅黑"/>
                <w:b w:val="0"/>
                <w:bCs w:val="0"/>
                <w:color w:val="auto"/>
                <w:sz w:val="24"/>
                <w:szCs w:val="24"/>
                <w:lang w:eastAsia="zh-CN"/>
              </w:rPr>
              <w:t>采购</w:t>
            </w:r>
            <w:r>
              <w:rPr>
                <w:rFonts w:hint="eastAsia" w:ascii="微软雅黑" w:hAnsi="微软雅黑" w:eastAsia="微软雅黑" w:cs="微软雅黑"/>
                <w:b w:val="0"/>
                <w:bCs w:val="0"/>
                <w:color w:val="auto"/>
                <w:sz w:val="24"/>
                <w:szCs w:val="24"/>
              </w:rPr>
              <w:t>人提供展馆设计</w:t>
            </w:r>
            <w:r>
              <w:rPr>
                <w:rFonts w:hint="eastAsia" w:ascii="微软雅黑" w:hAnsi="微软雅黑" w:eastAsia="微软雅黑" w:cs="微软雅黑"/>
                <w:b w:val="0"/>
                <w:bCs w:val="0"/>
                <w:color w:val="auto"/>
                <w:sz w:val="24"/>
                <w:szCs w:val="24"/>
                <w:lang w:eastAsia="zh-CN"/>
              </w:rPr>
              <w:t>的</w:t>
            </w:r>
            <w:r>
              <w:rPr>
                <w:rFonts w:hint="eastAsia" w:ascii="微软雅黑" w:hAnsi="微软雅黑" w:eastAsia="微软雅黑" w:cs="微软雅黑"/>
                <w:b w:val="0"/>
                <w:bCs w:val="0"/>
                <w:color w:val="auto"/>
                <w:sz w:val="24"/>
                <w:szCs w:val="24"/>
              </w:rPr>
              <w:t>方案突出主题、内容清晰连贯，设计创意强、视觉效果独特、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default" w:ascii="微软雅黑" w:hAnsi="微软雅黑" w:eastAsia="微软雅黑" w:cs="微软雅黑"/>
                <w:b w:val="0"/>
                <w:bCs w:val="0"/>
                <w:color w:val="auto"/>
                <w:sz w:val="24"/>
                <w:szCs w:val="24"/>
                <w:lang w:eastAsia="zh-CN"/>
              </w:rPr>
              <w:t>茶业</w:t>
            </w:r>
            <w:r>
              <w:rPr>
                <w:rFonts w:hint="eastAsia" w:ascii="微软雅黑" w:hAnsi="微软雅黑" w:eastAsia="微软雅黑" w:cs="微软雅黑"/>
                <w:b w:val="0"/>
                <w:bCs w:val="0"/>
                <w:color w:val="auto"/>
                <w:sz w:val="24"/>
                <w:szCs w:val="24"/>
              </w:rPr>
              <w:t>特点突出、全面，详实</w:t>
            </w:r>
            <w:r>
              <w:rPr>
                <w:rFonts w:hint="eastAsia" w:ascii="微软雅黑" w:hAnsi="微软雅黑" w:eastAsia="微软雅黑" w:cs="微软雅黑"/>
                <w:b w:val="0"/>
                <w:bCs w:val="0"/>
                <w:color w:val="auto"/>
                <w:sz w:val="24"/>
                <w:szCs w:val="24"/>
                <w:lang w:eastAsia="zh-CN"/>
              </w:rPr>
              <w:t>，搭建材料</w:t>
            </w:r>
            <w:r>
              <w:rPr>
                <w:rFonts w:hint="eastAsia" w:ascii="微软雅黑" w:hAnsi="微软雅黑" w:eastAsia="微软雅黑" w:cs="微软雅黑"/>
                <w:b w:val="0"/>
                <w:bCs w:val="0"/>
                <w:color w:val="auto"/>
                <w:sz w:val="24"/>
                <w:szCs w:val="24"/>
                <w:lang w:eastAsia="zh-CN"/>
              </w:rPr>
              <w:t>以</w:t>
            </w:r>
            <w:r>
              <w:rPr>
                <w:rFonts w:hint="default" w:ascii="微软雅黑" w:hAnsi="微软雅黑" w:eastAsia="微软雅黑" w:cs="微软雅黑"/>
                <w:b w:val="0"/>
                <w:bCs w:val="0"/>
                <w:color w:val="auto"/>
                <w:sz w:val="24"/>
                <w:szCs w:val="24"/>
                <w:lang w:eastAsia="zh-CN"/>
              </w:rPr>
              <w:t>绿色、环保</w:t>
            </w:r>
            <w:r>
              <w:rPr>
                <w:rFonts w:hint="eastAsia" w:ascii="微软雅黑" w:hAnsi="微软雅黑" w:eastAsia="微软雅黑" w:cs="微软雅黑"/>
                <w:b w:val="0"/>
                <w:bCs w:val="0"/>
                <w:color w:val="auto"/>
                <w:sz w:val="24"/>
                <w:szCs w:val="24"/>
                <w:lang w:eastAsia="zh-CN"/>
              </w:rPr>
              <w:t>为主</w:t>
            </w:r>
            <w:r>
              <w:rPr>
                <w:rFonts w:hint="eastAsia" w:ascii="微软雅黑" w:hAnsi="微软雅黑" w:eastAsia="微软雅黑" w:cs="微软雅黑"/>
                <w:b w:val="0"/>
                <w:bCs w:val="0"/>
                <w:color w:val="auto"/>
                <w:sz w:val="24"/>
                <w:szCs w:val="24"/>
              </w:rPr>
              <w:t>得</w:t>
            </w:r>
            <w:r>
              <w:rPr>
                <w:rFonts w:hint="default" w:ascii="微软雅黑" w:hAnsi="微软雅黑" w:eastAsia="微软雅黑" w:cs="微软雅黑"/>
                <w:b w:val="0"/>
                <w:bCs w:val="0"/>
                <w:color w:val="auto"/>
                <w:sz w:val="24"/>
                <w:szCs w:val="24"/>
                <w:lang w:eastAsia="zh-CN"/>
              </w:rPr>
              <w:t>20</w:t>
            </w:r>
            <w:r>
              <w:rPr>
                <w:rFonts w:hint="eastAsia" w:ascii="微软雅黑" w:hAnsi="微软雅黑" w:eastAsia="微软雅黑" w:cs="微软雅黑"/>
                <w:b w:val="0"/>
                <w:bCs w:val="0"/>
                <w:color w:val="auto"/>
                <w:sz w:val="24"/>
                <w:szCs w:val="24"/>
              </w:rPr>
              <w:t>分；方案符合主题、展示内容清晰连贯、设计创意较强、视觉效果较独特、</w:t>
            </w:r>
            <w:r>
              <w:rPr>
                <w:rFonts w:hint="eastAsia" w:ascii="微软雅黑" w:hAnsi="微软雅黑" w:eastAsia="微软雅黑" w:cs="微软雅黑"/>
                <w:b w:val="0"/>
                <w:bCs w:val="0"/>
                <w:color w:val="auto"/>
                <w:sz w:val="24"/>
                <w:szCs w:val="24"/>
                <w:lang w:val="en-US" w:eastAsia="zh-CN"/>
              </w:rPr>
              <w:t>江门市</w:t>
            </w:r>
            <w:r>
              <w:rPr>
                <w:rFonts w:hint="eastAsia" w:ascii="微软雅黑" w:hAnsi="微软雅黑" w:eastAsia="微软雅黑" w:cs="微软雅黑"/>
                <w:b w:val="0"/>
                <w:bCs w:val="0"/>
                <w:color w:val="auto"/>
                <w:sz w:val="24"/>
                <w:szCs w:val="24"/>
              </w:rPr>
              <w:t>为代表的</w:t>
            </w:r>
            <w:r>
              <w:rPr>
                <w:rFonts w:hint="eastAsia" w:ascii="微软雅黑" w:hAnsi="微软雅黑" w:eastAsia="微软雅黑" w:cs="微软雅黑"/>
                <w:b w:val="0"/>
                <w:bCs w:val="0"/>
                <w:color w:val="auto"/>
                <w:sz w:val="24"/>
                <w:szCs w:val="24"/>
                <w:lang w:val="en-US" w:eastAsia="zh-CN"/>
              </w:rPr>
              <w:t>茶业</w:t>
            </w:r>
            <w:r>
              <w:rPr>
                <w:rFonts w:hint="eastAsia" w:ascii="微软雅黑" w:hAnsi="微软雅黑" w:eastAsia="微软雅黑" w:cs="微软雅黑"/>
                <w:b w:val="0"/>
                <w:bCs w:val="0"/>
                <w:color w:val="auto"/>
                <w:sz w:val="24"/>
                <w:szCs w:val="24"/>
              </w:rPr>
              <w:t>特点针对性一般，得</w:t>
            </w:r>
            <w:r>
              <w:rPr>
                <w:rFonts w:hint="default" w:ascii="微软雅黑" w:hAnsi="微软雅黑" w:eastAsia="微软雅黑" w:cs="微软雅黑"/>
                <w:b w:val="0"/>
                <w:bCs w:val="0"/>
                <w:color w:val="auto"/>
                <w:sz w:val="24"/>
                <w:szCs w:val="24"/>
              </w:rPr>
              <w:t>15</w:t>
            </w:r>
            <w:r>
              <w:rPr>
                <w:rFonts w:hint="eastAsia" w:ascii="微软雅黑" w:hAnsi="微软雅黑" w:eastAsia="微软雅黑" w:cs="微软雅黑"/>
                <w:b w:val="0"/>
                <w:bCs w:val="0"/>
                <w:color w:val="auto"/>
                <w:sz w:val="24"/>
                <w:szCs w:val="24"/>
              </w:rPr>
              <w:t>分；方案符合主题,视觉效果较独特，具备</w:t>
            </w:r>
            <w:r>
              <w:rPr>
                <w:rFonts w:hint="eastAsia" w:ascii="微软雅黑" w:hAnsi="微软雅黑" w:eastAsia="微软雅黑" w:cs="微软雅黑"/>
                <w:b w:val="0"/>
                <w:bCs w:val="0"/>
                <w:color w:val="auto"/>
                <w:sz w:val="24"/>
                <w:szCs w:val="24"/>
                <w:lang w:val="en-US" w:eastAsia="zh-CN"/>
              </w:rPr>
              <w:t>江门</w:t>
            </w:r>
            <w:r>
              <w:rPr>
                <w:rFonts w:hint="eastAsia" w:ascii="微软雅黑" w:hAnsi="微软雅黑" w:eastAsia="微软雅黑" w:cs="微软雅黑"/>
                <w:b w:val="0"/>
                <w:bCs w:val="0"/>
                <w:color w:val="auto"/>
                <w:sz w:val="24"/>
                <w:szCs w:val="24"/>
              </w:rPr>
              <w:t>市为代表的</w:t>
            </w:r>
            <w:r>
              <w:rPr>
                <w:rFonts w:hint="eastAsia" w:ascii="微软雅黑" w:hAnsi="微软雅黑" w:eastAsia="微软雅黑" w:cs="微软雅黑"/>
                <w:b w:val="0"/>
                <w:bCs w:val="0"/>
                <w:color w:val="auto"/>
                <w:sz w:val="24"/>
                <w:szCs w:val="24"/>
                <w:lang w:val="en-US" w:eastAsia="zh-CN"/>
              </w:rPr>
              <w:t>茶业</w:t>
            </w:r>
            <w:r>
              <w:rPr>
                <w:rFonts w:hint="eastAsia" w:ascii="微软雅黑" w:hAnsi="微软雅黑" w:eastAsia="微软雅黑" w:cs="微软雅黑"/>
                <w:b w:val="0"/>
                <w:bCs w:val="0"/>
                <w:color w:val="auto"/>
                <w:sz w:val="24"/>
                <w:szCs w:val="24"/>
              </w:rPr>
              <w:t>特点一般，得</w:t>
            </w:r>
            <w:r>
              <w:rPr>
                <w:rFonts w:hint="default" w:ascii="微软雅黑" w:hAnsi="微软雅黑" w:eastAsia="微软雅黑" w:cs="微软雅黑"/>
                <w:b w:val="0"/>
                <w:bCs w:val="0"/>
                <w:color w:val="auto"/>
                <w:sz w:val="24"/>
                <w:szCs w:val="24"/>
              </w:rPr>
              <w:t>8</w:t>
            </w:r>
            <w:r>
              <w:rPr>
                <w:rFonts w:hint="eastAsia" w:ascii="微软雅黑" w:hAnsi="微软雅黑" w:eastAsia="微软雅黑" w:cs="微软雅黑"/>
                <w:b w:val="0"/>
                <w:bCs w:val="0"/>
                <w:color w:val="auto"/>
                <w:sz w:val="24"/>
                <w:szCs w:val="24"/>
              </w:rPr>
              <w:t>分（注：</w:t>
            </w:r>
            <w:r>
              <w:rPr>
                <w:rFonts w:hint="eastAsia" w:ascii="微软雅黑" w:hAnsi="微软雅黑" w:eastAsia="微软雅黑" w:cs="微软雅黑"/>
                <w:b w:val="0"/>
                <w:bCs w:val="0"/>
                <w:color w:val="auto"/>
                <w:sz w:val="24"/>
                <w:szCs w:val="24"/>
                <w:lang w:eastAsia="zh-CN"/>
              </w:rPr>
              <w:t>供应商</w:t>
            </w:r>
            <w:r>
              <w:rPr>
                <w:rFonts w:hint="eastAsia" w:ascii="微软雅黑" w:hAnsi="微软雅黑" w:eastAsia="微软雅黑" w:cs="微软雅黑"/>
                <w:b w:val="0"/>
                <w:bCs w:val="0"/>
                <w:color w:val="auto"/>
                <w:sz w:val="24"/>
                <w:szCs w:val="24"/>
              </w:rPr>
              <w:t>需提供场地设计方案效果图及文字说明，未提供或者提供不齐全的不得分）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1B4B5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lang w:eastAsia="zh-CN"/>
              </w:rPr>
              <w:t>20</w:t>
            </w:r>
          </w:p>
        </w:tc>
      </w:tr>
      <w:tr w14:paraId="37BA8E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3C6CFF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4</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14:paraId="4A3C1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944F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服务</w:t>
            </w:r>
          </w:p>
          <w:p w14:paraId="662E9B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color w:val="auto"/>
                <w:sz w:val="24"/>
                <w:szCs w:val="24"/>
                <w:highlight w:val="none"/>
              </w:rPr>
              <w:t>方案</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FAD09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供应商针对该项目制定明确、详细、规范、全面的服务方案，方案描述清晰、可行，可操作性强得</w:t>
            </w:r>
            <w:r>
              <w:rPr>
                <w:rFonts w:hint="default" w:ascii="微软雅黑" w:hAnsi="微软雅黑" w:eastAsia="微软雅黑" w:cs="微软雅黑"/>
                <w:b w:val="0"/>
                <w:bCs w:val="0"/>
                <w:color w:val="auto"/>
                <w:sz w:val="24"/>
                <w:szCs w:val="24"/>
              </w:rPr>
              <w:t>10</w:t>
            </w:r>
            <w:r>
              <w:rPr>
                <w:rFonts w:hint="eastAsia" w:ascii="微软雅黑" w:hAnsi="微软雅黑" w:eastAsia="微软雅黑" w:cs="微软雅黑"/>
                <w:b w:val="0"/>
                <w:bCs w:val="0"/>
                <w:color w:val="auto"/>
                <w:sz w:val="24"/>
                <w:szCs w:val="24"/>
              </w:rPr>
              <w:t>分；方案描述基本可行，操作性一般得</w:t>
            </w:r>
            <w:r>
              <w:rPr>
                <w:rFonts w:hint="default" w:ascii="微软雅黑" w:hAnsi="微软雅黑" w:eastAsia="微软雅黑" w:cs="微软雅黑"/>
                <w:b w:val="0"/>
                <w:bCs w:val="0"/>
                <w:color w:val="auto"/>
                <w:sz w:val="24"/>
                <w:szCs w:val="24"/>
                <w:lang w:eastAsia="zh-CN"/>
              </w:rPr>
              <w:t>6</w:t>
            </w:r>
            <w:r>
              <w:rPr>
                <w:rFonts w:hint="eastAsia" w:ascii="微软雅黑" w:hAnsi="微软雅黑" w:eastAsia="微软雅黑" w:cs="微软雅黑"/>
                <w:b w:val="0"/>
                <w:bCs w:val="0"/>
                <w:color w:val="auto"/>
                <w:sz w:val="24"/>
                <w:szCs w:val="24"/>
              </w:rPr>
              <w:t>分；方案描述不完整，方案内容有缺陷得</w:t>
            </w:r>
            <w:r>
              <w:rPr>
                <w:rFonts w:hint="eastAsia" w:ascii="微软雅黑" w:hAnsi="微软雅黑" w:eastAsia="微软雅黑" w:cs="微软雅黑"/>
                <w:b w:val="0"/>
                <w:bCs w:val="0"/>
                <w:color w:val="auto"/>
                <w:sz w:val="24"/>
                <w:szCs w:val="24"/>
                <w:lang w:val="en-US" w:eastAsia="zh-CN"/>
              </w:rPr>
              <w:t>2</w:t>
            </w:r>
            <w:r>
              <w:rPr>
                <w:rFonts w:hint="eastAsia" w:ascii="微软雅黑" w:hAnsi="微软雅黑" w:eastAsia="微软雅黑" w:cs="微软雅黑"/>
                <w:b w:val="0"/>
                <w:bCs w:val="0"/>
                <w:color w:val="auto"/>
                <w:sz w:val="24"/>
                <w:szCs w:val="24"/>
              </w:rPr>
              <w:t>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16319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10</w:t>
            </w:r>
          </w:p>
        </w:tc>
      </w:tr>
      <w:tr w14:paraId="53EBA8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6F2FF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5</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14:paraId="4F8E65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B4B2F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人员</w:t>
            </w:r>
          </w:p>
          <w:p w14:paraId="413427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color w:val="auto"/>
                <w:sz w:val="24"/>
                <w:szCs w:val="24"/>
                <w:highlight w:val="none"/>
              </w:rPr>
              <w:t>配置</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E923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供应商针对项目服务需求制定人员配置：项目经理投入、主要技术人员配备合理，人员配置的人数、岗位、职责完全满足项目需求得</w:t>
            </w:r>
            <w:r>
              <w:rPr>
                <w:rFonts w:hint="default" w:ascii="微软雅黑" w:hAnsi="微软雅黑" w:eastAsia="微软雅黑" w:cs="微软雅黑"/>
                <w:b w:val="0"/>
                <w:bCs w:val="0"/>
                <w:color w:val="auto"/>
                <w:sz w:val="24"/>
                <w:szCs w:val="24"/>
              </w:rPr>
              <w:t>5</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基本满足项目需求得</w:t>
            </w:r>
            <w:r>
              <w:rPr>
                <w:rFonts w:hint="default" w:ascii="微软雅黑" w:hAnsi="微软雅黑" w:eastAsia="微软雅黑" w:cs="微软雅黑"/>
                <w:b w:val="0"/>
                <w:bCs w:val="0"/>
                <w:color w:val="auto"/>
                <w:sz w:val="24"/>
                <w:szCs w:val="24"/>
              </w:rPr>
              <w:t>3</w:t>
            </w:r>
            <w:r>
              <w:rPr>
                <w:rFonts w:hint="eastAsia" w:ascii="微软雅黑" w:hAnsi="微软雅黑" w:eastAsia="微软雅黑" w:cs="微软雅黑"/>
                <w:b w:val="0"/>
                <w:bCs w:val="0"/>
                <w:color w:val="auto"/>
                <w:sz w:val="24"/>
                <w:szCs w:val="24"/>
              </w:rPr>
              <w:t>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不完全满足项目需求得2分</w:t>
            </w:r>
            <w:r>
              <w:rPr>
                <w:rFonts w:hint="eastAsia" w:ascii="微软雅黑" w:hAnsi="微软雅黑" w:eastAsia="微软雅黑" w:cs="微软雅黑"/>
                <w:b w:val="0"/>
                <w:bCs w:val="0"/>
                <w:color w:val="auto"/>
                <w:sz w:val="24"/>
                <w:szCs w:val="24"/>
                <w:lang w:eastAsia="zh-CN"/>
              </w:rPr>
              <w:t>；</w:t>
            </w:r>
            <w:r>
              <w:rPr>
                <w:rFonts w:hint="eastAsia" w:ascii="微软雅黑" w:hAnsi="微软雅黑" w:eastAsia="微软雅黑" w:cs="微软雅黑"/>
                <w:b w:val="0"/>
                <w:bCs w:val="0"/>
                <w:color w:val="auto"/>
                <w:sz w:val="24"/>
                <w:szCs w:val="24"/>
              </w:rPr>
              <w:t>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9C045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rPr>
              <w:t>5</w:t>
            </w:r>
          </w:p>
        </w:tc>
      </w:tr>
      <w:tr w14:paraId="1FE0F8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0F039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6</w:t>
            </w:r>
          </w:p>
        </w:tc>
        <w:tc>
          <w:tcPr>
            <w:tcW w:w="770" w:type="dxa"/>
            <w:vMerge w:val="continue"/>
            <w:tcBorders>
              <w:left w:val="nil"/>
              <w:right w:val="single" w:color="000000" w:sz="8" w:space="0"/>
            </w:tcBorders>
            <w:shd w:val="clear" w:color="auto" w:fill="FFFFFF"/>
            <w:tcMar>
              <w:top w:w="75" w:type="dxa"/>
              <w:left w:w="150" w:type="dxa"/>
              <w:bottom w:w="75" w:type="dxa"/>
              <w:right w:w="150" w:type="dxa"/>
            </w:tcMar>
            <w:vAlign w:val="center"/>
          </w:tcPr>
          <w:p w14:paraId="509436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BCFA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应急</w:t>
            </w:r>
          </w:p>
          <w:p w14:paraId="04635F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color w:val="auto"/>
                <w:sz w:val="24"/>
                <w:szCs w:val="24"/>
                <w:highlight w:val="none"/>
              </w:rPr>
              <w:t>预案</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7F58B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供应商提供的应急预案科学合理，完全满足项目整体需求，针对各种危险、意外因素和其他特殊情况考虑周全，处置方法针对性强得</w:t>
            </w:r>
            <w:r>
              <w:rPr>
                <w:rFonts w:hint="eastAsia" w:ascii="微软雅黑" w:hAnsi="微软雅黑" w:eastAsia="微软雅黑" w:cs="微软雅黑"/>
                <w:b w:val="0"/>
                <w:bCs w:val="0"/>
                <w:color w:val="auto"/>
                <w:sz w:val="24"/>
                <w:szCs w:val="24"/>
                <w:lang w:val="en-US" w:eastAsia="zh-CN"/>
              </w:rPr>
              <w:t>12</w:t>
            </w:r>
            <w:r>
              <w:rPr>
                <w:rFonts w:hint="eastAsia" w:ascii="微软雅黑" w:hAnsi="微软雅黑" w:eastAsia="微软雅黑" w:cs="微软雅黑"/>
                <w:b w:val="0"/>
                <w:bCs w:val="0"/>
                <w:color w:val="auto"/>
                <w:sz w:val="24"/>
                <w:szCs w:val="24"/>
              </w:rPr>
              <w:t>分；基本满足项目整体需求，处置方法针对性较强得</w:t>
            </w:r>
            <w:r>
              <w:rPr>
                <w:rFonts w:hint="eastAsia" w:ascii="微软雅黑" w:hAnsi="微软雅黑" w:eastAsia="微软雅黑" w:cs="微软雅黑"/>
                <w:b w:val="0"/>
                <w:bCs w:val="0"/>
                <w:color w:val="auto"/>
                <w:sz w:val="24"/>
                <w:szCs w:val="24"/>
                <w:lang w:val="en-US" w:eastAsia="zh-CN"/>
              </w:rPr>
              <w:t>6</w:t>
            </w:r>
            <w:r>
              <w:rPr>
                <w:rFonts w:hint="eastAsia" w:ascii="微软雅黑" w:hAnsi="微软雅黑" w:eastAsia="微软雅黑" w:cs="微软雅黑"/>
                <w:b w:val="0"/>
                <w:bCs w:val="0"/>
                <w:color w:val="auto"/>
                <w:sz w:val="24"/>
                <w:szCs w:val="24"/>
              </w:rPr>
              <w:t>分；不符合项目需求，处置方法没有针对性的得2分；未提供不得分。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F57EB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12</w:t>
            </w:r>
          </w:p>
        </w:tc>
      </w:tr>
      <w:tr w14:paraId="308DB5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28679D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eastAsia="zh-CN"/>
              </w:rPr>
            </w:pPr>
            <w:r>
              <w:rPr>
                <w:rFonts w:hint="default" w:ascii="微软雅黑" w:hAnsi="微软雅黑" w:eastAsia="微软雅黑" w:cs="微软雅黑"/>
                <w:i w:val="0"/>
                <w:caps w:val="0"/>
                <w:color w:val="auto"/>
                <w:spacing w:val="0"/>
                <w:sz w:val="24"/>
                <w:szCs w:val="24"/>
                <w:lang w:eastAsia="zh-CN"/>
              </w:rPr>
              <w:t>7</w:t>
            </w:r>
          </w:p>
        </w:tc>
        <w:tc>
          <w:tcPr>
            <w:tcW w:w="770" w:type="dxa"/>
            <w:vMerge w:val="continue"/>
            <w:tcBorders>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050F99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rPr>
            </w:pPr>
          </w:p>
        </w:tc>
        <w:tc>
          <w:tcPr>
            <w:tcW w:w="912"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3D1888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质量</w:t>
            </w:r>
          </w:p>
          <w:p w14:paraId="1A934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default" w:ascii="微软雅黑" w:hAnsi="微软雅黑" w:eastAsia="微软雅黑" w:cs="微软雅黑"/>
                <w:i w:val="0"/>
                <w:caps w:val="0"/>
                <w:color w:val="auto"/>
                <w:spacing w:val="0"/>
                <w:sz w:val="24"/>
                <w:szCs w:val="24"/>
                <w:highlight w:val="none"/>
              </w:rPr>
            </w:pPr>
            <w:r>
              <w:rPr>
                <w:rFonts w:hint="eastAsia" w:ascii="微软雅黑" w:hAnsi="微软雅黑" w:eastAsia="微软雅黑" w:cs="微软雅黑"/>
                <w:b w:val="0"/>
                <w:bCs w:val="0"/>
                <w:color w:val="auto"/>
                <w:sz w:val="24"/>
                <w:szCs w:val="24"/>
                <w:highlight w:val="none"/>
              </w:rPr>
              <w:t>保证</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1E945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color w:val="auto"/>
                <w:sz w:val="24"/>
                <w:szCs w:val="24"/>
              </w:rPr>
              <w:t>供应商提供完整且有针对性的服务质量保证措施，出具承诺函。服务质量承诺及保证措施完整详细，针对性强，能够完全保障项目服务质量得</w:t>
            </w:r>
            <w:r>
              <w:rPr>
                <w:rFonts w:hint="default" w:ascii="微软雅黑" w:hAnsi="微软雅黑" w:eastAsia="微软雅黑" w:cs="微软雅黑"/>
                <w:b w:val="0"/>
                <w:bCs w:val="0"/>
                <w:color w:val="auto"/>
                <w:sz w:val="24"/>
                <w:szCs w:val="24"/>
              </w:rPr>
              <w:t>9</w:t>
            </w:r>
            <w:r>
              <w:rPr>
                <w:rFonts w:hint="eastAsia" w:ascii="微软雅黑" w:hAnsi="微软雅黑" w:eastAsia="微软雅黑" w:cs="微软雅黑"/>
                <w:b w:val="0"/>
                <w:bCs w:val="0"/>
                <w:color w:val="auto"/>
                <w:sz w:val="24"/>
                <w:szCs w:val="24"/>
              </w:rPr>
              <w:t>分；服务质量承诺及保证措施基本完整详细，针对性一般，基本保障项目服务质量得</w:t>
            </w:r>
            <w:r>
              <w:rPr>
                <w:rFonts w:hint="default" w:ascii="微软雅黑" w:hAnsi="微软雅黑" w:eastAsia="微软雅黑" w:cs="微软雅黑"/>
                <w:b w:val="0"/>
                <w:bCs w:val="0"/>
                <w:color w:val="auto"/>
                <w:sz w:val="24"/>
                <w:szCs w:val="24"/>
              </w:rPr>
              <w:t>8</w:t>
            </w:r>
            <w:r>
              <w:rPr>
                <w:rFonts w:hint="eastAsia" w:ascii="微软雅黑" w:hAnsi="微软雅黑" w:eastAsia="微软雅黑" w:cs="微软雅黑"/>
                <w:b w:val="0"/>
                <w:bCs w:val="0"/>
                <w:color w:val="auto"/>
                <w:sz w:val="24"/>
                <w:szCs w:val="24"/>
              </w:rPr>
              <w:t>分，服务质量承诺及保证措施有缺陷，不具备针对性，无法保障项目服务质量得2分，未提供不得分。</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575BAF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rPr>
              <w:t>9</w:t>
            </w:r>
          </w:p>
        </w:tc>
      </w:tr>
      <w:tr w14:paraId="40A873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69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5247AA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rPr>
            </w:pPr>
            <w:r>
              <w:rPr>
                <w:rFonts w:hint="default" w:ascii="微软雅黑" w:hAnsi="微软雅黑" w:eastAsia="微软雅黑" w:cs="微软雅黑"/>
                <w:i w:val="0"/>
                <w:caps w:val="0"/>
                <w:color w:val="auto"/>
                <w:spacing w:val="0"/>
                <w:sz w:val="24"/>
                <w:szCs w:val="24"/>
                <w:lang w:eastAsia="zh-CN"/>
              </w:rPr>
              <w:t>8</w:t>
            </w:r>
          </w:p>
        </w:tc>
        <w:tc>
          <w:tcPr>
            <w:tcW w:w="1682"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8951D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default"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价格</w:t>
            </w:r>
            <w:r>
              <w:rPr>
                <w:rFonts w:hint="default" w:ascii="微软雅黑" w:hAnsi="微软雅黑" w:eastAsia="微软雅黑" w:cs="微软雅黑"/>
                <w:b w:val="0"/>
                <w:bCs w:val="0"/>
                <w:i w:val="0"/>
                <w:caps w:val="0"/>
                <w:color w:val="auto"/>
                <w:spacing w:val="0"/>
                <w:sz w:val="24"/>
                <w:szCs w:val="24"/>
              </w:rPr>
              <w:t>评分</w:t>
            </w:r>
          </w:p>
        </w:tc>
        <w:tc>
          <w:tcPr>
            <w:tcW w:w="5988"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497BD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left"/>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b w:val="0"/>
                <w:bCs w:val="0"/>
                <w:i w:val="0"/>
                <w:caps w:val="0"/>
                <w:color w:val="auto"/>
                <w:spacing w:val="0"/>
                <w:sz w:val="24"/>
                <w:szCs w:val="24"/>
              </w:rPr>
              <w:t>以最低的有效报价为评标基准报价，其价格为满分</w:t>
            </w:r>
            <w:r>
              <w:rPr>
                <w:rFonts w:hint="eastAsia" w:ascii="微软雅黑" w:hAnsi="微软雅黑" w:eastAsia="微软雅黑" w:cs="微软雅黑"/>
                <w:b w:val="0"/>
                <w:bCs w:val="0"/>
                <w:i w:val="0"/>
                <w:caps w:val="0"/>
                <w:color w:val="auto"/>
                <w:spacing w:val="0"/>
                <w:sz w:val="24"/>
                <w:szCs w:val="24"/>
                <w:lang w:val="en-US" w:eastAsia="zh-CN"/>
              </w:rPr>
              <w:t>3</w:t>
            </w:r>
            <w:r>
              <w:rPr>
                <w:rFonts w:hint="eastAsia" w:ascii="微软雅黑" w:hAnsi="微软雅黑" w:eastAsia="微软雅黑" w:cs="微软雅黑"/>
                <w:b w:val="0"/>
                <w:bCs w:val="0"/>
                <w:i w:val="0"/>
                <w:caps w:val="0"/>
                <w:color w:val="auto"/>
                <w:spacing w:val="0"/>
                <w:sz w:val="24"/>
                <w:szCs w:val="24"/>
              </w:rPr>
              <w:t>0分。其他投标人的价格分统一按照下列公式计算：投标报价得分=（评标基准价/投标报价）×</w:t>
            </w:r>
            <w:r>
              <w:rPr>
                <w:rFonts w:hint="eastAsia" w:ascii="微软雅黑" w:hAnsi="微软雅黑" w:eastAsia="微软雅黑" w:cs="微软雅黑"/>
                <w:b w:val="0"/>
                <w:bCs w:val="0"/>
                <w:i w:val="0"/>
                <w:caps w:val="0"/>
                <w:color w:val="auto"/>
                <w:spacing w:val="0"/>
                <w:sz w:val="24"/>
                <w:szCs w:val="24"/>
                <w:lang w:val="en-US" w:eastAsia="zh-CN"/>
              </w:rPr>
              <w:t>30</w:t>
            </w:r>
            <w:r>
              <w:rPr>
                <w:rFonts w:hint="eastAsia" w:ascii="微软雅黑" w:hAnsi="微软雅黑" w:eastAsia="微软雅黑" w:cs="微软雅黑"/>
                <w:b w:val="0"/>
                <w:bCs w:val="0"/>
                <w:i w:val="0"/>
                <w:caps w:val="0"/>
                <w:color w:val="auto"/>
                <w:spacing w:val="0"/>
                <w:sz w:val="24"/>
                <w:szCs w:val="24"/>
              </w:rPr>
              <w:t>。</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649A8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微软雅黑" w:hAnsi="微软雅黑" w:eastAsia="微软雅黑" w:cs="微软雅黑"/>
                <w:i w:val="0"/>
                <w:caps w:val="0"/>
                <w:color w:val="auto"/>
                <w:spacing w:val="0"/>
                <w:sz w:val="24"/>
                <w:szCs w:val="24"/>
              </w:rPr>
            </w:pPr>
            <w:r>
              <w:rPr>
                <w:rFonts w:hint="eastAsia" w:ascii="微软雅黑" w:hAnsi="微软雅黑" w:eastAsia="微软雅黑" w:cs="微软雅黑"/>
                <w:i w:val="0"/>
                <w:caps w:val="0"/>
                <w:color w:val="auto"/>
                <w:spacing w:val="0"/>
                <w:sz w:val="24"/>
                <w:szCs w:val="24"/>
                <w:lang w:val="en-US" w:eastAsia="zh-CN"/>
              </w:rPr>
              <w:t>30</w:t>
            </w:r>
          </w:p>
        </w:tc>
      </w:tr>
      <w:tr w14:paraId="449B41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8364" w:type="dxa"/>
            <w:gridSpan w:val="4"/>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14:paraId="213747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微软雅黑" w:hAnsi="微软雅黑" w:eastAsia="微软雅黑" w:cs="微软雅黑"/>
                <w:i w:val="0"/>
                <w:caps w:val="0"/>
                <w:color w:val="auto"/>
                <w:spacing w:val="0"/>
                <w:sz w:val="24"/>
                <w:szCs w:val="24"/>
                <w:lang w:eastAsia="zh-CN"/>
              </w:rPr>
            </w:pPr>
            <w:r>
              <w:rPr>
                <w:rFonts w:hint="eastAsia" w:ascii="微软雅黑" w:hAnsi="微软雅黑" w:eastAsia="微软雅黑" w:cs="微软雅黑"/>
                <w:i w:val="0"/>
                <w:caps w:val="0"/>
                <w:color w:val="auto"/>
                <w:spacing w:val="0"/>
                <w:sz w:val="24"/>
                <w:szCs w:val="24"/>
                <w:lang w:eastAsia="zh-CN"/>
              </w:rPr>
              <w:t>合计</w:t>
            </w:r>
          </w:p>
        </w:tc>
        <w:tc>
          <w:tcPr>
            <w:tcW w:w="1050"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14:paraId="240BF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default" w:ascii="微软雅黑" w:hAnsi="微软雅黑" w:eastAsia="微软雅黑" w:cs="微软雅黑"/>
                <w:i w:val="0"/>
                <w:caps w:val="0"/>
                <w:color w:val="auto"/>
                <w:spacing w:val="0"/>
                <w:sz w:val="24"/>
                <w:szCs w:val="24"/>
                <w:lang w:val="en-US" w:eastAsia="zh-CN"/>
              </w:rPr>
            </w:pPr>
            <w:r>
              <w:rPr>
                <w:rFonts w:hint="eastAsia" w:ascii="微软雅黑" w:hAnsi="微软雅黑" w:eastAsia="微软雅黑" w:cs="微软雅黑"/>
                <w:i w:val="0"/>
                <w:caps w:val="0"/>
                <w:color w:val="auto"/>
                <w:spacing w:val="0"/>
                <w:sz w:val="24"/>
                <w:szCs w:val="24"/>
                <w:lang w:val="en-US" w:eastAsia="zh-CN"/>
              </w:rPr>
              <w:t>100</w:t>
            </w:r>
          </w:p>
        </w:tc>
      </w:tr>
    </w:tbl>
    <w:p w14:paraId="3F8C078B">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color w:val="auto"/>
          <w:sz w:val="24"/>
          <w:szCs w:val="24"/>
          <w:lang w:val="en-US" w:eastAsia="zh-CN"/>
        </w:rPr>
      </w:pPr>
    </w:p>
    <w:p w14:paraId="37E6BF3E">
      <w:pPr>
        <w:numPr>
          <w:ilvl w:val="0"/>
          <w:numId w:val="0"/>
        </w:numPr>
        <w:pBdr>
          <w:top w:val="none" w:color="auto" w:sz="0" w:space="0"/>
          <w:left w:val="none" w:color="auto" w:sz="0" w:space="0"/>
          <w:bottom w:val="none" w:color="auto" w:sz="0" w:space="0"/>
          <w:right w:val="none" w:color="auto" w:sz="0" w:space="0"/>
        </w:pBdr>
        <w:ind w:leftChars="0"/>
        <w:jc w:val="left"/>
        <w:rPr>
          <w:rFonts w:hint="eastAsia" w:ascii="微软雅黑" w:hAnsi="微软雅黑" w:eastAsia="微软雅黑" w:cs="微软雅黑"/>
          <w:color w:val="auto"/>
          <w:sz w:val="24"/>
          <w:szCs w:val="24"/>
          <w:lang w:val="en-US" w:eastAsia="zh-CN"/>
        </w:rPr>
      </w:pPr>
    </w:p>
    <w:p w14:paraId="7C1044AF">
      <w:pPr>
        <w:numPr>
          <w:ilvl w:val="0"/>
          <w:numId w:val="0"/>
        </w:numPr>
        <w:ind w:leftChars="0"/>
        <w:jc w:val="left"/>
        <w:rPr>
          <w:rFonts w:hint="eastAsia" w:ascii="微软雅黑" w:hAnsi="微软雅黑" w:eastAsia="微软雅黑" w:cs="微软雅黑"/>
          <w:color w:val="auto"/>
          <w:sz w:val="24"/>
          <w:szCs w:val="24"/>
          <w:lang w:val="en-US" w:eastAsia="zh-CN"/>
        </w:rPr>
      </w:pPr>
    </w:p>
    <w:p w14:paraId="3FE3562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27196"/>
    <w:multiLevelType w:val="multilevel"/>
    <w:tmpl w:val="57727196"/>
    <w:lvl w:ilvl="0" w:tentative="0">
      <w:start w:val="2"/>
      <w:numFmt w:val="japaneseCounting"/>
      <w:lvlText w:val="（%1）"/>
      <w:lvlJc w:val="left"/>
      <w:pPr>
        <w:ind w:left="1640" w:hanging="108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NWUxODc1Y2U2ZTU1YzQzMGE5MDM5ZTYxYjBiY2UifQ=="/>
  </w:docVars>
  <w:rsids>
    <w:rsidRoot w:val="10CE2C4C"/>
    <w:rsid w:val="016A55EC"/>
    <w:rsid w:val="02FD2237"/>
    <w:rsid w:val="04CF0C57"/>
    <w:rsid w:val="092E6746"/>
    <w:rsid w:val="096F229A"/>
    <w:rsid w:val="09AC4124"/>
    <w:rsid w:val="0BBDABB1"/>
    <w:rsid w:val="0F581DD2"/>
    <w:rsid w:val="0F6C1ADF"/>
    <w:rsid w:val="10CE2C4C"/>
    <w:rsid w:val="15A20FDE"/>
    <w:rsid w:val="16827EAE"/>
    <w:rsid w:val="19D73291"/>
    <w:rsid w:val="1A2A3794"/>
    <w:rsid w:val="1C077DEC"/>
    <w:rsid w:val="1ED5325C"/>
    <w:rsid w:val="2052046C"/>
    <w:rsid w:val="22370D00"/>
    <w:rsid w:val="23E34C9B"/>
    <w:rsid w:val="263F2647"/>
    <w:rsid w:val="27E74D7F"/>
    <w:rsid w:val="2A752B21"/>
    <w:rsid w:val="2AAF20EA"/>
    <w:rsid w:val="2FBF746D"/>
    <w:rsid w:val="3176299E"/>
    <w:rsid w:val="327BD6BB"/>
    <w:rsid w:val="32D60BB1"/>
    <w:rsid w:val="32FB2E25"/>
    <w:rsid w:val="361C7227"/>
    <w:rsid w:val="3628485F"/>
    <w:rsid w:val="37E8067A"/>
    <w:rsid w:val="38EEA849"/>
    <w:rsid w:val="39A87997"/>
    <w:rsid w:val="3BD3E4E6"/>
    <w:rsid w:val="3BEB0E66"/>
    <w:rsid w:val="3DB5580B"/>
    <w:rsid w:val="3FBF6BC7"/>
    <w:rsid w:val="42CB2F31"/>
    <w:rsid w:val="431D0ECB"/>
    <w:rsid w:val="49796116"/>
    <w:rsid w:val="4B370CE5"/>
    <w:rsid w:val="4D0C2BD6"/>
    <w:rsid w:val="4E375A60"/>
    <w:rsid w:val="4E464D3D"/>
    <w:rsid w:val="4F330A2A"/>
    <w:rsid w:val="50C11611"/>
    <w:rsid w:val="54A2474F"/>
    <w:rsid w:val="57DCAABA"/>
    <w:rsid w:val="5A6905BB"/>
    <w:rsid w:val="5DFE3530"/>
    <w:rsid w:val="5FB51609"/>
    <w:rsid w:val="5FF9C9C1"/>
    <w:rsid w:val="60BF7F09"/>
    <w:rsid w:val="670E1397"/>
    <w:rsid w:val="6CD79F6C"/>
    <w:rsid w:val="6D066806"/>
    <w:rsid w:val="6ED6108A"/>
    <w:rsid w:val="6EFF8E35"/>
    <w:rsid w:val="6FC1536C"/>
    <w:rsid w:val="6FF99663"/>
    <w:rsid w:val="71255CEB"/>
    <w:rsid w:val="72AA1EA5"/>
    <w:rsid w:val="73FE1E79"/>
    <w:rsid w:val="73FEF19B"/>
    <w:rsid w:val="753F6E6E"/>
    <w:rsid w:val="781C6440"/>
    <w:rsid w:val="78FF1212"/>
    <w:rsid w:val="7AD75892"/>
    <w:rsid w:val="7BF9DAFD"/>
    <w:rsid w:val="7CDFF044"/>
    <w:rsid w:val="7D34D6CC"/>
    <w:rsid w:val="7D8EFF9C"/>
    <w:rsid w:val="7F7B08C8"/>
    <w:rsid w:val="7F9B84ED"/>
    <w:rsid w:val="7FB4AA2C"/>
    <w:rsid w:val="7FF7C0D9"/>
    <w:rsid w:val="7FFFE6A1"/>
    <w:rsid w:val="97FFCC44"/>
    <w:rsid w:val="9DEE3160"/>
    <w:rsid w:val="9FBD9CBA"/>
    <w:rsid w:val="A7FFE72D"/>
    <w:rsid w:val="AEEF18B6"/>
    <w:rsid w:val="BF5F0CD6"/>
    <w:rsid w:val="BF79C2BA"/>
    <w:rsid w:val="BF7F1FA4"/>
    <w:rsid w:val="BFFDAEC3"/>
    <w:rsid w:val="D7B6BD01"/>
    <w:rsid w:val="D7E327B3"/>
    <w:rsid w:val="D7FE12BF"/>
    <w:rsid w:val="D86E0A88"/>
    <w:rsid w:val="DBDDCB12"/>
    <w:rsid w:val="DCE75742"/>
    <w:rsid w:val="DFEFD170"/>
    <w:rsid w:val="E3E6C7E8"/>
    <w:rsid w:val="E3F221BF"/>
    <w:rsid w:val="EB7F6183"/>
    <w:rsid w:val="EEDE9ECD"/>
    <w:rsid w:val="EFFF8952"/>
    <w:rsid w:val="F2FEC20D"/>
    <w:rsid w:val="F6BFC690"/>
    <w:rsid w:val="F7E70837"/>
    <w:rsid w:val="F7FB6549"/>
    <w:rsid w:val="F7FF91B5"/>
    <w:rsid w:val="F9FF21DB"/>
    <w:rsid w:val="FBF4BA1A"/>
    <w:rsid w:val="FBF7EA47"/>
    <w:rsid w:val="FD6CE394"/>
    <w:rsid w:val="FE9F249C"/>
    <w:rsid w:val="FEFEAB41"/>
    <w:rsid w:val="FFDCC147"/>
    <w:rsid w:val="FFE7EF20"/>
    <w:rsid w:val="FFFE7AC8"/>
    <w:rsid w:val="FFFFE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纯文本1"/>
    <w:basedOn w:val="1"/>
    <w:qFormat/>
    <w:uiPriority w:val="0"/>
    <w:pPr>
      <w:jc w:val="left"/>
    </w:pPr>
    <w:rPr>
      <w:rFonts w:ascii="宋体" w:hAnsi="宋体" w:eastAsia="等线"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江门市农业农村局</Company>
  <Pages>5</Pages>
  <Words>1853</Words>
  <Characters>1914</Characters>
  <Lines>0</Lines>
  <Paragraphs>0</Paragraphs>
  <TotalTime>9</TotalTime>
  <ScaleCrop>false</ScaleCrop>
  <LinksUpToDate>false</LinksUpToDate>
  <CharactersWithSpaces>1917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2022-07-06T03:20:00Z</dcterms:created>
  <dc:creator>Cherny</dc:creator>
  <cp:lastModifiedBy>郑楚怡</cp:lastModifiedBy>
  <cp:lastPrinted>2023-02-03T09:08:00Z</cp:lastPrinted>
  <dcterms:modified xsi:type="dcterms:W3CDTF">2024-07-22T02:53:34Z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7A1DDCC7E9E0443793087459DD6AD620</vt:lpwstr>
  </property>
</Properties>
</file>