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sz w:val="24"/>
        </w:rPr>
      </w:pPr>
    </w:p>
    <w:p>
      <w:pPr>
        <w:spacing w:line="500" w:lineRule="exact"/>
        <w:jc w:val="center"/>
        <w:rPr>
          <w:rFonts w:hint="eastAsia" w:ascii="方正小标宋简体" w:eastAsia="方正小标宋简体"/>
          <w:sz w:val="36"/>
          <w:szCs w:val="36"/>
        </w:rPr>
      </w:pPr>
      <w:r>
        <w:rPr>
          <w:rFonts w:hint="eastAsia" w:ascii="方正小标宋简体" w:hAnsi="方正小标宋简体" w:eastAsia="方正小标宋简体" w:cs="方正小标宋简体"/>
          <w:i w:val="0"/>
          <w:iCs w:val="0"/>
          <w:caps w:val="0"/>
          <w:color w:val="666666"/>
          <w:spacing w:val="0"/>
          <w:sz w:val="36"/>
          <w:szCs w:val="36"/>
          <w:shd w:val="clear" w:fill="FFFFFF"/>
        </w:rPr>
        <w:t>江门市</w:t>
      </w:r>
      <w:r>
        <w:rPr>
          <w:rFonts w:hint="eastAsia" w:ascii="方正小标宋简体" w:hAnsi="方正小标宋简体" w:eastAsia="方正小标宋简体" w:cs="方正小标宋简体"/>
          <w:i w:val="0"/>
          <w:iCs w:val="0"/>
          <w:caps w:val="0"/>
          <w:color w:val="666666"/>
          <w:spacing w:val="0"/>
          <w:sz w:val="36"/>
          <w:szCs w:val="36"/>
          <w:shd w:val="clear" w:fill="FFFFFF"/>
          <w:lang w:eastAsia="zh-CN"/>
        </w:rPr>
        <w:t>开平</w:t>
      </w:r>
      <w:r>
        <w:rPr>
          <w:rFonts w:hint="eastAsia" w:ascii="方正小标宋简体" w:hAnsi="方正小标宋简体" w:eastAsia="方正小标宋简体" w:cs="方正小标宋简体"/>
          <w:i w:val="0"/>
          <w:iCs w:val="0"/>
          <w:caps w:val="0"/>
          <w:color w:val="666666"/>
          <w:spacing w:val="0"/>
          <w:sz w:val="36"/>
          <w:szCs w:val="36"/>
          <w:shd w:val="clear" w:fill="FFFFFF"/>
        </w:rPr>
        <w:t>公路局养护中心</w:t>
      </w:r>
      <w:r>
        <w:rPr>
          <w:rFonts w:hint="eastAsia" w:ascii="方正小标宋简体" w:hAnsi="方正小标宋简体" w:eastAsia="方正小标宋简体" w:cs="方正小标宋简体"/>
          <w:i w:val="0"/>
          <w:iCs w:val="0"/>
          <w:caps w:val="0"/>
          <w:color w:val="666666"/>
          <w:spacing w:val="0"/>
          <w:sz w:val="36"/>
          <w:szCs w:val="36"/>
          <w:shd w:val="clear" w:fill="FFFFFF"/>
          <w:lang w:val="en-US" w:eastAsia="zh-CN"/>
        </w:rPr>
        <w:t>2024-2025年</w:t>
      </w:r>
      <w:r>
        <w:rPr>
          <w:rFonts w:hint="eastAsia" w:ascii="方正小标宋简体" w:hAnsi="方正小标宋简体" w:eastAsia="方正小标宋简体" w:cs="方正小标宋简体"/>
          <w:i w:val="0"/>
          <w:iCs w:val="0"/>
          <w:caps w:val="0"/>
          <w:color w:val="666666"/>
          <w:spacing w:val="0"/>
          <w:sz w:val="36"/>
          <w:szCs w:val="36"/>
          <w:shd w:val="clear" w:fill="FFFFFF"/>
          <w:lang w:eastAsia="zh-CN"/>
        </w:rPr>
        <w:t>采购</w:t>
      </w:r>
      <w:r>
        <w:rPr>
          <w:rFonts w:hint="eastAsia" w:ascii="方正小标宋简体" w:hAnsi="方正小标宋简体" w:eastAsia="方正小标宋简体" w:cs="方正小标宋简体"/>
          <w:i w:val="0"/>
          <w:iCs w:val="0"/>
          <w:caps w:val="0"/>
          <w:color w:val="666666"/>
          <w:spacing w:val="0"/>
          <w:sz w:val="36"/>
          <w:szCs w:val="36"/>
          <w:shd w:val="clear" w:fill="FFFFFF"/>
          <w:lang w:val="en-US" w:eastAsia="zh-CN"/>
        </w:rPr>
        <w:t xml:space="preserve">     </w:t>
      </w:r>
      <w:r>
        <w:rPr>
          <w:rFonts w:hint="eastAsia" w:ascii="方正小标宋简体" w:hAnsi="方正小标宋简体" w:eastAsia="方正小标宋简体" w:cs="方正小标宋简体"/>
          <w:i w:val="0"/>
          <w:iCs w:val="0"/>
          <w:caps w:val="0"/>
          <w:color w:val="666666"/>
          <w:spacing w:val="0"/>
          <w:sz w:val="36"/>
          <w:szCs w:val="36"/>
          <w:shd w:val="clear" w:fill="FFFFFF"/>
        </w:rPr>
        <w:t>公务用车维修和保养服务</w:t>
      </w:r>
      <w:r>
        <w:rPr>
          <w:rFonts w:hint="eastAsia" w:ascii="方正小标宋简体" w:hAnsi="方正小标宋简体" w:eastAsia="方正小标宋简体" w:cs="方正小标宋简体"/>
          <w:sz w:val="36"/>
          <w:szCs w:val="36"/>
        </w:rPr>
        <w:t>评分标准</w:t>
      </w:r>
    </w:p>
    <w:p>
      <w:pPr>
        <w:pStyle w:val="2"/>
        <w:rPr>
          <w:rFonts w:hint="eastAsia" w:hAnsi="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本次采购【采用自行采购综合选取】的方式确定中选机构。评分小组先对报名</w:t>
      </w:r>
      <w:r>
        <w:rPr>
          <w:rFonts w:hint="eastAsia" w:ascii="宋体" w:hAnsi="宋体" w:eastAsia="宋体" w:cs="宋体"/>
          <w:sz w:val="24"/>
          <w:lang w:eastAsia="zh-CN"/>
        </w:rPr>
        <w:t>的</w:t>
      </w:r>
      <w:r>
        <w:rPr>
          <w:rFonts w:hint="eastAsia" w:ascii="宋体" w:hAnsi="宋体" w:eastAsia="宋体" w:cs="宋体"/>
          <w:sz w:val="24"/>
        </w:rPr>
        <w:t>机构进行初步评审；然后对满足初步评审要求的机构，按照详细评审规定的评分标准进行打分。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评分小组成员对</w:t>
      </w:r>
      <w:r>
        <w:rPr>
          <w:rFonts w:hint="eastAsia" w:ascii="宋体" w:hAnsi="宋体" w:eastAsia="宋体" w:cs="宋体"/>
          <w:sz w:val="24"/>
          <w:lang w:eastAsia="zh-CN"/>
        </w:rPr>
        <w:t>报名</w:t>
      </w:r>
      <w:r>
        <w:rPr>
          <w:rFonts w:hint="eastAsia" w:ascii="宋体" w:hAnsi="宋体" w:eastAsia="宋体" w:cs="宋体"/>
          <w:sz w:val="24"/>
        </w:rPr>
        <w:t>机构的详细评审各评审因素进行评分，计算出各评审因素的算术平均值后合计总和作为该机构的得分，并按得分由高到低顺序推荐中选机构。</w:t>
      </w:r>
    </w:p>
    <w:p>
      <w:pPr>
        <w:spacing w:line="360" w:lineRule="auto"/>
        <w:ind w:firstLine="480" w:firstLineChars="200"/>
        <w:rPr>
          <w:rFonts w:ascii="宋体" w:hAnsi="宋体" w:eastAsia="宋体" w:cs="宋体"/>
          <w:sz w:val="24"/>
        </w:rPr>
      </w:pPr>
      <w:r>
        <w:rPr>
          <w:rFonts w:hint="eastAsia" w:ascii="宋体" w:hAnsi="宋体" w:eastAsia="宋体"/>
          <w:sz w:val="24"/>
        </w:rPr>
        <w:t>如有两家或以上</w:t>
      </w:r>
      <w:r>
        <w:rPr>
          <w:rFonts w:hint="eastAsia" w:ascii="宋体" w:hAnsi="宋体" w:eastAsia="宋体"/>
          <w:sz w:val="24"/>
          <w:lang w:eastAsia="zh-CN"/>
        </w:rPr>
        <w:t>报名</w:t>
      </w:r>
      <w:r>
        <w:rPr>
          <w:rFonts w:hint="eastAsia" w:ascii="宋体" w:hAnsi="宋体" w:eastAsia="宋体"/>
          <w:sz w:val="24"/>
        </w:rPr>
        <w:t>机构的综合得分相同且得分均为最高，</w:t>
      </w:r>
      <w:r>
        <w:rPr>
          <w:rFonts w:hint="eastAsia" w:ascii="宋体" w:hAnsi="宋体" w:eastAsia="宋体" w:cs="宋体"/>
          <w:sz w:val="24"/>
        </w:rPr>
        <w:t>评分小组视</w:t>
      </w:r>
      <w:r>
        <w:rPr>
          <w:rFonts w:hint="eastAsia" w:ascii="宋体" w:hAnsi="宋体" w:eastAsia="宋体" w:cs="宋体"/>
          <w:sz w:val="24"/>
          <w:lang w:eastAsia="zh-CN"/>
        </w:rPr>
        <w:t>报名</w:t>
      </w:r>
      <w:r>
        <w:rPr>
          <w:rFonts w:hint="eastAsia" w:ascii="宋体" w:hAnsi="宋体" w:eastAsia="宋体" w:cs="宋体"/>
          <w:sz w:val="24"/>
        </w:rPr>
        <w:t>机构的情况综合比较，投票确定其名次。</w:t>
      </w:r>
    </w:p>
    <w:p>
      <w:pPr>
        <w:spacing w:line="360" w:lineRule="auto"/>
        <w:ind w:firstLine="480" w:firstLineChars="200"/>
        <w:rPr>
          <w:rFonts w:hint="eastAsia" w:ascii="宋体" w:hAnsi="宋体" w:eastAsia="宋体"/>
          <w:sz w:val="24"/>
        </w:rPr>
      </w:pPr>
      <w:r>
        <w:rPr>
          <w:rFonts w:hint="eastAsia" w:ascii="宋体" w:hAnsi="宋体" w:eastAsia="宋体" w:cs="宋体"/>
          <w:sz w:val="24"/>
        </w:rPr>
        <w:t>二、初步评审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noWrap w:val="0"/>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评审因素</w:t>
            </w:r>
          </w:p>
        </w:tc>
        <w:tc>
          <w:tcPr>
            <w:tcW w:w="6713" w:type="dxa"/>
            <w:shd w:val="clear" w:color="auto" w:fill="auto"/>
            <w:noWrap w:val="0"/>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（1）在中华人民共和国境内依法注册的具有合法经营资格的独立法人；</w:t>
            </w:r>
          </w:p>
          <w:p>
            <w:pPr>
              <w:spacing w:line="360" w:lineRule="auto"/>
              <w:rPr>
                <w:rFonts w:hint="eastAsia" w:ascii="宋体" w:hAnsi="宋体" w:eastAsia="宋体" w:cs="宋体"/>
                <w:sz w:val="24"/>
              </w:rPr>
            </w:pPr>
            <w:r>
              <w:rPr>
                <w:rFonts w:hint="eastAsia" w:ascii="宋体" w:hAnsi="宋体" w:eastAsia="宋体" w:cs="宋体"/>
                <w:sz w:val="24"/>
              </w:rPr>
              <w:t>（2）具备相应行业资质；</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信用</w:t>
            </w:r>
          </w:p>
        </w:tc>
        <w:tc>
          <w:tcPr>
            <w:tcW w:w="6713" w:type="dxa"/>
            <w:shd w:val="clear" w:color="auto" w:fill="auto"/>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报名</w:t>
            </w:r>
            <w:r>
              <w:rPr>
                <w:rFonts w:hint="eastAsia" w:ascii="宋体" w:hAnsi="宋体" w:eastAsia="宋体" w:cs="宋体"/>
                <w:sz w:val="24"/>
              </w:rPr>
              <w:t>机构在国家企业信用信息公示系统中未被列入严重违法失信企业名单；</w:t>
            </w:r>
          </w:p>
          <w:p>
            <w:pPr>
              <w:spacing w:line="360" w:lineRule="auto"/>
              <w:rPr>
                <w:rFonts w:hint="eastAsia" w:ascii="宋体" w:hAnsi="宋体" w:eastAsia="宋体" w:cs="宋体"/>
                <w:sz w:val="24"/>
              </w:rPr>
            </w:pPr>
            <w:r>
              <w:rPr>
                <w:rFonts w:hint="eastAsia" w:ascii="宋体" w:hAnsi="宋体" w:eastAsia="宋体" w:cs="宋体"/>
                <w:sz w:val="24"/>
              </w:rPr>
              <w:t>（2）在“信用中国”网站或地方信用网站的信用信息报告无不良记录。</w:t>
            </w:r>
          </w:p>
          <w:p>
            <w:pPr>
              <w:spacing w:line="360" w:lineRule="auto"/>
              <w:rPr>
                <w:rFonts w:hint="eastAsia" w:ascii="宋体" w:hAnsi="宋体" w:eastAsia="宋体" w:cs="宋体"/>
                <w:sz w:val="24"/>
              </w:rPr>
            </w:pPr>
          </w:p>
          <w:p>
            <w:pPr>
              <w:spacing w:line="360" w:lineRule="auto"/>
              <w:rPr>
                <w:rFonts w:hint="eastAsia" w:ascii="宋体" w:hAnsi="宋体" w:eastAsia="宋体"/>
                <w:sz w:val="24"/>
              </w:rPr>
            </w:pPr>
            <w:r>
              <w:rPr>
                <w:rFonts w:hint="eastAsia" w:ascii="宋体" w:hAnsi="宋体" w:eastAsia="宋体" w:cs="宋体"/>
                <w:sz w:val="24"/>
              </w:rPr>
              <w:t>注：如</w:t>
            </w:r>
            <w:r>
              <w:rPr>
                <w:rFonts w:hint="eastAsia" w:ascii="宋体" w:hAnsi="宋体" w:eastAsia="宋体" w:cs="宋体"/>
                <w:sz w:val="24"/>
                <w:lang w:eastAsia="zh-CN"/>
              </w:rPr>
              <w:t>报名</w:t>
            </w:r>
            <w:r>
              <w:rPr>
                <w:rFonts w:hint="eastAsia" w:ascii="宋体" w:hAnsi="宋体" w:eastAsia="宋体" w:cs="宋体"/>
                <w:sz w:val="24"/>
              </w:rPr>
              <w:t>机构未提交上述证明材料，则由评选小组核查；如</w:t>
            </w:r>
            <w:r>
              <w:rPr>
                <w:rFonts w:hint="eastAsia" w:ascii="宋体" w:hAnsi="宋体" w:eastAsia="宋体" w:cs="宋体"/>
                <w:sz w:val="24"/>
                <w:lang w:eastAsia="zh-CN"/>
              </w:rPr>
              <w:t>报名</w:t>
            </w:r>
            <w:r>
              <w:rPr>
                <w:rFonts w:hint="eastAsia" w:ascii="宋体" w:hAnsi="宋体" w:eastAsia="宋体" w:cs="宋体"/>
                <w:sz w:val="24"/>
              </w:rPr>
              <w:t>机构为事业单位，无法提供国家企业信用信息公示系统截图，则视作通过。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09" w:type="dxa"/>
            <w:shd w:val="clear" w:color="auto" w:fill="auto"/>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报价</w:t>
            </w:r>
          </w:p>
        </w:tc>
        <w:tc>
          <w:tcPr>
            <w:tcW w:w="6713" w:type="dxa"/>
            <w:shd w:val="clear" w:color="auto" w:fill="auto"/>
            <w:noWrap w:val="0"/>
            <w:vAlign w:val="center"/>
          </w:tcPr>
          <w:p>
            <w:pPr>
              <w:spacing w:line="360" w:lineRule="auto"/>
              <w:rPr>
                <w:rFonts w:hint="eastAsia" w:ascii="宋体" w:hAnsi="宋体" w:eastAsia="宋体" w:cs="宋体"/>
                <w:sz w:val="24"/>
                <w:lang w:eastAsia="zh-CN"/>
              </w:rPr>
            </w:pPr>
            <w:r>
              <w:rPr>
                <w:rFonts w:ascii="宋体" w:hAnsi="宋体" w:eastAsia="宋体" w:cs="宋体"/>
                <w:sz w:val="24"/>
              </w:rPr>
              <w:t>报价</w:t>
            </w:r>
            <w:r>
              <w:rPr>
                <w:rFonts w:hint="eastAsia" w:ascii="宋体" w:hAnsi="宋体" w:eastAsia="宋体" w:cs="宋体"/>
                <w:sz w:val="24"/>
                <w:lang w:eastAsia="zh-CN"/>
              </w:rPr>
              <w:t>高于最高限价视作无效报价。</w:t>
            </w:r>
          </w:p>
        </w:tc>
      </w:tr>
    </w:tbl>
    <w:p>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8"/>
        <w:gridCol w:w="1396"/>
        <w:gridCol w:w="1284"/>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4"/>
            <w:noWrap w:val="0"/>
            <w:vAlign w:val="center"/>
          </w:tcPr>
          <w:p>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7" w:type="dxa"/>
            <w:gridSpan w:val="3"/>
            <w:noWrap w:val="0"/>
            <w:vAlign w:val="center"/>
          </w:tcPr>
          <w:p>
            <w:pPr>
              <w:numPr>
                <w:ilvl w:val="0"/>
                <w:numId w:val="0"/>
              </w:numPr>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评审因素</w:t>
            </w:r>
          </w:p>
        </w:tc>
        <w:tc>
          <w:tcPr>
            <w:tcW w:w="1284" w:type="dxa"/>
            <w:noWrap w:val="0"/>
            <w:vAlign w:val="center"/>
          </w:tcPr>
          <w:p>
            <w:pPr>
              <w:numPr>
                <w:ilvl w:val="0"/>
                <w:numId w:val="0"/>
              </w:numPr>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分值</w:t>
            </w:r>
          </w:p>
        </w:tc>
        <w:tc>
          <w:tcPr>
            <w:tcW w:w="5389" w:type="dxa"/>
            <w:vMerge w:val="continue"/>
            <w:noWrap w:val="0"/>
            <w:vAlign w:val="center"/>
          </w:tcPr>
          <w:p>
            <w:pPr>
              <w:numPr>
                <w:ilvl w:val="0"/>
                <w:numId w:val="0"/>
              </w:numPr>
              <w:rPr>
                <w:rFonts w:hint="eastAsia"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gridSpan w:val="2"/>
            <w:vMerge w:val="restart"/>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技术（方案）</w:t>
            </w:r>
          </w:p>
          <w:p>
            <w:pPr>
              <w:spacing w:line="276" w:lineRule="auto"/>
              <w:jc w:val="center"/>
              <w:rPr>
                <w:rFonts w:ascii="宋体" w:hAnsi="宋体" w:eastAsia="宋体" w:cs="宋体"/>
                <w:sz w:val="24"/>
              </w:rPr>
            </w:pPr>
            <w:r>
              <w:rPr>
                <w:rFonts w:hint="eastAsia" w:ascii="宋体" w:hAnsi="宋体" w:eastAsia="宋体" w:cs="宋体"/>
                <w:sz w:val="24"/>
              </w:rPr>
              <w:t>建议书</w:t>
            </w:r>
          </w:p>
        </w:tc>
        <w:tc>
          <w:tcPr>
            <w:tcW w:w="1396" w:type="dxa"/>
            <w:noWrap w:val="0"/>
            <w:vAlign w:val="center"/>
          </w:tcPr>
          <w:p>
            <w:pPr>
              <w:spacing w:line="276" w:lineRule="auto"/>
              <w:jc w:val="cente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资质证书</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ascii="宋体" w:hAnsi="宋体" w:cs="宋体" w:eastAsiaTheme="minorEastAsia"/>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1"/>
              </w:numPr>
              <w:rPr>
                <w:rFonts w:hint="eastAsia" w:hAnsi="宋体"/>
                <w:sz w:val="24"/>
                <w:szCs w:val="24"/>
              </w:rPr>
            </w:pPr>
            <w:r>
              <w:rPr>
                <w:rFonts w:hint="eastAsia" w:asciiTheme="minorEastAsia" w:hAnsiTheme="minorEastAsia" w:eastAsiaTheme="minorEastAsia"/>
                <w:sz w:val="24"/>
                <w:lang w:eastAsia="zh-CN"/>
              </w:rPr>
              <w:t>报名机构</w:t>
            </w:r>
            <w:r>
              <w:rPr>
                <w:rFonts w:hint="eastAsia" w:cs="仿宋_GB2312" w:asciiTheme="minorEastAsia" w:hAnsiTheme="minorEastAsia" w:eastAsiaTheme="minorEastAsia"/>
                <w:kern w:val="2"/>
                <w:sz w:val="24"/>
                <w:szCs w:val="24"/>
                <w:lang w:val="en-US" w:eastAsia="zh-CN" w:bidi="ar-SA"/>
              </w:rPr>
              <w:t>具有一类汽车维修经营许可得10分；具有二类汽车维修经营许可得8分；</w:t>
            </w:r>
            <w:r>
              <w:rPr>
                <w:rFonts w:hint="eastAsia" w:cs="仿宋_GB2312" w:asciiTheme="minorEastAsia" w:hAnsiTheme="minorEastAsia" w:eastAsiaTheme="minorEastAsia"/>
                <w:kern w:val="2"/>
                <w:sz w:val="24"/>
                <w:szCs w:val="24"/>
                <w:highlight w:val="none"/>
                <w:lang w:val="en-US" w:eastAsia="zh-CN" w:bidi="ar-SA"/>
              </w:rPr>
              <w:t>（提供有效道路运输经营许可证或有效的机动车维修备案证明扫描件加盖公章）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1491" w:type="dxa"/>
            <w:gridSpan w:val="2"/>
            <w:vMerge w:val="continue"/>
            <w:noWrap w:val="0"/>
            <w:vAlign w:val="center"/>
          </w:tcPr>
          <w:p>
            <w:pPr>
              <w:spacing w:line="276" w:lineRule="auto"/>
              <w:jc w:val="center"/>
              <w:rPr>
                <w:rFonts w:hint="eastAsia" w:ascii="宋体" w:hAnsi="宋体" w:eastAsia="宋体" w:cs="宋体"/>
                <w:sz w:val="24"/>
              </w:rPr>
            </w:pPr>
          </w:p>
        </w:tc>
        <w:tc>
          <w:tcPr>
            <w:tcW w:w="1396" w:type="dxa"/>
            <w:noWrap w:val="0"/>
            <w:vAlign w:val="center"/>
          </w:tcPr>
          <w:p>
            <w:pPr>
              <w:spacing w:line="276" w:lineRule="auto"/>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场地设施条件</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10</w:t>
            </w:r>
          </w:p>
        </w:tc>
        <w:tc>
          <w:tcPr>
            <w:tcW w:w="5389" w:type="dxa"/>
            <w:noWrap w:val="0"/>
            <w:vAlign w:val="center"/>
          </w:tcPr>
          <w:p>
            <w:pPr>
              <w:numPr>
                <w:ilvl w:val="0"/>
                <w:numId w:val="0"/>
              </w:numPr>
              <w:rPr>
                <w:rFonts w:hint="eastAsia" w:asciiTheme="minorEastAsia" w:hAnsiTheme="minorEastAsia" w:eastAsiaTheme="minorEastAsia"/>
                <w:sz w:val="24"/>
              </w:rPr>
            </w:pPr>
            <w:r>
              <w:rPr>
                <w:rFonts w:hint="eastAsia" w:cs="仿宋_GB2312" w:asciiTheme="minorEastAsia" w:hAnsiTheme="minorEastAsia" w:eastAsiaTheme="minorEastAsia"/>
                <w:sz w:val="24"/>
                <w:lang w:eastAsia="zh-CN"/>
              </w:rPr>
              <w:t>报名机构</w:t>
            </w:r>
            <w:r>
              <w:rPr>
                <w:rFonts w:hint="eastAsia" w:cs="仿宋_GB2312" w:asciiTheme="minorEastAsia" w:hAnsiTheme="minorEastAsia" w:eastAsiaTheme="minorEastAsia"/>
                <w:sz w:val="24"/>
              </w:rPr>
              <w:t>具有自有或租赁房产作为维修场所，由评分员对维修用房、办公用房面积等进行综合评分,</w:t>
            </w:r>
            <w:r>
              <w:rPr>
                <w:rFonts w:hint="eastAsia" w:cs="仿宋_GB2312" w:asciiTheme="minorEastAsia" w:hAnsiTheme="minorEastAsia" w:eastAsiaTheme="minorEastAsia"/>
                <w:sz w:val="24"/>
                <w:lang w:eastAsia="zh-CN"/>
              </w:rPr>
              <w:t>报名机构</w:t>
            </w:r>
            <w:r>
              <w:rPr>
                <w:rFonts w:hint="eastAsia" w:cs="仿宋_GB2312" w:asciiTheme="minorEastAsia" w:hAnsiTheme="minorEastAsia" w:eastAsiaTheme="minorEastAsia"/>
                <w:sz w:val="24"/>
              </w:rPr>
              <w:t>使用场所面积最大可得</w:t>
            </w:r>
            <w:r>
              <w:rPr>
                <w:rFonts w:hint="eastAsia" w:cs="仿宋_GB2312" w:asciiTheme="minorEastAsia" w:hAnsiTheme="minorEastAsia" w:eastAsiaTheme="minorEastAsia"/>
                <w:sz w:val="24"/>
                <w:lang w:val="en-US" w:eastAsia="zh-CN"/>
              </w:rPr>
              <w:t>10</w:t>
            </w:r>
            <w:r>
              <w:rPr>
                <w:rFonts w:hint="eastAsia" w:cs="仿宋_GB2312" w:asciiTheme="minorEastAsia" w:hAnsiTheme="minorEastAsia" w:eastAsiaTheme="minorEastAsia"/>
                <w:sz w:val="24"/>
              </w:rPr>
              <w:t>分，面积第二可得</w:t>
            </w:r>
            <w:r>
              <w:rPr>
                <w:rFonts w:hint="eastAsia" w:cs="仿宋_GB2312" w:asciiTheme="minorEastAsia" w:hAnsiTheme="minorEastAsia" w:eastAsiaTheme="minorEastAsia"/>
                <w:sz w:val="24"/>
                <w:lang w:val="en-US" w:eastAsia="zh-CN"/>
              </w:rPr>
              <w:t>8</w:t>
            </w:r>
            <w:r>
              <w:rPr>
                <w:rFonts w:hint="eastAsia" w:cs="仿宋_GB2312" w:asciiTheme="minorEastAsia" w:hAnsiTheme="minorEastAsia" w:eastAsiaTheme="minorEastAsia"/>
                <w:sz w:val="24"/>
              </w:rPr>
              <w:t>分，面积第三可得</w:t>
            </w: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分，如此类推。（投标文件中提供房产证或租房合同复印件、营业场所真实照片等相关证明材料复印件并加盖公章）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1491" w:type="dxa"/>
            <w:gridSpan w:val="2"/>
            <w:vMerge w:val="continue"/>
            <w:noWrap w:val="0"/>
            <w:vAlign w:val="center"/>
          </w:tcPr>
          <w:p>
            <w:pPr>
              <w:spacing w:line="276" w:lineRule="auto"/>
              <w:jc w:val="center"/>
              <w:rPr>
                <w:rFonts w:hint="eastAsia" w:ascii="宋体" w:hAnsi="宋体" w:eastAsia="宋体" w:cs="宋体"/>
                <w:sz w:val="24"/>
              </w:rPr>
            </w:pPr>
          </w:p>
        </w:tc>
        <w:tc>
          <w:tcPr>
            <w:tcW w:w="1396" w:type="dxa"/>
            <w:noWrap w:val="0"/>
            <w:vAlign w:val="center"/>
          </w:tcPr>
          <w:p>
            <w:pPr>
              <w:spacing w:line="276" w:lineRule="auto"/>
              <w:jc w:val="cente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服务承诺</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ascii="宋体" w:hAnsi="宋体" w:cs="宋体" w:eastAsiaTheme="minorEastAsia"/>
                <w:sz w:val="24"/>
                <w:lang w:val="en-US" w:eastAsia="zh-CN"/>
              </w:rPr>
            </w:pPr>
            <w:r>
              <w:rPr>
                <w:rFonts w:hint="eastAsia" w:cs="仿宋_GB2312" w:asciiTheme="minorEastAsia" w:hAnsiTheme="minorEastAsia" w:eastAsiaTheme="minorEastAsia"/>
                <w:sz w:val="24"/>
                <w:lang w:val="en-US" w:eastAsia="zh-CN"/>
              </w:rPr>
              <w:t>10</w:t>
            </w:r>
          </w:p>
        </w:tc>
        <w:tc>
          <w:tcPr>
            <w:tcW w:w="5389" w:type="dxa"/>
            <w:noWrap w:val="0"/>
            <w:vAlign w:val="center"/>
          </w:tcPr>
          <w:p>
            <w:pPr>
              <w:numPr>
                <w:ilvl w:val="0"/>
                <w:numId w:val="0"/>
              </w:numP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rPr>
              <w:t>提供招标单位车辆24小时施救服务且响应时间迅速，1小时内响应可得</w:t>
            </w:r>
            <w:r>
              <w:rPr>
                <w:rFonts w:hint="eastAsia" w:cs="仿宋_GB2312" w:asciiTheme="minorEastAsia" w:hAnsiTheme="minorEastAsia" w:eastAsiaTheme="minorEastAsia"/>
                <w:sz w:val="24"/>
                <w:lang w:val="en-US" w:eastAsia="zh-CN"/>
              </w:rPr>
              <w:t>10</w:t>
            </w:r>
            <w:r>
              <w:rPr>
                <w:rFonts w:hint="eastAsia" w:cs="仿宋_GB2312" w:asciiTheme="minorEastAsia" w:hAnsiTheme="minorEastAsia" w:eastAsiaTheme="minorEastAsia"/>
                <w:sz w:val="24"/>
              </w:rPr>
              <w:t>分，1.</w:t>
            </w: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小时内响应可得</w:t>
            </w:r>
            <w:r>
              <w:rPr>
                <w:rFonts w:hint="eastAsia" w:cs="仿宋_GB2312" w:asciiTheme="minorEastAsia" w:hAnsiTheme="minorEastAsia" w:eastAsiaTheme="minorEastAsia"/>
                <w:sz w:val="24"/>
                <w:lang w:val="en-US" w:eastAsia="zh-CN"/>
              </w:rPr>
              <w:t>8</w:t>
            </w:r>
            <w:r>
              <w:rPr>
                <w:rFonts w:hint="eastAsia" w:cs="仿宋_GB2312" w:asciiTheme="minorEastAsia" w:hAnsiTheme="minorEastAsia" w:eastAsiaTheme="minorEastAsia"/>
                <w:sz w:val="24"/>
              </w:rPr>
              <w:t>分，</w:t>
            </w:r>
            <w:r>
              <w:rPr>
                <w:rFonts w:hint="eastAsia" w:cs="仿宋_GB2312" w:asciiTheme="minorEastAsia" w:hAnsiTheme="minorEastAsia" w:eastAsiaTheme="minorEastAsia"/>
                <w:sz w:val="24"/>
                <w:lang w:val="en-US" w:eastAsia="zh-CN"/>
              </w:rPr>
              <w:t>1.5</w:t>
            </w:r>
            <w:r>
              <w:rPr>
                <w:rFonts w:hint="eastAsia" w:cs="仿宋_GB2312" w:asciiTheme="minorEastAsia" w:hAnsiTheme="minorEastAsia" w:eastAsiaTheme="minorEastAsia"/>
                <w:sz w:val="24"/>
              </w:rPr>
              <w:t>小时内响应可得</w:t>
            </w: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分，超</w:t>
            </w:r>
            <w:r>
              <w:rPr>
                <w:rFonts w:hint="eastAsia" w:cs="仿宋_GB2312" w:asciiTheme="minorEastAsia" w:hAnsiTheme="minorEastAsia" w:eastAsiaTheme="minorEastAsia"/>
                <w:sz w:val="24"/>
                <w:lang w:val="en-US" w:eastAsia="zh-CN"/>
              </w:rPr>
              <w:t>1.5</w:t>
            </w:r>
            <w:r>
              <w:rPr>
                <w:rFonts w:hint="eastAsia" w:cs="仿宋_GB2312" w:asciiTheme="minorEastAsia" w:hAnsiTheme="minorEastAsia" w:eastAsiaTheme="minorEastAsia"/>
                <w:sz w:val="24"/>
              </w:rPr>
              <w:t>小时响应不得分。</w:t>
            </w:r>
          </w:p>
          <w:p>
            <w:pPr>
              <w:numPr>
                <w:ilvl w:val="0"/>
                <w:numId w:val="0"/>
              </w:numP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2.对来厂保养维修的车辆</w:t>
            </w:r>
            <w:r>
              <w:rPr>
                <w:rFonts w:hint="eastAsia" w:cs="仿宋_GB2312" w:asciiTheme="minorEastAsia" w:hAnsiTheme="minorEastAsia" w:eastAsiaTheme="minorEastAsia"/>
                <w:sz w:val="24"/>
                <w:lang w:eastAsia="zh-CN"/>
              </w:rPr>
              <w:t>应</w:t>
            </w: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sz w:val="24"/>
                <w:lang w:eastAsia="zh-CN"/>
              </w:rPr>
              <w:t>正厂配件及保证维修质量</w:t>
            </w:r>
            <w:r>
              <w:rPr>
                <w:rFonts w:hint="eastAsia" w:cs="仿宋_GB2312" w:asciiTheme="minorEastAsia" w:hAnsiTheme="minorEastAsia" w:eastAsiaTheme="minorEastAsia"/>
                <w:sz w:val="24"/>
              </w:rPr>
              <w:t>服务</w:t>
            </w:r>
            <w:r>
              <w:rPr>
                <w:rFonts w:hint="eastAsia" w:cs="仿宋_GB2312" w:asciiTheme="minorEastAsia" w:hAnsiTheme="minorEastAsia" w:eastAsiaTheme="minorEastAsia"/>
                <w:sz w:val="24"/>
                <w:lang w:eastAsia="zh-CN"/>
              </w:rPr>
              <w:t>，如正厂配件停产，用副厂配件应经</w:t>
            </w:r>
            <w:r>
              <w:rPr>
                <w:rFonts w:hint="eastAsia" w:cs="仿宋_GB2312" w:asciiTheme="minorEastAsia" w:hAnsiTheme="minorEastAsia" w:eastAsiaTheme="minorEastAsia"/>
                <w:sz w:val="24"/>
              </w:rPr>
              <w:t>招标单位</w:t>
            </w:r>
            <w:r>
              <w:rPr>
                <w:rFonts w:hint="eastAsia" w:cs="仿宋_GB2312" w:asciiTheme="minorEastAsia" w:hAnsiTheme="minorEastAsia" w:eastAsiaTheme="minorEastAsia"/>
                <w:sz w:val="24"/>
                <w:lang w:eastAsia="zh-CN"/>
              </w:rPr>
              <w:t>同意。</w:t>
            </w:r>
            <w:r>
              <w:rPr>
                <w:rFonts w:hint="eastAsia" w:cs="仿宋_GB2312" w:asciiTheme="minorEastAsia" w:hAnsiTheme="minorEastAsia" w:eastAsiaTheme="minorEastAsia"/>
                <w:sz w:val="24"/>
              </w:rPr>
              <w:t>需提供书面服务承诺并加盖公章</w:t>
            </w:r>
            <w:r>
              <w:rPr>
                <w:rFonts w:hint="eastAsia" w:cs="仿宋_GB2312"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1284" w:type="dxa"/>
            <w:noWrap w:val="0"/>
            <w:vAlign w:val="center"/>
          </w:tcPr>
          <w:p>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0"/>
              </w:numPr>
              <w:rPr>
                <w:rFonts w:hint="eastAsia" w:hAnsi="宋体"/>
                <w:sz w:val="24"/>
                <w:szCs w:val="24"/>
              </w:rPr>
            </w:pPr>
            <w:r>
              <w:rPr>
                <w:rFonts w:hint="eastAsia" w:cs="仿宋_GB2312" w:asciiTheme="minorEastAsia" w:hAnsiTheme="minorEastAsia" w:eastAsiaTheme="minorEastAsia"/>
                <w:sz w:val="24"/>
              </w:rPr>
              <w:t>投标</w:t>
            </w:r>
            <w:r>
              <w:rPr>
                <w:rFonts w:cs="仿宋_GB2312" w:asciiTheme="minorEastAsia" w:hAnsiTheme="minorEastAsia" w:eastAsiaTheme="minorEastAsia"/>
                <w:sz w:val="24"/>
              </w:rPr>
              <w:t>人自20</w:t>
            </w:r>
            <w:r>
              <w:rPr>
                <w:rFonts w:hint="eastAsia" w:cs="仿宋_GB2312" w:asciiTheme="minorEastAsia" w:hAnsiTheme="minorEastAsia" w:eastAsiaTheme="minorEastAsia"/>
                <w:sz w:val="24"/>
              </w:rPr>
              <w:t>21</w:t>
            </w:r>
            <w:r>
              <w:rPr>
                <w:rFonts w:cs="仿宋_GB2312" w:asciiTheme="minorEastAsia" w:hAnsiTheme="minorEastAsia" w:eastAsiaTheme="minorEastAsia"/>
                <w:sz w:val="24"/>
              </w:rPr>
              <w:t>年1月1日起至今（以签订合同日期为准），承担过机关单位或事业单位或国企单位</w:t>
            </w:r>
            <w:r>
              <w:rPr>
                <w:rFonts w:hint="eastAsia" w:cs="仿宋_GB2312" w:asciiTheme="minorEastAsia" w:hAnsiTheme="minorEastAsia" w:eastAsiaTheme="minorEastAsia"/>
                <w:sz w:val="24"/>
                <w:lang w:eastAsia="zh-CN"/>
              </w:rPr>
              <w:t>、其他公司</w:t>
            </w:r>
            <w:r>
              <w:rPr>
                <w:rFonts w:cs="仿宋_GB2312" w:asciiTheme="minorEastAsia" w:hAnsiTheme="minorEastAsia" w:eastAsiaTheme="minorEastAsia"/>
                <w:sz w:val="24"/>
              </w:rPr>
              <w:t>同类项目的业绩</w:t>
            </w:r>
            <w:r>
              <w:rPr>
                <w:rFonts w:hint="eastAsia" w:cs="仿宋_GB2312" w:asciiTheme="minorEastAsia" w:hAnsiTheme="minorEastAsia" w:eastAsiaTheme="minorEastAsia"/>
                <w:sz w:val="24"/>
                <w:lang w:eastAsia="zh-CN"/>
              </w:rPr>
              <w:t>（事业单位与国企业不少于</w:t>
            </w:r>
            <w:r>
              <w:rPr>
                <w:rFonts w:hint="eastAsia" w:cs="仿宋_GB2312" w:asciiTheme="minorEastAsia" w:hAnsiTheme="minorEastAsia" w:eastAsiaTheme="minorEastAsia"/>
                <w:sz w:val="24"/>
                <w:lang w:val="en-US" w:eastAsia="zh-CN"/>
              </w:rPr>
              <w:t>2个项目</w:t>
            </w:r>
            <w:r>
              <w:rPr>
                <w:rFonts w:hint="eastAsia" w:cs="仿宋_GB2312" w:asciiTheme="minorEastAsia" w:hAnsiTheme="minorEastAsia" w:eastAsiaTheme="minorEastAsia"/>
                <w:sz w:val="24"/>
                <w:lang w:eastAsia="zh-CN"/>
              </w:rPr>
              <w:t>）</w:t>
            </w:r>
            <w:r>
              <w:rPr>
                <w:rFonts w:cs="仿宋_GB2312" w:asciiTheme="minorEastAsia" w:hAnsiTheme="minorEastAsia" w:eastAsiaTheme="minorEastAsia"/>
                <w:sz w:val="24"/>
              </w:rPr>
              <w:t>，每提供一个得</w:t>
            </w:r>
            <w:r>
              <w:rPr>
                <w:rFonts w:hint="eastAsia" w:cs="仿宋_GB2312" w:asciiTheme="minorEastAsia" w:hAnsiTheme="minorEastAsia" w:eastAsiaTheme="minorEastAsia"/>
                <w:sz w:val="24"/>
                <w:lang w:val="en-US" w:eastAsia="zh-CN"/>
              </w:rPr>
              <w:t>2</w:t>
            </w:r>
            <w:r>
              <w:rPr>
                <w:rFonts w:cs="仿宋_GB2312" w:asciiTheme="minorEastAsia" w:hAnsiTheme="minorEastAsia" w:eastAsiaTheme="minorEastAsia"/>
                <w:sz w:val="24"/>
              </w:rPr>
              <w:t>分，最多得</w:t>
            </w:r>
            <w:r>
              <w:rPr>
                <w:rFonts w:hint="eastAsia" w:cs="仿宋_GB2312" w:asciiTheme="minorEastAsia" w:hAnsiTheme="minorEastAsia" w:eastAsiaTheme="minorEastAsia"/>
                <w:sz w:val="24"/>
                <w:lang w:val="en-US" w:eastAsia="zh-CN"/>
              </w:rPr>
              <w:t>10</w:t>
            </w:r>
            <w:r>
              <w:rPr>
                <w:rFonts w:cs="仿宋_GB2312" w:asciiTheme="minorEastAsia" w:hAnsiTheme="minorEastAsia" w:eastAsiaTheme="minorEastAsia"/>
                <w:sz w:val="24"/>
              </w:rPr>
              <w:t>分。（提供合同复印件并加盖单位公章）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1284" w:type="dxa"/>
            <w:noWrap w:val="0"/>
            <w:vAlign w:val="center"/>
          </w:tcPr>
          <w:p>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0"/>
              </w:numPr>
              <w:rPr>
                <w:rFonts w:hint="eastAsia" w:hAnsi="宋体"/>
                <w:sz w:val="24"/>
                <w:szCs w:val="24"/>
              </w:rPr>
            </w:pP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rPr>
              <w:t>维修人员资质具有车辆维修技师</w:t>
            </w:r>
            <w:r>
              <w:rPr>
                <w:rFonts w:hint="eastAsia" w:cs="仿宋_GB2312" w:asciiTheme="minorEastAsia" w:hAnsiTheme="minorEastAsia" w:eastAsiaTheme="minorEastAsia"/>
                <w:sz w:val="24"/>
                <w:lang w:eastAsia="zh-CN"/>
              </w:rPr>
              <w:t>以上</w:t>
            </w:r>
            <w:r>
              <w:rPr>
                <w:rFonts w:hint="eastAsia" w:cs="仿宋_GB2312" w:asciiTheme="minorEastAsia" w:hAnsiTheme="minorEastAsia" w:eastAsiaTheme="minorEastAsia"/>
                <w:sz w:val="24"/>
              </w:rPr>
              <w:t>的，每具有一名得2分，最高可得</w:t>
            </w:r>
            <w:r>
              <w:rPr>
                <w:rFonts w:hint="eastAsia" w:cs="仿宋_GB2312" w:asciiTheme="minorEastAsia" w:hAnsiTheme="minorEastAsia" w:eastAsiaTheme="minorEastAsia"/>
                <w:sz w:val="24"/>
                <w:lang w:val="en-US" w:eastAsia="zh-CN"/>
              </w:rPr>
              <w:t>4</w:t>
            </w:r>
            <w:r>
              <w:rPr>
                <w:rFonts w:hint="eastAsia" w:cs="仿宋_GB2312" w:asciiTheme="minorEastAsia" w:hAnsiTheme="minorEastAsia" w:eastAsiaTheme="minorEastAsia"/>
                <w:sz w:val="24"/>
              </w:rPr>
              <w:t>分；</w:t>
            </w: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具有</w:t>
            </w:r>
            <w:r>
              <w:rPr>
                <w:rFonts w:hint="eastAsia" w:cs="仿宋_GB2312" w:asciiTheme="minorEastAsia" w:hAnsiTheme="minorEastAsia" w:eastAsiaTheme="minorEastAsia"/>
                <w:sz w:val="24"/>
                <w:lang w:eastAsia="zh-CN"/>
              </w:rPr>
              <w:t>中级修理工至</w:t>
            </w:r>
            <w:r>
              <w:rPr>
                <w:rFonts w:hint="eastAsia" w:cs="仿宋_GB2312" w:asciiTheme="minorEastAsia" w:hAnsiTheme="minorEastAsia" w:eastAsiaTheme="minorEastAsia"/>
                <w:sz w:val="24"/>
              </w:rPr>
              <w:t>高级修理工的，每具有一名得1分，最高可得</w:t>
            </w: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分。</w:t>
            </w:r>
            <w:r>
              <w:rPr>
                <w:rFonts w:hint="eastAsia" w:cs="仿宋_GB2312" w:asciiTheme="minorEastAsia" w:hAnsiTheme="minorEastAsia" w:eastAsiaTheme="minorEastAsia"/>
                <w:sz w:val="24"/>
                <w:lang w:val="en-US" w:eastAsia="zh-CN"/>
              </w:rPr>
              <w:t>3.</w:t>
            </w:r>
            <w:r>
              <w:rPr>
                <w:rFonts w:hint="eastAsia" w:cs="仿宋_GB2312" w:asciiTheme="minorEastAsia" w:hAnsiTheme="minorEastAsia" w:eastAsiaTheme="minorEastAsia"/>
                <w:sz w:val="24"/>
              </w:rPr>
              <w:t>同一人不累计加分，本项满分</w:t>
            </w:r>
            <w:r>
              <w:rPr>
                <w:rFonts w:hint="eastAsia" w:cs="仿宋_GB2312" w:asciiTheme="minorEastAsia" w:hAnsiTheme="minorEastAsia" w:eastAsiaTheme="minorEastAsia"/>
                <w:sz w:val="24"/>
                <w:lang w:val="en-US" w:eastAsia="zh-CN"/>
              </w:rPr>
              <w:t>10</w:t>
            </w:r>
            <w:r>
              <w:rPr>
                <w:rFonts w:hint="eastAsia" w:cs="仿宋_GB2312" w:asciiTheme="minorEastAsia" w:hAnsiTheme="minorEastAsia" w:eastAsiaTheme="minorEastAsia"/>
                <w:sz w:val="24"/>
              </w:rPr>
              <w:t>分。项目组维修成员必须为</w:t>
            </w:r>
            <w:r>
              <w:rPr>
                <w:rFonts w:hint="eastAsia" w:cs="仿宋_GB2312" w:asciiTheme="minorEastAsia" w:hAnsiTheme="minorEastAsia" w:eastAsiaTheme="minorEastAsia"/>
                <w:sz w:val="24"/>
                <w:lang w:eastAsia="zh-CN"/>
              </w:rPr>
              <w:t>报名</w:t>
            </w:r>
            <w:r>
              <w:rPr>
                <w:rFonts w:hint="eastAsia" w:cs="仿宋_GB2312" w:asciiTheme="minorEastAsia" w:hAnsiTheme="minorEastAsia" w:eastAsiaTheme="minorEastAsia"/>
                <w:sz w:val="24"/>
              </w:rPr>
              <w:t>企业在职</w:t>
            </w:r>
            <w:r>
              <w:rPr>
                <w:rFonts w:hint="eastAsia" w:cs="仿宋_GB2312" w:asciiTheme="minorEastAsia" w:hAnsiTheme="minorEastAsia" w:eastAsiaTheme="minorEastAsia"/>
                <w:sz w:val="24"/>
                <w:lang w:eastAsia="zh-CN"/>
              </w:rPr>
              <w:t>员</w:t>
            </w:r>
            <w:r>
              <w:rPr>
                <w:rFonts w:hint="eastAsia" w:cs="仿宋_GB2312" w:asciiTheme="minorEastAsia" w:hAnsiTheme="minorEastAsia" w:eastAsiaTheme="minorEastAsia"/>
                <w:sz w:val="24"/>
              </w:rPr>
              <w:t>工，须</w:t>
            </w:r>
            <w:r>
              <w:rPr>
                <w:rFonts w:hint="eastAsia" w:cs="仿宋_GB2312" w:asciiTheme="minorEastAsia" w:hAnsiTheme="minorEastAsia" w:eastAsiaTheme="minorEastAsia"/>
                <w:sz w:val="24"/>
                <w:lang w:eastAsia="zh-CN"/>
              </w:rPr>
              <w:t>提供</w:t>
            </w:r>
            <w:r>
              <w:rPr>
                <w:rFonts w:hint="eastAsia" w:cs="仿宋_GB2312" w:asciiTheme="minorEastAsia" w:hAnsiTheme="minorEastAsia" w:eastAsiaTheme="minorEastAsia"/>
                <w:sz w:val="24"/>
              </w:rPr>
              <w:t>维修成员</w:t>
            </w:r>
            <w:r>
              <w:rPr>
                <w:rFonts w:hint="eastAsia" w:cs="仿宋_GB2312" w:asciiTheme="minorEastAsia" w:hAnsiTheme="minorEastAsia" w:eastAsiaTheme="minorEastAsia"/>
                <w:sz w:val="24"/>
                <w:lang w:eastAsia="zh-CN"/>
              </w:rPr>
              <w:t>与报名机构签订用工合同复印件（加盖公章）或</w:t>
            </w:r>
            <w:r>
              <w:rPr>
                <w:rFonts w:hint="default" w:ascii="微软雅黑" w:hAnsi="微软雅黑" w:eastAsia="微软雅黑" w:cs="微软雅黑"/>
                <w:i w:val="0"/>
                <w:iCs w:val="0"/>
                <w:caps w:val="0"/>
                <w:color w:val="666666"/>
                <w:spacing w:val="0"/>
                <w:sz w:val="22"/>
                <w:szCs w:val="22"/>
                <w:shd w:val="clear" w:fill="FFFFFF"/>
                <w:lang w:val="en-US"/>
              </w:rPr>
              <w:t>社保（提供近2个月社保流水</w:t>
            </w:r>
            <w:r>
              <w:rPr>
                <w:rFonts w:hint="eastAsia" w:ascii="微软雅黑" w:hAnsi="微软雅黑" w:eastAsia="微软雅黑" w:cs="微软雅黑"/>
                <w:i w:val="0"/>
                <w:iCs w:val="0"/>
                <w:caps w:val="0"/>
                <w:color w:val="666666"/>
                <w:spacing w:val="0"/>
                <w:sz w:val="22"/>
                <w:szCs w:val="22"/>
                <w:shd w:val="clear" w:fill="FFFFFF"/>
                <w:lang w:val="en-US" w:eastAsia="zh-CN"/>
              </w:rPr>
              <w:t>，</w:t>
            </w:r>
            <w:r>
              <w:rPr>
                <w:rFonts w:hint="eastAsia" w:cs="仿宋_GB2312" w:asciiTheme="minorEastAsia" w:hAnsiTheme="minorEastAsia" w:eastAsiaTheme="minorEastAsia"/>
                <w:sz w:val="24"/>
              </w:rPr>
              <w:t>缴费单位和</w:t>
            </w:r>
            <w:r>
              <w:rPr>
                <w:rFonts w:hint="eastAsia" w:cs="仿宋_GB2312" w:asciiTheme="minorEastAsia" w:hAnsiTheme="minorEastAsia" w:eastAsiaTheme="minorEastAsia"/>
                <w:sz w:val="24"/>
                <w:lang w:eastAsia="zh-CN"/>
              </w:rPr>
              <w:t>报名机构</w:t>
            </w:r>
            <w:r>
              <w:rPr>
                <w:rFonts w:hint="eastAsia" w:cs="仿宋_GB2312" w:asciiTheme="minorEastAsia" w:hAnsiTheme="minorEastAsia" w:eastAsiaTheme="minorEastAsia"/>
                <w:sz w:val="24"/>
              </w:rPr>
              <w:t>名称必须一致，并加盖社保机构缴费证明专用章的原件</w:t>
            </w:r>
            <w:r>
              <w:rPr>
                <w:rFonts w:hint="eastAsia" w:cs="仿宋_GB2312"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443" w:type="dxa"/>
            <w:vMerge w:val="restart"/>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报价</w:t>
            </w:r>
          </w:p>
          <w:p>
            <w:pPr>
              <w:spacing w:line="276" w:lineRule="auto"/>
              <w:jc w:val="center"/>
              <w:rPr>
                <w:rFonts w:hint="eastAsia" w:ascii="宋体" w:hAnsi="宋体" w:eastAsia="宋体" w:cs="宋体"/>
                <w:sz w:val="24"/>
              </w:rPr>
            </w:pPr>
          </w:p>
        </w:tc>
        <w:tc>
          <w:tcPr>
            <w:tcW w:w="1444" w:type="dxa"/>
            <w:gridSpan w:val="2"/>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工时单价</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w:t>
            </w:r>
            <w:r>
              <w:rPr>
                <w:rFonts w:hint="eastAsia" w:hAnsi="宋体" w:cs="宋体"/>
                <w:sz w:val="24"/>
                <w:szCs w:val="24"/>
                <w:lang w:val="en-US" w:eastAsia="zh-CN"/>
              </w:rPr>
              <w:t>20</w:t>
            </w:r>
            <w:r>
              <w:rPr>
                <w:rFonts w:hint="eastAsia" w:ascii="宋体" w:hAnsi="宋体" w:eastAsia="宋体" w:cs="宋体"/>
                <w:sz w:val="24"/>
                <w:szCs w:val="24"/>
              </w:rPr>
              <w:t>*（最高价-报价）/（最高价-最低价）</w:t>
            </w:r>
          </w:p>
          <w:p>
            <w:pPr>
              <w:pStyle w:val="2"/>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②工时费：每小时</w:t>
            </w:r>
            <w:r>
              <w:rPr>
                <w:rFonts w:hint="eastAsia" w:ascii="宋体" w:hAnsi="宋体" w:eastAsia="宋体" w:cs="宋体"/>
                <w:sz w:val="24"/>
                <w:szCs w:val="24"/>
              </w:rPr>
              <w:t>≤</w:t>
            </w:r>
            <w:r>
              <w:rPr>
                <w:rFonts w:hint="eastAsia" w:ascii="宋体" w:hAnsi="宋体" w:eastAsia="宋体" w:cs="宋体"/>
                <w:sz w:val="24"/>
                <w:szCs w:val="24"/>
                <w:lang w:val="en-US" w:eastAsia="zh-CN"/>
              </w:rPr>
              <w:t>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443" w:type="dxa"/>
            <w:vMerge w:val="continue"/>
            <w:noWrap w:val="0"/>
            <w:vAlign w:val="center"/>
          </w:tcPr>
          <w:p>
            <w:pPr>
              <w:spacing w:line="276" w:lineRule="auto"/>
              <w:jc w:val="center"/>
              <w:rPr>
                <w:rFonts w:hint="eastAsia" w:ascii="宋体" w:hAnsi="宋体" w:eastAsia="宋体" w:cs="宋体"/>
                <w:sz w:val="24"/>
              </w:rPr>
            </w:pPr>
          </w:p>
        </w:tc>
        <w:tc>
          <w:tcPr>
            <w:tcW w:w="1444" w:type="dxa"/>
            <w:gridSpan w:val="2"/>
            <w:noWrap w:val="0"/>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配件单价合计价</w:t>
            </w:r>
          </w:p>
          <w:p>
            <w:pPr>
              <w:spacing w:line="276" w:lineRule="auto"/>
              <w:jc w:val="center"/>
              <w:rPr>
                <w:rFonts w:hint="eastAsia" w:ascii="宋体" w:hAnsi="宋体" w:eastAsia="宋体" w:cs="宋体"/>
                <w:sz w:val="24"/>
              </w:rPr>
            </w:pPr>
          </w:p>
        </w:tc>
        <w:tc>
          <w:tcPr>
            <w:tcW w:w="1284" w:type="dxa"/>
            <w:noWrap w:val="0"/>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w:t>
            </w:r>
            <w:r>
              <w:rPr>
                <w:rFonts w:hint="eastAsia" w:hAnsi="宋体" w:cs="宋体"/>
                <w:sz w:val="24"/>
                <w:szCs w:val="24"/>
                <w:lang w:val="en-US" w:eastAsia="zh-CN"/>
              </w:rPr>
              <w:t>2</w:t>
            </w:r>
            <w:r>
              <w:rPr>
                <w:rFonts w:hint="eastAsia" w:ascii="宋体" w:hAnsi="宋体" w:eastAsia="宋体" w:cs="宋体"/>
                <w:sz w:val="24"/>
                <w:szCs w:val="24"/>
              </w:rPr>
              <w:t>0*（最高价-报价）/（最高价-最低价）</w:t>
            </w:r>
          </w:p>
          <w:p>
            <w:pPr>
              <w:pStyle w:val="2"/>
              <w:rPr>
                <w:rFonts w:hint="eastAsia" w:ascii="宋体" w:hAnsi="宋体" w:eastAsia="宋体" w:cs="宋体"/>
                <w:sz w:val="24"/>
                <w:szCs w:val="24"/>
              </w:rPr>
            </w:pPr>
            <w:bookmarkStart w:id="0" w:name="_GoBack"/>
            <w:bookmarkEnd w:id="0"/>
          </w:p>
          <w:p>
            <w:pPr>
              <w:spacing w:line="276"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②</w:t>
            </w:r>
            <w:r>
              <w:rPr>
                <w:rFonts w:hint="eastAsia" w:ascii="宋体" w:hAnsi="宋体" w:eastAsia="宋体" w:cs="宋体"/>
                <w:b w:val="0"/>
                <w:bCs w:val="0"/>
                <w:i w:val="0"/>
                <w:iCs w:val="0"/>
                <w:caps w:val="0"/>
                <w:color w:val="666666"/>
                <w:spacing w:val="0"/>
                <w:sz w:val="24"/>
                <w:szCs w:val="24"/>
                <w:shd w:val="clear" w:fill="FFFFFF"/>
                <w:lang w:val="en-US" w:eastAsia="zh-CN"/>
              </w:rPr>
              <w:t>以江铃顺达轻型自卸货车正厂配件作为报价标准，</w:t>
            </w:r>
            <w:r>
              <w:rPr>
                <w:rFonts w:hint="eastAsia" w:ascii="宋体" w:hAnsi="宋体" w:eastAsia="宋体" w:cs="宋体"/>
                <w:b w:val="0"/>
                <w:bCs w:val="0"/>
                <w:sz w:val="24"/>
                <w:szCs w:val="24"/>
                <w:lang w:val="en-US" w:eastAsia="zh-CN"/>
              </w:rPr>
              <w:t>配件单价合计价</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9650元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443" w:type="dxa"/>
            <w:vMerge w:val="continue"/>
            <w:noWrap w:val="0"/>
            <w:vAlign w:val="center"/>
          </w:tcPr>
          <w:p>
            <w:pPr>
              <w:spacing w:line="276" w:lineRule="auto"/>
              <w:jc w:val="center"/>
              <w:rPr>
                <w:rFonts w:hint="eastAsia" w:ascii="宋体" w:hAnsi="宋体" w:eastAsia="宋体" w:cs="宋体"/>
                <w:sz w:val="24"/>
              </w:rPr>
            </w:pPr>
          </w:p>
        </w:tc>
        <w:tc>
          <w:tcPr>
            <w:tcW w:w="1444" w:type="dxa"/>
            <w:gridSpan w:val="2"/>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szCs w:val="24"/>
                <w:lang w:eastAsia="zh-CN"/>
              </w:rPr>
              <w:t>附加管理费收费比例</w:t>
            </w:r>
          </w:p>
        </w:tc>
        <w:tc>
          <w:tcPr>
            <w:tcW w:w="1284" w:type="dxa"/>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得分=10*（最高价-报价）/（最高价-最低价）</w:t>
            </w:r>
          </w:p>
          <w:p>
            <w:pPr>
              <w:spacing w:line="276" w:lineRule="auto"/>
              <w:rPr>
                <w:rFonts w:hint="eastAsia" w:ascii="宋体" w:hAnsi="宋体" w:eastAsia="宋体" w:cs="宋体"/>
                <w:sz w:val="24"/>
                <w:szCs w:val="24"/>
                <w:lang w:eastAsia="zh-CN"/>
              </w:rPr>
            </w:pP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附加管理费收费比例</w:t>
            </w:r>
            <w:r>
              <w:rPr>
                <w:rFonts w:hint="eastAsia" w:ascii="宋体" w:hAnsi="宋体" w:eastAsia="宋体" w:cs="宋体"/>
                <w:sz w:val="24"/>
                <w:szCs w:val="24"/>
              </w:rPr>
              <w:t>≤</w:t>
            </w:r>
            <w:r>
              <w:rPr>
                <w:rFonts w:hint="eastAsia" w:ascii="宋体" w:hAnsi="宋体" w:eastAsia="宋体" w:cs="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合计</w:t>
            </w:r>
          </w:p>
        </w:tc>
        <w:tc>
          <w:tcPr>
            <w:tcW w:w="1284"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100</w:t>
            </w:r>
          </w:p>
        </w:tc>
        <w:tc>
          <w:tcPr>
            <w:tcW w:w="5389" w:type="dxa"/>
            <w:noWrap w:val="0"/>
            <w:vAlign w:val="center"/>
          </w:tcPr>
          <w:p>
            <w:pPr>
              <w:spacing w:line="276" w:lineRule="auto"/>
              <w:rPr>
                <w:rFonts w:ascii="宋体" w:hAnsi="宋体" w:eastAsia="宋体" w:cs="宋体"/>
                <w:sz w:val="24"/>
                <w:lang w:val="zh-CN"/>
              </w:rPr>
            </w:pPr>
          </w:p>
        </w:tc>
      </w:tr>
    </w:tbl>
    <w:p/>
    <w:sectPr>
      <w:footerReference r:id="rId5" w:type="default"/>
      <w:pgSz w:w="11906" w:h="16838"/>
      <w:pgMar w:top="480" w:right="1800" w:bottom="358"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6E854"/>
    <w:multiLevelType w:val="singleLevel"/>
    <w:tmpl w:val="1F06E8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BkZTEzNDg0MzZlZTllN2Y5YWJiNjU5ZTAyYTQifQ=="/>
  </w:docVars>
  <w:rsids>
    <w:rsidRoot w:val="00000000"/>
    <w:rsid w:val="00B20277"/>
    <w:rsid w:val="0E1774A5"/>
    <w:rsid w:val="0E552DBD"/>
    <w:rsid w:val="21FF31FF"/>
    <w:rsid w:val="28D470F9"/>
    <w:rsid w:val="2904105F"/>
    <w:rsid w:val="31061FE2"/>
    <w:rsid w:val="343C3F54"/>
    <w:rsid w:val="365D1B8A"/>
    <w:rsid w:val="3DE454A4"/>
    <w:rsid w:val="42EE4B11"/>
    <w:rsid w:val="4A725E12"/>
    <w:rsid w:val="4EEA0D24"/>
    <w:rsid w:val="562E2870"/>
    <w:rsid w:val="592F7049"/>
    <w:rsid w:val="6F7D776B"/>
    <w:rsid w:val="71AE1EE5"/>
    <w:rsid w:val="72EB20DB"/>
    <w:rsid w:val="754C6681"/>
    <w:rsid w:val="767604E0"/>
    <w:rsid w:val="77CD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1332</Words>
  <Characters>1384</Characters>
  <Lines>0</Lines>
  <Paragraphs>0</Paragraphs>
  <TotalTime>43</TotalTime>
  <ScaleCrop>false</ScaleCrop>
  <LinksUpToDate>false</LinksUpToDate>
  <CharactersWithSpaces>1389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梁志雄</cp:lastModifiedBy>
  <cp:lastPrinted>2023-09-02T02:18:00Z</cp:lastPrinted>
  <dcterms:modified xsi:type="dcterms:W3CDTF">2024-07-04T08:06:13Z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6FFEAD0B88DA444D8541BC156910B750_12</vt:lpwstr>
  </property>
</Properties>
</file>