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r>
        <w:rPr>
          <w:sz w:val="32"/>
          <w:szCs w:val="32"/>
        </w:rPr>
        <w:t>附件</w:t>
      </w:r>
      <w:r>
        <w:rPr>
          <w:rFonts w:hint="eastAsia"/>
          <w:sz w:val="32"/>
          <w:szCs w:val="32"/>
        </w:rPr>
        <w:t>3</w:t>
      </w:r>
    </w:p>
    <w:p>
      <w:pPr>
        <w:spacing w:line="480" w:lineRule="exact"/>
        <w:jc w:val="center"/>
        <w:outlineLvl w:val="0"/>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黑体" w:hAnsi="黑体" w:eastAsia="黑体"/>
          <w:bCs/>
          <w:sz w:val="44"/>
          <w:szCs w:val="44"/>
        </w:rPr>
        <w:t>江门市市场监督管理局2024-2026年度公务用车定点保险服务项目</w:t>
      </w:r>
      <w:r>
        <w:rPr>
          <w:rFonts w:hint="eastAsia" w:ascii="宋体" w:hAnsi="宋体" w:eastAsia="宋体" w:cs="宋体"/>
          <w:b/>
          <w:color w:val="000000" w:themeColor="text1"/>
          <w:sz w:val="44"/>
          <w:szCs w:val="44"/>
          <w:shd w:val="clear" w:color="auto" w:fill="FFFFFF"/>
          <w14:textFill>
            <w14:solidFill>
              <w14:schemeClr w14:val="tx1"/>
            </w14:solidFill>
          </w14:textFill>
        </w:rPr>
        <w:t>协议（模版）</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outlineLvl w:val="0"/>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bookmarkStart w:id="0" w:name="_GoBack"/>
      <w:bookmarkEnd w:id="0"/>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ascii="仿宋" w:hAnsi="仿宋" w:eastAsia="仿宋" w:cs="仿宋"/>
          <w:color w:val="000000"/>
          <w:sz w:val="28"/>
          <w:szCs w:val="28"/>
          <w:highlight w:val="none"/>
        </w:rPr>
        <w:t xml:space="preserve">  </w:t>
      </w:r>
    </w:p>
    <w:p>
      <w:pPr>
        <w:spacing w:line="480" w:lineRule="exact"/>
        <w:outlineLvl w:val="0"/>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w:t>
      </w:r>
      <w:r>
        <w:rPr>
          <w:rFonts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ascii="仿宋" w:hAnsi="仿宋" w:eastAsia="仿宋" w:cs="仿宋"/>
          <w:color w:val="000000"/>
          <w:sz w:val="28"/>
          <w:szCs w:val="28"/>
          <w:highlight w:val="none"/>
        </w:rPr>
        <w:t xml:space="preserve">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甲、乙双方根据“江门市市场监督管理局2024-2026年度公务用车定点保险服务项目”（</w:t>
      </w:r>
      <w:r>
        <w:rPr>
          <w:rFonts w:hint="eastAsia" w:ascii="仿宋" w:hAnsi="仿宋" w:eastAsia="仿宋" w:cs="仿宋"/>
          <w:sz w:val="28"/>
          <w:szCs w:val="28"/>
          <w:highlight w:val="none"/>
        </w:rPr>
        <w:t>项目编号：</w:t>
      </w:r>
      <w:r>
        <w:rPr>
          <w:rFonts w:ascii="仿宋" w:hAnsi="仿宋" w:eastAsia="仿宋" w:cs="仿宋"/>
          <w:sz w:val="28"/>
          <w:szCs w:val="28"/>
          <w:highlight w:val="none"/>
        </w:rPr>
        <w:t>XXXXXXXXX）</w:t>
      </w:r>
      <w:r>
        <w:rPr>
          <w:rFonts w:hint="eastAsia" w:ascii="仿宋" w:hAnsi="仿宋" w:eastAsia="仿宋" w:cs="仿宋"/>
          <w:sz w:val="28"/>
          <w:szCs w:val="28"/>
        </w:rPr>
        <w:t>（以下简称项目）的采购公告、项目采购结果公告的要求，按照《中华人民共和国民法典》《中华人民共和国政府采购法》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pStyle w:val="16"/>
        <w:widowControl/>
        <w:numPr>
          <w:ilvl w:val="0"/>
          <w:numId w:val="1"/>
        </w:numPr>
        <w:spacing w:line="480" w:lineRule="exact"/>
        <w:jc w:val="left"/>
        <w:outlineLvl w:val="0"/>
        <w:rPr>
          <w:rFonts w:ascii="仿宋" w:hAnsi="仿宋" w:eastAsia="仿宋" w:cs="仿宋"/>
          <w:b/>
          <w:sz w:val="28"/>
          <w:szCs w:val="28"/>
        </w:rPr>
      </w:pPr>
      <w:r>
        <w:rPr>
          <w:rFonts w:hint="eastAsia" w:ascii="仿宋" w:hAnsi="仿宋" w:eastAsia="仿宋" w:cs="仿宋"/>
          <w:b/>
          <w:sz w:val="28"/>
          <w:szCs w:val="28"/>
        </w:rPr>
        <w:t>保险标的及保险险种</w:t>
      </w:r>
    </w:p>
    <w:p>
      <w:pPr>
        <w:pStyle w:val="16"/>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（一）本项目保险标的为甲方单位的公务用机动车车辆，共计16辆（以下简称保险车辆）。</w:t>
      </w:r>
    </w:p>
    <w:p>
      <w:pPr>
        <w:pStyle w:val="16"/>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（二）保险车辆投保险种范围为：车辆损失险、第三者责任险、全车盗抢险、车上人员责任险、共4个基本险种。</w:t>
      </w:r>
    </w:p>
    <w:p>
      <w:pPr>
        <w:pStyle w:val="16"/>
        <w:widowControl/>
        <w:numPr>
          <w:ilvl w:val="0"/>
          <w:numId w:val="1"/>
        </w:numPr>
        <w:spacing w:line="480" w:lineRule="exact"/>
        <w:jc w:val="left"/>
        <w:outlineLvl w:val="0"/>
        <w:rPr>
          <w:rFonts w:ascii="仿宋" w:hAnsi="仿宋" w:eastAsia="仿宋" w:cs="仿宋"/>
          <w:b/>
          <w:sz w:val="28"/>
          <w:szCs w:val="28"/>
        </w:rPr>
      </w:pPr>
      <w:r>
        <w:rPr>
          <w:rFonts w:hint="eastAsia" w:ascii="仿宋" w:hAnsi="仿宋" w:eastAsia="仿宋" w:cs="仿宋"/>
          <w:b/>
          <w:sz w:val="28"/>
          <w:szCs w:val="28"/>
        </w:rPr>
        <w:t>保险责任</w:t>
      </w:r>
    </w:p>
    <w:p>
      <w:pPr>
        <w:pStyle w:val="16"/>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车辆损失险：下列原因造成保险车辆的损失，乙方负责赔偿：</w:t>
      </w:r>
      <w:r>
        <w:rPr>
          <w:rFonts w:hint="eastAsia" w:ascii="仿宋" w:hAnsi="仿宋" w:eastAsia="仿宋" w:cs="仿宋"/>
          <w:sz w:val="28"/>
          <w:szCs w:val="28"/>
        </w:rPr>
        <w:br w:type="textWrapping"/>
      </w:r>
      <w:r>
        <w:rPr>
          <w:rFonts w:hint="eastAsia" w:ascii="仿宋" w:hAnsi="仿宋" w:eastAsia="仿宋" w:cs="仿宋"/>
          <w:sz w:val="28"/>
          <w:szCs w:val="28"/>
        </w:rPr>
        <w:t>　　1.碰撞、倾覆；</w:t>
      </w:r>
      <w:r>
        <w:rPr>
          <w:rFonts w:hint="eastAsia" w:ascii="仿宋" w:hAnsi="仿宋" w:eastAsia="仿宋" w:cs="仿宋"/>
          <w:sz w:val="28"/>
          <w:szCs w:val="28"/>
        </w:rPr>
        <w:br w:type="textWrapping"/>
      </w:r>
      <w:r>
        <w:rPr>
          <w:rFonts w:hint="eastAsia" w:ascii="仿宋" w:hAnsi="仿宋" w:eastAsia="仿宋" w:cs="仿宋"/>
          <w:sz w:val="28"/>
          <w:szCs w:val="28"/>
        </w:rPr>
        <w:t>　　2.火灾、爆炸；</w:t>
      </w:r>
      <w:r>
        <w:rPr>
          <w:rFonts w:hint="eastAsia" w:ascii="仿宋" w:hAnsi="仿宋" w:eastAsia="仿宋" w:cs="仿宋"/>
          <w:sz w:val="28"/>
          <w:szCs w:val="28"/>
        </w:rPr>
        <w:br w:type="textWrapping"/>
      </w:r>
      <w:r>
        <w:rPr>
          <w:rFonts w:hint="eastAsia" w:ascii="仿宋" w:hAnsi="仿宋" w:eastAsia="仿宋" w:cs="仿宋"/>
          <w:sz w:val="28"/>
          <w:szCs w:val="28"/>
        </w:rPr>
        <w:t>　　3.外界物体倒塌、空中运行物体坠落、行驶中平行坠落；</w:t>
      </w:r>
      <w:r>
        <w:rPr>
          <w:rFonts w:hint="eastAsia" w:ascii="仿宋" w:hAnsi="仿宋" w:eastAsia="仿宋" w:cs="仿宋"/>
          <w:sz w:val="28"/>
          <w:szCs w:val="28"/>
        </w:rPr>
        <w:br w:type="textWrapping"/>
      </w:r>
      <w:r>
        <w:rPr>
          <w:rFonts w:hint="eastAsia" w:ascii="仿宋" w:hAnsi="仿宋" w:eastAsia="仿宋" w:cs="仿宋"/>
          <w:sz w:val="28"/>
          <w:szCs w:val="28"/>
        </w:rPr>
        <w:t>　　4.雷击、暴风、龙卷风、暴雨、洪水、海啸、地陷、冰陷、崖崩、雪崩、雹灾、泥石流、滑坡；</w:t>
      </w:r>
      <w:r>
        <w:rPr>
          <w:rFonts w:hint="eastAsia" w:ascii="仿宋" w:hAnsi="仿宋" w:eastAsia="仿宋" w:cs="仿宋"/>
          <w:sz w:val="28"/>
          <w:szCs w:val="28"/>
        </w:rPr>
        <w:br w:type="textWrapping"/>
      </w:r>
      <w:r>
        <w:rPr>
          <w:rFonts w:hint="eastAsia" w:ascii="仿宋" w:hAnsi="仿宋" w:eastAsia="仿宋" w:cs="仿宋"/>
          <w:sz w:val="28"/>
          <w:szCs w:val="28"/>
        </w:rPr>
        <w:t>　　5.载运保险车辆的渡船遭受自然灾害。</w:t>
      </w:r>
      <w:r>
        <w:rPr>
          <w:rFonts w:hint="eastAsia" w:ascii="仿宋" w:hAnsi="仿宋" w:eastAsia="仿宋" w:cs="仿宋"/>
          <w:sz w:val="28"/>
          <w:szCs w:val="28"/>
        </w:rPr>
        <w:br w:type="textWrapping"/>
      </w:r>
      <w:r>
        <w:rPr>
          <w:rFonts w:hint="eastAsia" w:ascii="仿宋" w:hAnsi="仿宋" w:eastAsia="仿宋" w:cs="仿宋"/>
          <w:sz w:val="28"/>
          <w:szCs w:val="28"/>
        </w:rPr>
        <w:t xml:space="preserve">    6.发生保险事故时，甲方对保险车辆采取施救、保护措施所支出的合理费用，乙方负责以保险金额为限进行赔偿。</w:t>
      </w:r>
    </w:p>
    <w:p>
      <w:pPr>
        <w:pStyle w:val="16"/>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第三者责任险：甲方允许的合格驾驶人员在使用保险车辆过程中发生意外事故，致使第三者遭受人身伤亡或财产的直接损毁，依法应当由甲方支付的赔偿金额，乙方在每次事故最高赔偿限额内给予赔偿。</w:t>
      </w:r>
    </w:p>
    <w:p>
      <w:pPr>
        <w:pStyle w:val="16"/>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全车盗抢险：下列原因造成保险车辆的损失，乙方负责赔偿：</w:t>
      </w:r>
      <w:r>
        <w:rPr>
          <w:rFonts w:hint="eastAsia" w:ascii="仿宋" w:hAnsi="仿宋" w:eastAsia="仿宋" w:cs="仿宋"/>
          <w:sz w:val="28"/>
          <w:szCs w:val="28"/>
        </w:rPr>
        <w:br w:type="textWrapping"/>
      </w:r>
      <w:r>
        <w:rPr>
          <w:rFonts w:hint="eastAsia" w:ascii="仿宋" w:hAnsi="仿宋" w:eastAsia="仿宋" w:cs="仿宋"/>
          <w:sz w:val="28"/>
          <w:szCs w:val="28"/>
        </w:rPr>
        <w:t>　　1.保险车辆被盗窃、抢劫、抢夺，经出险当地县级以上公安刑侦部门立案证明，满60天未查明下落的全车损失；</w:t>
      </w:r>
      <w:r>
        <w:rPr>
          <w:rFonts w:hint="eastAsia" w:ascii="仿宋" w:hAnsi="仿宋" w:eastAsia="仿宋" w:cs="仿宋"/>
          <w:sz w:val="28"/>
          <w:szCs w:val="28"/>
        </w:rPr>
        <w:br w:type="textWrapping"/>
      </w:r>
      <w:r>
        <w:rPr>
          <w:rFonts w:hint="eastAsia" w:ascii="仿宋" w:hAnsi="仿宋" w:eastAsia="仿宋" w:cs="仿宋"/>
          <w:sz w:val="28"/>
          <w:szCs w:val="28"/>
        </w:rPr>
        <w:t>　　2.保险车辆全车被盗窃、抢劫、抢夺后，受到损坏或车上零部件、附属设备丢失需要修复的合理费用；</w:t>
      </w:r>
      <w:r>
        <w:rPr>
          <w:rFonts w:hint="eastAsia" w:ascii="仿宋" w:hAnsi="仿宋" w:eastAsia="仿宋" w:cs="仿宋"/>
          <w:sz w:val="28"/>
          <w:szCs w:val="28"/>
        </w:rPr>
        <w:br w:type="textWrapping"/>
      </w:r>
      <w:r>
        <w:rPr>
          <w:rFonts w:hint="eastAsia" w:ascii="仿宋" w:hAnsi="仿宋" w:eastAsia="仿宋" w:cs="仿宋"/>
          <w:sz w:val="28"/>
          <w:szCs w:val="28"/>
        </w:rPr>
        <w:t>　　3.保险车辆在被抢劫、抢夺过程中，受到损坏需要修复的合理费用。</w:t>
      </w:r>
    </w:p>
    <w:p>
      <w:pPr>
        <w:pStyle w:val="16"/>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车上人员责任险：发生意外事故，造成保险车辆上人员的人身伤亡，依法应由甲方承担的经济赔偿责任，乙方负责赔偿。</w:t>
      </w:r>
    </w:p>
    <w:p>
      <w:pPr>
        <w:pStyle w:val="16"/>
        <w:widowControl/>
        <w:numPr>
          <w:ilvl w:val="0"/>
          <w:numId w:val="1"/>
        </w:numPr>
        <w:spacing w:line="480" w:lineRule="exact"/>
        <w:jc w:val="left"/>
        <w:outlineLvl w:val="0"/>
        <w:rPr>
          <w:rFonts w:ascii="仿宋" w:hAnsi="仿宋" w:eastAsia="仿宋" w:cs="仿宋"/>
          <w:b/>
          <w:sz w:val="28"/>
          <w:szCs w:val="28"/>
        </w:rPr>
      </w:pPr>
      <w:r>
        <w:rPr>
          <w:rFonts w:hint="eastAsia" w:ascii="仿宋" w:hAnsi="仿宋" w:eastAsia="仿宋" w:cs="仿宋"/>
          <w:b/>
          <w:sz w:val="28"/>
          <w:szCs w:val="28"/>
        </w:rPr>
        <w:t>保险期间和保险责任开始时间</w:t>
      </w:r>
    </w:p>
    <w:p>
      <w:pPr>
        <w:pStyle w:val="16"/>
        <w:widowControl/>
        <w:spacing w:line="48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保险期限为2年，自2024年XX月XX日起至2026年XX月XX日。</w:t>
      </w:r>
    </w:p>
    <w:p>
      <w:pPr>
        <w:pStyle w:val="16"/>
        <w:widowControl/>
        <w:numPr>
          <w:ilvl w:val="0"/>
          <w:numId w:val="1"/>
        </w:numPr>
        <w:spacing w:line="480" w:lineRule="exact"/>
        <w:jc w:val="left"/>
        <w:outlineLvl w:val="0"/>
        <w:rPr>
          <w:rFonts w:ascii="仿宋" w:hAnsi="仿宋" w:eastAsia="仿宋" w:cs="仿宋"/>
          <w:b/>
          <w:sz w:val="28"/>
          <w:szCs w:val="28"/>
        </w:rPr>
      </w:pPr>
      <w:r>
        <w:rPr>
          <w:rFonts w:hint="eastAsia" w:ascii="仿宋" w:hAnsi="仿宋" w:eastAsia="仿宋" w:cs="仿宋"/>
          <w:b/>
          <w:sz w:val="28"/>
          <w:szCs w:val="28"/>
        </w:rPr>
        <w:t>保险金额（赔偿限额）</w:t>
      </w:r>
    </w:p>
    <w:p>
      <w:pPr>
        <w:pStyle w:val="16"/>
        <w:widowControl/>
        <w:numPr>
          <w:ilvl w:val="0"/>
          <w:numId w:val="3"/>
        </w:num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车辆损失险保险金额按照保险车辆投保时的实际价值确定（但不能超过签订本合同时的市场同一型号新车购置价）。</w:t>
      </w:r>
    </w:p>
    <w:p>
      <w:pPr>
        <w:pStyle w:val="16"/>
        <w:widowControl/>
        <w:numPr>
          <w:ilvl w:val="0"/>
          <w:numId w:val="3"/>
        </w:num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第三者责任险最高赔偿限额：分为10万、15万、20万、30万、50万、100万、150万、200万、300万、400万、500万十一个赔偿档次，甲方按照300</w:t>
      </w:r>
      <w:r>
        <w:rPr>
          <w:rFonts w:hint="eastAsia" w:ascii="仿宋" w:hAnsi="仿宋" w:eastAsia="仿宋" w:cs="仿宋"/>
          <w:bCs/>
          <w:color w:val="FF0000"/>
          <w:sz w:val="28"/>
          <w:szCs w:val="28"/>
        </w:rPr>
        <w:t>万</w:t>
      </w:r>
      <w:r>
        <w:rPr>
          <w:rFonts w:hint="eastAsia" w:ascii="仿宋" w:hAnsi="仿宋" w:eastAsia="仿宋" w:cs="仿宋"/>
          <w:bCs/>
          <w:sz w:val="28"/>
          <w:szCs w:val="28"/>
        </w:rPr>
        <w:t>的赔偿档次进行投保。</w:t>
      </w:r>
    </w:p>
    <w:p>
      <w:pPr>
        <w:pStyle w:val="16"/>
        <w:widowControl/>
        <w:numPr>
          <w:ilvl w:val="0"/>
          <w:numId w:val="3"/>
        </w:num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全车盗抢险保险金额由甲方和乙方根据保险车辆的实际价值协商确定。</w:t>
      </w:r>
    </w:p>
    <w:p>
      <w:pPr>
        <w:pStyle w:val="16"/>
        <w:widowControl/>
        <w:numPr>
          <w:ilvl w:val="0"/>
          <w:numId w:val="3"/>
        </w:num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车上人员责任险的保险金额按照车上人员每人责任限额和投保座位数由甲方和乙方在投保时协商确定。投保座位数以保险车辆的核定载客数为限。</w:t>
      </w:r>
    </w:p>
    <w:p>
      <w:pPr>
        <w:pStyle w:val="16"/>
        <w:widowControl/>
        <w:numPr>
          <w:ilvl w:val="0"/>
          <w:numId w:val="3"/>
        </w:num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玻璃单独破碎险、不计免赔特约险、自燃损失险的保险金额按保险公司经中国保监会备案的保险条款规定执行。</w:t>
      </w:r>
    </w:p>
    <w:p>
      <w:pPr>
        <w:pStyle w:val="16"/>
        <w:widowControl/>
        <w:numPr>
          <w:ilvl w:val="0"/>
          <w:numId w:val="1"/>
        </w:numPr>
        <w:spacing w:line="480" w:lineRule="exact"/>
        <w:jc w:val="left"/>
        <w:outlineLvl w:val="0"/>
        <w:rPr>
          <w:rFonts w:ascii="仿宋" w:hAnsi="仿宋" w:eastAsia="仿宋" w:cs="仿宋"/>
          <w:b/>
          <w:sz w:val="28"/>
          <w:szCs w:val="28"/>
        </w:rPr>
      </w:pPr>
      <w:r>
        <w:rPr>
          <w:rFonts w:hint="eastAsia" w:ascii="仿宋" w:hAnsi="仿宋" w:eastAsia="仿宋" w:cs="仿宋"/>
          <w:b/>
          <w:sz w:val="28"/>
          <w:szCs w:val="28"/>
        </w:rPr>
        <w:t>保险费及支付方式</w:t>
      </w:r>
    </w:p>
    <w:p>
      <w:pPr>
        <w:pStyle w:val="16"/>
        <w:numPr>
          <w:ilvl w:val="0"/>
          <w:numId w:val="4"/>
        </w:numPr>
        <w:tabs>
          <w:tab w:val="left" w:pos="720"/>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甲方实际支付的保险费金额=标准保险费金额×无赔款优待系数（NCD系数）×优惠系数。</w:t>
      </w:r>
      <w:r>
        <w:rPr>
          <w:rFonts w:hint="eastAsia" w:ascii="仿宋" w:hAnsi="仿宋" w:eastAsia="仿宋" w:cs="仿宋"/>
          <w:sz w:val="28"/>
          <w:szCs w:val="28"/>
        </w:rPr>
        <w:br w:type="textWrapping"/>
      </w:r>
      <w:r>
        <w:rPr>
          <w:rFonts w:hint="eastAsia" w:ascii="仿宋" w:hAnsi="仿宋" w:eastAsia="仿宋" w:cs="仿宋"/>
          <w:sz w:val="28"/>
          <w:szCs w:val="28"/>
        </w:rPr>
        <w:t xml:space="preserve">    1.“标准保险费金额”是按照保险公司经中国保监会批复的车险费率、条款为基准计算出来的各险种的保险费的总和。</w:t>
      </w:r>
      <w:r>
        <w:rPr>
          <w:rFonts w:hint="eastAsia" w:ascii="仿宋" w:hAnsi="仿宋" w:eastAsia="仿宋" w:cs="仿宋"/>
          <w:sz w:val="28"/>
          <w:szCs w:val="28"/>
        </w:rPr>
        <w:br w:type="textWrapping"/>
      </w:r>
      <w:r>
        <w:rPr>
          <w:rFonts w:hint="eastAsia" w:ascii="仿宋" w:hAnsi="仿宋" w:eastAsia="仿宋" w:cs="仿宋"/>
          <w:sz w:val="28"/>
          <w:szCs w:val="28"/>
        </w:rPr>
        <w:t xml:space="preserve">    2.无赔款优待系数（以下简称“NCD系数”），是根据客户所投保车辆上一年或上几年的出险情况进行浮动费率的系数，由中保协定期制定并颁布，并通过平台统一查询使用。保险公司严格按照从平台获取的NCD系数值进行费率的浮动，严禁上浮或者下调NCD系数值来调整保费。不同出险情况对应的NCD因子值如下表所示：</w:t>
      </w:r>
    </w:p>
    <w:tbl>
      <w:tblPr>
        <w:tblStyle w:val="12"/>
        <w:tblW w:w="6860" w:type="dxa"/>
        <w:jc w:val="center"/>
        <w:tblLayout w:type="fixed"/>
        <w:tblCellMar>
          <w:top w:w="0" w:type="dxa"/>
          <w:left w:w="0" w:type="dxa"/>
          <w:bottom w:w="0" w:type="dxa"/>
          <w:right w:w="0" w:type="dxa"/>
        </w:tblCellMar>
      </w:tblPr>
      <w:tblGrid>
        <w:gridCol w:w="4012"/>
        <w:gridCol w:w="2848"/>
      </w:tblGrid>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16"/>
              <w:tabs>
                <w:tab w:val="left" w:pos="720"/>
              </w:tabs>
              <w:spacing w:line="480" w:lineRule="exact"/>
              <w:rPr>
                <w:rFonts w:ascii="仿宋" w:hAnsi="仿宋" w:eastAsia="仿宋" w:cs="仿宋"/>
                <w:sz w:val="28"/>
                <w:szCs w:val="28"/>
              </w:rPr>
            </w:pPr>
            <w:r>
              <w:rPr>
                <w:rFonts w:hint="eastAsia" w:ascii="仿宋" w:hAnsi="仿宋" w:eastAsia="仿宋" w:cs="仿宋"/>
                <w:b/>
                <w:bCs/>
                <w:sz w:val="28"/>
                <w:szCs w:val="28"/>
              </w:rPr>
              <w:t>上年出险情况</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16"/>
              <w:tabs>
                <w:tab w:val="left" w:pos="720"/>
              </w:tabs>
              <w:spacing w:line="480" w:lineRule="exact"/>
              <w:rPr>
                <w:rFonts w:ascii="仿宋" w:hAnsi="仿宋" w:eastAsia="仿宋" w:cs="仿宋"/>
                <w:sz w:val="28"/>
                <w:szCs w:val="28"/>
              </w:rPr>
            </w:pPr>
            <w:r>
              <w:rPr>
                <w:rFonts w:hint="eastAsia" w:ascii="仿宋" w:hAnsi="仿宋" w:eastAsia="仿宋" w:cs="仿宋"/>
                <w:b/>
                <w:bCs/>
                <w:sz w:val="28"/>
                <w:szCs w:val="28"/>
              </w:rPr>
              <w:t>NCD系数值</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hint="eastAsia" w:ascii="仿宋" w:hAnsi="仿宋" w:eastAsia="仿宋" w:cs="仿宋"/>
                <w:sz w:val="28"/>
                <w:szCs w:val="28"/>
              </w:rPr>
              <w:t>连续</w:t>
            </w:r>
            <w:r>
              <w:rPr>
                <w:rFonts w:ascii="仿宋" w:hAnsi="仿宋" w:eastAsia="仿宋" w:cs="仿宋"/>
                <w:sz w:val="28"/>
                <w:szCs w:val="28"/>
              </w:rPr>
              <w:t>3</w:t>
            </w:r>
            <w:r>
              <w:rPr>
                <w:rFonts w:hint="eastAsia" w:ascii="仿宋" w:hAnsi="仿宋" w:eastAsia="仿宋" w:cs="仿宋"/>
                <w:sz w:val="28"/>
                <w:szCs w:val="28"/>
              </w:rPr>
              <w:t>年没有发生赔款</w:t>
            </w:r>
            <w:r>
              <w:rPr>
                <w:rFonts w:ascii="仿宋" w:hAnsi="仿宋" w:eastAsia="仿宋" w:cs="仿宋"/>
                <w:sz w:val="28"/>
                <w:szCs w:val="28"/>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ascii="仿宋" w:hAnsi="仿宋" w:eastAsia="仿宋" w:cs="仿宋"/>
                <w:sz w:val="28"/>
                <w:szCs w:val="28"/>
              </w:rPr>
              <w:t xml:space="preserve">0.60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hint="eastAsia" w:ascii="仿宋" w:hAnsi="仿宋" w:eastAsia="仿宋" w:cs="仿宋"/>
                <w:sz w:val="28"/>
                <w:szCs w:val="28"/>
              </w:rPr>
              <w:t>连续</w:t>
            </w:r>
            <w:r>
              <w:rPr>
                <w:rFonts w:ascii="仿宋" w:hAnsi="仿宋" w:eastAsia="仿宋" w:cs="仿宋"/>
                <w:sz w:val="28"/>
                <w:szCs w:val="28"/>
              </w:rPr>
              <w:t>2</w:t>
            </w:r>
            <w:r>
              <w:rPr>
                <w:rFonts w:hint="eastAsia" w:ascii="仿宋" w:hAnsi="仿宋" w:eastAsia="仿宋" w:cs="仿宋"/>
                <w:sz w:val="28"/>
                <w:szCs w:val="28"/>
              </w:rPr>
              <w:t>年没有发生赔款</w:t>
            </w:r>
            <w:r>
              <w:rPr>
                <w:rFonts w:ascii="仿宋" w:hAnsi="仿宋" w:eastAsia="仿宋" w:cs="仿宋"/>
                <w:sz w:val="28"/>
                <w:szCs w:val="28"/>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ascii="仿宋" w:hAnsi="仿宋" w:eastAsia="仿宋" w:cs="仿宋"/>
                <w:sz w:val="28"/>
                <w:szCs w:val="28"/>
              </w:rPr>
              <w:t xml:space="preserve">0.70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hint="eastAsia" w:ascii="仿宋" w:hAnsi="仿宋" w:eastAsia="仿宋" w:cs="仿宋"/>
                <w:sz w:val="28"/>
                <w:szCs w:val="28"/>
              </w:rPr>
              <w:t>上年没有发生赔款</w:t>
            </w:r>
            <w:r>
              <w:rPr>
                <w:rFonts w:ascii="仿宋" w:hAnsi="仿宋" w:eastAsia="仿宋" w:cs="仿宋"/>
                <w:sz w:val="28"/>
                <w:szCs w:val="28"/>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ascii="仿宋" w:hAnsi="仿宋" w:eastAsia="仿宋" w:cs="仿宋"/>
                <w:sz w:val="28"/>
                <w:szCs w:val="28"/>
              </w:rPr>
              <w:t xml:space="preserve">0.85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hint="eastAsia" w:ascii="仿宋" w:hAnsi="仿宋" w:eastAsia="仿宋" w:cs="仿宋"/>
                <w:sz w:val="28"/>
                <w:szCs w:val="28"/>
              </w:rPr>
              <w:t>新保或上年发生</w:t>
            </w:r>
            <w:r>
              <w:rPr>
                <w:rFonts w:ascii="仿宋" w:hAnsi="仿宋" w:eastAsia="仿宋" w:cs="仿宋"/>
                <w:sz w:val="28"/>
                <w:szCs w:val="28"/>
              </w:rPr>
              <w:t>1</w:t>
            </w:r>
            <w:r>
              <w:rPr>
                <w:rFonts w:hint="eastAsia" w:ascii="仿宋" w:hAnsi="仿宋" w:eastAsia="仿宋" w:cs="仿宋"/>
                <w:sz w:val="28"/>
                <w:szCs w:val="28"/>
              </w:rPr>
              <w:t>次赔款</w:t>
            </w:r>
            <w:r>
              <w:rPr>
                <w:rFonts w:ascii="仿宋" w:hAnsi="仿宋" w:eastAsia="仿宋" w:cs="仿宋"/>
                <w:sz w:val="28"/>
                <w:szCs w:val="28"/>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ascii="仿宋" w:hAnsi="仿宋" w:eastAsia="仿宋" w:cs="仿宋"/>
                <w:sz w:val="28"/>
                <w:szCs w:val="28"/>
              </w:rPr>
              <w:t xml:space="preserve">1.00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hint="eastAsia" w:ascii="仿宋" w:hAnsi="仿宋" w:eastAsia="仿宋" w:cs="仿宋"/>
                <w:sz w:val="28"/>
                <w:szCs w:val="28"/>
              </w:rPr>
              <w:t>上年发生</w:t>
            </w:r>
            <w:r>
              <w:rPr>
                <w:rFonts w:ascii="仿宋" w:hAnsi="仿宋" w:eastAsia="仿宋" w:cs="仿宋"/>
                <w:sz w:val="28"/>
                <w:szCs w:val="28"/>
              </w:rPr>
              <w:t>2</w:t>
            </w:r>
            <w:r>
              <w:rPr>
                <w:rFonts w:hint="eastAsia" w:ascii="仿宋" w:hAnsi="仿宋" w:eastAsia="仿宋" w:cs="仿宋"/>
                <w:sz w:val="28"/>
                <w:szCs w:val="28"/>
              </w:rPr>
              <w:t>次赔款</w:t>
            </w:r>
            <w:r>
              <w:rPr>
                <w:rFonts w:ascii="仿宋" w:hAnsi="仿宋" w:eastAsia="仿宋" w:cs="仿宋"/>
                <w:sz w:val="28"/>
                <w:szCs w:val="28"/>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ascii="仿宋" w:hAnsi="仿宋" w:eastAsia="仿宋" w:cs="仿宋"/>
                <w:sz w:val="28"/>
                <w:szCs w:val="28"/>
              </w:rPr>
              <w:t xml:space="preserve">1.25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hint="eastAsia" w:ascii="仿宋" w:hAnsi="仿宋" w:eastAsia="仿宋" w:cs="仿宋"/>
                <w:sz w:val="28"/>
                <w:szCs w:val="28"/>
              </w:rPr>
              <w:t>上年发生</w:t>
            </w:r>
            <w:r>
              <w:rPr>
                <w:rFonts w:ascii="仿宋" w:hAnsi="仿宋" w:eastAsia="仿宋" w:cs="仿宋"/>
                <w:sz w:val="28"/>
                <w:szCs w:val="28"/>
              </w:rPr>
              <w:t>3</w:t>
            </w:r>
            <w:r>
              <w:rPr>
                <w:rFonts w:hint="eastAsia" w:ascii="仿宋" w:hAnsi="仿宋" w:eastAsia="仿宋" w:cs="仿宋"/>
                <w:sz w:val="28"/>
                <w:szCs w:val="28"/>
              </w:rPr>
              <w:t>次赔款</w:t>
            </w:r>
            <w:r>
              <w:rPr>
                <w:rFonts w:ascii="仿宋" w:hAnsi="仿宋" w:eastAsia="仿宋" w:cs="仿宋"/>
                <w:sz w:val="28"/>
                <w:szCs w:val="28"/>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ascii="仿宋" w:hAnsi="仿宋" w:eastAsia="仿宋" w:cs="仿宋"/>
                <w:sz w:val="28"/>
                <w:szCs w:val="28"/>
              </w:rPr>
              <w:t xml:space="preserve">1.50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hint="eastAsia" w:ascii="仿宋" w:hAnsi="仿宋" w:eastAsia="仿宋" w:cs="仿宋"/>
                <w:sz w:val="28"/>
                <w:szCs w:val="28"/>
              </w:rPr>
              <w:t>上年发生</w:t>
            </w:r>
            <w:r>
              <w:rPr>
                <w:rFonts w:ascii="仿宋" w:hAnsi="仿宋" w:eastAsia="仿宋" w:cs="仿宋"/>
                <w:sz w:val="28"/>
                <w:szCs w:val="28"/>
              </w:rPr>
              <w:t>4</w:t>
            </w:r>
            <w:r>
              <w:rPr>
                <w:rFonts w:hint="eastAsia" w:ascii="仿宋" w:hAnsi="仿宋" w:eastAsia="仿宋" w:cs="仿宋"/>
                <w:sz w:val="28"/>
                <w:szCs w:val="28"/>
              </w:rPr>
              <w:t>次赔款</w:t>
            </w:r>
            <w:r>
              <w:rPr>
                <w:rFonts w:ascii="仿宋" w:hAnsi="仿宋" w:eastAsia="仿宋" w:cs="仿宋"/>
                <w:sz w:val="28"/>
                <w:szCs w:val="28"/>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ascii="仿宋" w:hAnsi="仿宋" w:eastAsia="仿宋" w:cs="仿宋"/>
                <w:sz w:val="28"/>
                <w:szCs w:val="28"/>
              </w:rPr>
              <w:t xml:space="preserve">1.75 </w:t>
            </w:r>
          </w:p>
        </w:tc>
      </w:tr>
      <w:tr>
        <w:tblPrEx>
          <w:tblCellMar>
            <w:top w:w="0" w:type="dxa"/>
            <w:left w:w="0" w:type="dxa"/>
            <w:bottom w:w="0" w:type="dxa"/>
            <w:right w:w="0" w:type="dxa"/>
          </w:tblCellMar>
        </w:tblPrEx>
        <w:trPr>
          <w:trHeight w:val="340" w:hRule="atLeast"/>
          <w:jc w:val="center"/>
        </w:trPr>
        <w:tc>
          <w:tcPr>
            <w:tcW w:w="40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tabs>
                <w:tab w:val="left" w:pos="720"/>
              </w:tabs>
              <w:spacing w:line="480" w:lineRule="exact"/>
              <w:rPr>
                <w:rFonts w:ascii="仿宋" w:hAnsi="仿宋" w:eastAsia="仿宋" w:cs="仿宋"/>
                <w:sz w:val="28"/>
                <w:szCs w:val="28"/>
              </w:rPr>
            </w:pPr>
            <w:r>
              <w:rPr>
                <w:rFonts w:hint="eastAsia" w:ascii="仿宋" w:hAnsi="仿宋" w:eastAsia="仿宋" w:cs="仿宋"/>
                <w:sz w:val="28"/>
                <w:szCs w:val="28"/>
              </w:rPr>
              <w:t>上年发生</w:t>
            </w:r>
            <w:r>
              <w:rPr>
                <w:rFonts w:ascii="仿宋" w:hAnsi="仿宋" w:eastAsia="仿宋" w:cs="仿宋"/>
                <w:sz w:val="28"/>
                <w:szCs w:val="28"/>
              </w:rPr>
              <w:t>5</w:t>
            </w:r>
            <w:r>
              <w:rPr>
                <w:rFonts w:hint="eastAsia" w:ascii="仿宋" w:hAnsi="仿宋" w:eastAsia="仿宋" w:cs="仿宋"/>
                <w:sz w:val="28"/>
                <w:szCs w:val="28"/>
              </w:rPr>
              <w:t>次及以上赔款</w:t>
            </w:r>
            <w:r>
              <w:rPr>
                <w:rFonts w:ascii="仿宋" w:hAnsi="仿宋" w:eastAsia="仿宋" w:cs="仿宋"/>
                <w:sz w:val="28"/>
                <w:szCs w:val="28"/>
              </w:rPr>
              <w:t xml:space="preserve"> </w:t>
            </w:r>
          </w:p>
        </w:tc>
        <w:tc>
          <w:tcPr>
            <w:tcW w:w="2848"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tcPr>
          <w:p>
            <w:pPr>
              <w:pStyle w:val="16"/>
              <w:numPr>
                <w:ilvl w:val="0"/>
                <w:numId w:val="5"/>
              </w:numPr>
              <w:tabs>
                <w:tab w:val="left" w:pos="720"/>
              </w:tabs>
              <w:spacing w:line="480" w:lineRule="exact"/>
              <w:rPr>
                <w:rFonts w:ascii="仿宋" w:hAnsi="仿宋" w:eastAsia="仿宋" w:cs="仿宋"/>
                <w:sz w:val="28"/>
                <w:szCs w:val="28"/>
              </w:rPr>
            </w:pPr>
          </w:p>
        </w:tc>
      </w:tr>
    </w:tbl>
    <w:p>
      <w:pPr>
        <w:pStyle w:val="16"/>
        <w:tabs>
          <w:tab w:val="left" w:pos="720"/>
        </w:tabs>
        <w:spacing w:line="480" w:lineRule="exact"/>
        <w:rPr>
          <w:rFonts w:ascii="仿宋" w:hAnsi="仿宋" w:eastAsia="仿宋" w:cs="仿宋"/>
          <w:sz w:val="28"/>
          <w:szCs w:val="28"/>
        </w:rPr>
      </w:pPr>
      <w:r>
        <w:rPr>
          <w:rFonts w:hint="eastAsia" w:ascii="仿宋" w:hAnsi="仿宋" w:eastAsia="仿宋" w:cs="仿宋"/>
          <w:sz w:val="28"/>
          <w:szCs w:val="28"/>
        </w:rPr>
        <w:br w:type="textWrapping"/>
      </w:r>
      <w:r>
        <w:rPr>
          <w:rFonts w:hint="eastAsia" w:ascii="仿宋" w:hAnsi="仿宋" w:eastAsia="仿宋" w:cs="仿宋"/>
          <w:sz w:val="28"/>
          <w:szCs w:val="28"/>
        </w:rPr>
        <w:t xml:space="preserve">    3.“优惠系数”是乙方投标时所承诺的</w:t>
      </w:r>
      <w:r>
        <w:rPr>
          <w:rFonts w:hint="eastAsia" w:ascii="仿宋" w:hAnsi="仿宋" w:eastAsia="仿宋" w:cs="仿宋"/>
          <w:sz w:val="28"/>
          <w:szCs w:val="28"/>
          <w:highlight w:val="yellow"/>
        </w:rPr>
        <w:t>保费优惠系数</w:t>
      </w:r>
      <w:r>
        <w:rPr>
          <w:rFonts w:hint="eastAsia" w:ascii="仿宋" w:hAnsi="仿宋" w:eastAsia="仿宋" w:cs="仿宋"/>
          <w:sz w:val="28"/>
          <w:szCs w:val="28"/>
          <w:highlight w:val="yellow"/>
        </w:rPr>
        <w:t xml:space="preserve">  </w:t>
      </w:r>
      <w:r>
        <w:rPr>
          <w:rFonts w:hint="eastAsia" w:ascii="仿宋" w:hAnsi="仿宋" w:eastAsia="仿宋" w:cs="仿宋"/>
          <w:sz w:val="28"/>
          <w:szCs w:val="28"/>
          <w:highlight w:val="yellow"/>
        </w:rPr>
        <w:t>%</w:t>
      </w:r>
      <w:r>
        <w:rPr>
          <w:rFonts w:hint="eastAsia" w:ascii="仿宋" w:hAnsi="仿宋" w:eastAsia="仿宋" w:cs="仿宋"/>
          <w:sz w:val="28"/>
          <w:szCs w:val="28"/>
        </w:rPr>
        <w:t>。</w:t>
      </w:r>
    </w:p>
    <w:p>
      <w:pPr>
        <w:pStyle w:val="16"/>
        <w:numPr>
          <w:ilvl w:val="0"/>
          <w:numId w:val="4"/>
        </w:numPr>
        <w:tabs>
          <w:tab w:val="left" w:pos="720"/>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保险费结算</w:t>
      </w:r>
      <w:r>
        <w:rPr>
          <w:rFonts w:hint="eastAsia" w:ascii="仿宋" w:hAnsi="仿宋" w:eastAsia="仿宋" w:cs="仿宋"/>
          <w:sz w:val="28"/>
          <w:szCs w:val="28"/>
        </w:rPr>
        <w:br w:type="textWrapping"/>
      </w:r>
      <w:r>
        <w:rPr>
          <w:rFonts w:hint="eastAsia" w:ascii="仿宋" w:hAnsi="仿宋" w:eastAsia="仿宋" w:cs="仿宋"/>
          <w:sz w:val="28"/>
          <w:szCs w:val="28"/>
        </w:rPr>
        <w:t xml:space="preserve">    甲方在收到保险公司出具的投保单并签署盖章后10天内将相应的款项一次性支付给乙方。乙方将在保险费到账之日起5个工作日内，向甲方送达经乙方签字并盖章的《投保单》、《车辆投保清单表》、保单复印件和保险费发票。</w:t>
      </w:r>
    </w:p>
    <w:p>
      <w:pPr>
        <w:numPr>
          <w:ilvl w:val="255"/>
          <w:numId w:val="0"/>
        </w:num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（三）因甲方使用的是财政资</w:t>
      </w:r>
      <w:r>
        <w:rPr>
          <w:rFonts w:hint="eastAsia" w:ascii="仿宋" w:hAnsi="仿宋" w:eastAsia="仿宋" w:cs="仿宋"/>
          <w:bCs/>
          <w:sz w:val="28"/>
          <w:szCs w:val="28"/>
        </w:rPr>
        <w:t>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账号：</w:t>
      </w:r>
    </w:p>
    <w:p>
      <w:pPr>
        <w:pStyle w:val="9"/>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江门市市场监督管理局</w:t>
      </w:r>
    </w:p>
    <w:p>
      <w:pPr>
        <w:pStyle w:val="9"/>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统一信用代码：</w:t>
      </w:r>
      <w:r>
        <w:rPr>
          <w:rFonts w:hint="eastAsia" w:ascii="仿宋" w:hAnsi="仿宋" w:eastAsia="仿宋" w:cs="仿宋"/>
          <w:sz w:val="28"/>
          <w:szCs w:val="28"/>
          <w:u w:val="single"/>
        </w:rPr>
        <w:t>11440700MB2C90725T</w:t>
      </w:r>
    </w:p>
    <w:p>
      <w:pPr>
        <w:pStyle w:val="9"/>
        <w:numPr>
          <w:ilvl w:val="0"/>
          <w:numId w:val="7"/>
        </w:numPr>
        <w:spacing w:line="480" w:lineRule="exact"/>
        <w:ind w:firstLine="562" w:firstLineChars="200"/>
        <w:outlineLvl w:val="0"/>
        <w:rPr>
          <w:rFonts w:ascii="仿宋" w:hAnsi="仿宋" w:eastAsia="仿宋" w:cs="仿宋"/>
          <w:b/>
          <w:bCs/>
          <w:sz w:val="28"/>
          <w:szCs w:val="28"/>
        </w:rPr>
      </w:pPr>
      <w:r>
        <w:rPr>
          <w:rFonts w:hint="eastAsia" w:ascii="仿宋" w:hAnsi="仿宋" w:eastAsia="仿宋" w:cs="仿宋"/>
          <w:b/>
          <w:bCs/>
          <w:sz w:val="28"/>
          <w:szCs w:val="28"/>
        </w:rPr>
        <w:t>违约责任</w:t>
      </w:r>
    </w:p>
    <w:p>
      <w:pPr>
        <w:pStyle w:val="16"/>
        <w:numPr>
          <w:ilvl w:val="0"/>
          <w:numId w:val="8"/>
        </w:numPr>
        <w:tabs>
          <w:tab w:val="left" w:pos="720"/>
        </w:tabs>
        <w:spacing w:line="480" w:lineRule="exact"/>
        <w:outlineLvl w:val="1"/>
        <w:rPr>
          <w:rFonts w:ascii="仿宋" w:hAnsi="仿宋" w:eastAsia="仿宋" w:cs="仿宋"/>
          <w:sz w:val="28"/>
          <w:szCs w:val="28"/>
        </w:rPr>
      </w:pPr>
      <w:r>
        <w:rPr>
          <w:rFonts w:hint="eastAsia" w:ascii="仿宋" w:hAnsi="仿宋" w:eastAsia="仿宋" w:cs="仿宋"/>
          <w:sz w:val="28"/>
          <w:szCs w:val="28"/>
        </w:rPr>
        <w:t>甲方违约责任</w:t>
      </w:r>
    </w:p>
    <w:p>
      <w:pPr>
        <w:pStyle w:val="16"/>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甲方应将公务用车在乙方范围内投保，并按约定支付保险费。</w:t>
      </w:r>
    </w:p>
    <w:p>
      <w:pPr>
        <w:pStyle w:val="16"/>
        <w:numPr>
          <w:ilvl w:val="0"/>
          <w:numId w:val="8"/>
        </w:numPr>
        <w:tabs>
          <w:tab w:val="left" w:pos="720"/>
        </w:tabs>
        <w:spacing w:line="480" w:lineRule="exact"/>
        <w:outlineLvl w:val="1"/>
        <w:rPr>
          <w:rFonts w:ascii="仿宋" w:hAnsi="仿宋" w:eastAsia="仿宋" w:cs="仿宋"/>
          <w:sz w:val="28"/>
          <w:szCs w:val="28"/>
        </w:rPr>
      </w:pPr>
      <w:r>
        <w:rPr>
          <w:rFonts w:hint="eastAsia" w:ascii="仿宋" w:hAnsi="仿宋" w:eastAsia="仿宋" w:cs="仿宋"/>
          <w:sz w:val="28"/>
          <w:szCs w:val="28"/>
        </w:rPr>
        <w:t>乙方违约责任</w:t>
      </w:r>
    </w:p>
    <w:p>
      <w:pPr>
        <w:pStyle w:val="16"/>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及时履行赔偿或者给付保险金的，除支付保险金外，每逾期一日，甲方有权要求乙方按照应支付保险金总额的千分之一向甲方支付违约金直到乙方支付完成之日止。另，乙方还应承担甲方由此造成的损失（包括但不限于律师费、诉讼费、保全费等）。</w:t>
      </w:r>
    </w:p>
    <w:p>
      <w:pPr>
        <w:pStyle w:val="9"/>
        <w:numPr>
          <w:ilvl w:val="0"/>
          <w:numId w:val="7"/>
        </w:numPr>
        <w:spacing w:line="480" w:lineRule="exact"/>
        <w:ind w:firstLine="562" w:firstLineChars="200"/>
        <w:outlineLvl w:val="0"/>
        <w:rPr>
          <w:rFonts w:ascii="仿宋" w:hAnsi="仿宋" w:eastAsia="仿宋" w:cs="仿宋"/>
          <w:b/>
          <w:bCs/>
          <w:sz w:val="28"/>
          <w:szCs w:val="28"/>
        </w:rPr>
      </w:pP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本合同在履行过程中发生的争议，由当事人双方协商解决。协商不成的，合同双方任意一方均可向甲方所在地有管辖权的法院提起诉讼处理。</w:t>
      </w:r>
    </w:p>
    <w:p>
      <w:pPr>
        <w:pStyle w:val="9"/>
        <w:numPr>
          <w:ilvl w:val="0"/>
          <w:numId w:val="7"/>
        </w:numPr>
        <w:spacing w:line="480" w:lineRule="exact"/>
        <w:ind w:firstLine="562" w:firstLineChars="200"/>
        <w:outlineLvl w:val="0"/>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在中国境内、外发生的与本合同执行有关的一切税费均由乙方负担。</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除甲方事先书面同意外，乙方不得部分或全部转让其应履行的合同项下的义务。</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w:t>
      </w:r>
      <w:r>
        <w:rPr>
          <w:rFonts w:ascii="仿宋" w:hAnsi="仿宋" w:eastAsia="仿宋" w:cs="仿宋"/>
          <w:sz w:val="28"/>
          <w:szCs w:val="28"/>
        </w:rPr>
        <w:t>3</w:t>
      </w:r>
      <w:r>
        <w:rPr>
          <w:rFonts w:hint="eastAsia" w:ascii="仿宋" w:hAnsi="仿宋" w:eastAsia="仿宋" w:cs="仿宋"/>
          <w:sz w:val="28"/>
          <w:szCs w:val="28"/>
        </w:rPr>
        <w:t>个工作</w:t>
      </w:r>
      <w:r>
        <w:rPr>
          <w:rFonts w:ascii="仿宋" w:hAnsi="仿宋" w:eastAsia="仿宋" w:cs="仿宋"/>
          <w:sz w:val="28"/>
          <w:szCs w:val="28"/>
        </w:rPr>
        <w:t>日内通知对方，否则，视为未变更。</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壹 </w:t>
      </w:r>
      <w:r>
        <w:rPr>
          <w:rFonts w:hint="eastAsia" w:ascii="仿宋" w:hAnsi="仿宋" w:eastAsia="仿宋" w:cs="仿宋"/>
          <w:sz w:val="28"/>
          <w:szCs w:val="28"/>
        </w:rPr>
        <w:t>份，具有同等法律效力；自甲、乙双方签字盖章之日起生效。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before="156" w:beforeLines="50" w:line="480" w:lineRule="exact"/>
        <w:ind w:firstLine="560" w:firstLineChars="200"/>
        <w:rPr>
          <w:rFonts w:ascii="仿宋" w:hAnsi="仿宋" w:eastAsia="仿宋" w:cs="仿宋"/>
          <w:sz w:val="28"/>
          <w:szCs w:val="28"/>
        </w:rPr>
      </w:pPr>
    </w:p>
    <w:p>
      <w:pPr>
        <w:spacing w:line="480" w:lineRule="exact"/>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outlineLvl w:val="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outlineLvl w:val="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3613"/>
    <w:multiLevelType w:val="singleLevel"/>
    <w:tmpl w:val="8C413613"/>
    <w:lvl w:ilvl="0" w:tentative="0">
      <w:start w:val="1"/>
      <w:numFmt w:val="chineseCounting"/>
      <w:suff w:val="nothing"/>
      <w:lvlText w:val="%1、"/>
      <w:lvlJc w:val="left"/>
      <w:pPr>
        <w:ind w:left="0" w:firstLine="420"/>
      </w:pPr>
      <w:rPr>
        <w:rFonts w:hint="eastAsia"/>
      </w:rPr>
    </w:lvl>
  </w:abstractNum>
  <w:abstractNum w:abstractNumId="1">
    <w:nsid w:val="9662C6BA"/>
    <w:multiLevelType w:val="singleLevel"/>
    <w:tmpl w:val="9662C6BA"/>
    <w:lvl w:ilvl="0" w:tentative="0">
      <w:start w:val="4"/>
      <w:numFmt w:val="chineseCounting"/>
      <w:suff w:val="nothing"/>
      <w:lvlText w:val="%1、"/>
      <w:lvlJc w:val="left"/>
      <w:pPr>
        <w:ind w:left="0" w:firstLine="420"/>
      </w:pPr>
      <w:rPr>
        <w:rFonts w:hint="eastAsia"/>
      </w:rPr>
    </w:lvl>
  </w:abstractNum>
  <w:abstractNum w:abstractNumId="2">
    <w:nsid w:val="9F0DD8FB"/>
    <w:multiLevelType w:val="singleLevel"/>
    <w:tmpl w:val="9F0DD8FB"/>
    <w:lvl w:ilvl="0" w:tentative="0">
      <w:start w:val="1"/>
      <w:numFmt w:val="chineseCounting"/>
      <w:suff w:val="nothing"/>
      <w:lvlText w:val="（%1）"/>
      <w:lvlJc w:val="left"/>
      <w:pPr>
        <w:ind w:left="0" w:firstLine="420"/>
      </w:pPr>
      <w:rPr>
        <w:rFonts w:hint="eastAsia"/>
      </w:rPr>
    </w:lvl>
  </w:abstractNum>
  <w:abstractNum w:abstractNumId="3">
    <w:nsid w:val="AC21A2D9"/>
    <w:multiLevelType w:val="singleLevel"/>
    <w:tmpl w:val="AC21A2D9"/>
    <w:lvl w:ilvl="0" w:tentative="0">
      <w:start w:val="1"/>
      <w:numFmt w:val="chineseCounting"/>
      <w:suff w:val="nothing"/>
      <w:lvlText w:val="（%1）"/>
      <w:lvlJc w:val="left"/>
      <w:pPr>
        <w:ind w:left="0" w:firstLine="420"/>
      </w:pPr>
      <w:rPr>
        <w:rFonts w:hint="eastAsia"/>
      </w:rPr>
    </w:lvl>
  </w:abstractNum>
  <w:abstractNum w:abstractNumId="4">
    <w:nsid w:val="07F32869"/>
    <w:multiLevelType w:val="multilevel"/>
    <w:tmpl w:val="07F32869"/>
    <w:lvl w:ilvl="0" w:tentative="0">
      <w:start w:val="2"/>
      <w:numFmt w:val="decimal"/>
      <w:lvlText w:val="%1.0"/>
      <w:lvlJc w:val="left"/>
      <w:pPr>
        <w:ind w:left="720" w:hanging="720"/>
      </w:pPr>
      <w:rPr>
        <w:rFonts w:hint="default"/>
      </w:rPr>
    </w:lvl>
    <w:lvl w:ilvl="1" w:tentative="0">
      <w:start w:val="1"/>
      <w:numFmt w:val="decimalZero"/>
      <w:lvlText w:val="%1.%2"/>
      <w:lvlJc w:val="left"/>
      <w:pPr>
        <w:ind w:left="1140" w:hanging="720"/>
      </w:pPr>
      <w:rPr>
        <w:rFonts w:hint="default"/>
      </w:rPr>
    </w:lvl>
    <w:lvl w:ilvl="2" w:tentative="0">
      <w:start w:val="1"/>
      <w:numFmt w:val="decimal"/>
      <w:lvlText w:val="%1.%2.%3"/>
      <w:lvlJc w:val="left"/>
      <w:pPr>
        <w:ind w:left="1560" w:hanging="72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3120" w:hanging="1440"/>
      </w:pPr>
      <w:rPr>
        <w:rFonts w:hint="default"/>
      </w:rPr>
    </w:lvl>
    <w:lvl w:ilvl="5" w:tentative="0">
      <w:start w:val="1"/>
      <w:numFmt w:val="decimal"/>
      <w:lvlText w:val="%1.%2.%3.%4.%5.%6"/>
      <w:lvlJc w:val="left"/>
      <w:pPr>
        <w:ind w:left="3900" w:hanging="1800"/>
      </w:pPr>
      <w:rPr>
        <w:rFonts w:hint="default"/>
      </w:rPr>
    </w:lvl>
    <w:lvl w:ilvl="6" w:tentative="0">
      <w:start w:val="1"/>
      <w:numFmt w:val="decimal"/>
      <w:lvlText w:val="%1.%2.%3.%4.%5.%6.%7"/>
      <w:lvlJc w:val="left"/>
      <w:pPr>
        <w:ind w:left="4680" w:hanging="2160"/>
      </w:pPr>
      <w:rPr>
        <w:rFonts w:hint="default"/>
      </w:rPr>
    </w:lvl>
    <w:lvl w:ilvl="7" w:tentative="0">
      <w:start w:val="1"/>
      <w:numFmt w:val="decimal"/>
      <w:lvlText w:val="%1.%2.%3.%4.%5.%6.%7.%8"/>
      <w:lvlJc w:val="left"/>
      <w:pPr>
        <w:ind w:left="5100" w:hanging="2160"/>
      </w:pPr>
      <w:rPr>
        <w:rFonts w:hint="default"/>
      </w:rPr>
    </w:lvl>
    <w:lvl w:ilvl="8" w:tentative="0">
      <w:start w:val="1"/>
      <w:numFmt w:val="decimal"/>
      <w:lvlText w:val="%1.%2.%3.%4.%5.%6.%7.%8.%9"/>
      <w:lvlJc w:val="left"/>
      <w:pPr>
        <w:ind w:left="5880" w:hanging="2520"/>
      </w:pPr>
      <w:rPr>
        <w:rFonts w:hint="default"/>
      </w:rPr>
    </w:lvl>
  </w:abstractNum>
  <w:abstractNum w:abstractNumId="5">
    <w:nsid w:val="3BF4EAF1"/>
    <w:multiLevelType w:val="singleLevel"/>
    <w:tmpl w:val="3BF4EAF1"/>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5454CD1F"/>
    <w:multiLevelType w:val="singleLevel"/>
    <w:tmpl w:val="5454CD1F"/>
    <w:lvl w:ilvl="0" w:tentative="0">
      <w:start w:val="1"/>
      <w:numFmt w:val="chineseCounting"/>
      <w:suff w:val="nothing"/>
      <w:lvlText w:val="（%1）"/>
      <w:lvlJc w:val="left"/>
      <w:rPr>
        <w:rFonts w:hint="eastAsia"/>
      </w:rPr>
    </w:lvl>
  </w:abstractNum>
  <w:abstractNum w:abstractNumId="8">
    <w:nsid w:val="70CF1F5B"/>
    <w:multiLevelType w:val="singleLevel"/>
    <w:tmpl w:val="70CF1F5B"/>
    <w:lvl w:ilvl="0" w:tentative="0">
      <w:start w:val="4"/>
      <w:numFmt w:val="chineseCounting"/>
      <w:suff w:val="nothing"/>
      <w:lvlText w:val="（%1）"/>
      <w:lvlJc w:val="left"/>
      <w:pPr>
        <w:ind w:left="0" w:firstLine="420"/>
      </w:pPr>
      <w:rPr>
        <w:rFonts w:hint="eastAsia"/>
      </w:rPr>
    </w:lvl>
  </w:abstractNum>
  <w:num w:numId="1">
    <w:abstractNumId w:val="0"/>
  </w:num>
  <w:num w:numId="2">
    <w:abstractNumId w:val="2"/>
  </w:num>
  <w:num w:numId="3">
    <w:abstractNumId w:val="7"/>
  </w:num>
  <w:num w:numId="4">
    <w:abstractNumId w:val="5"/>
  </w:num>
  <w:num w:numId="5">
    <w:abstractNumId w:val="4"/>
  </w:num>
  <w:num w:numId="6">
    <w:abstractNumId w:val="8"/>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F477F"/>
    <w:rsid w:val="00201EA2"/>
    <w:rsid w:val="002E62B1"/>
    <w:rsid w:val="003D2A44"/>
    <w:rsid w:val="005B7C59"/>
    <w:rsid w:val="005C6DB0"/>
    <w:rsid w:val="005E30C4"/>
    <w:rsid w:val="007A09C9"/>
    <w:rsid w:val="00966675"/>
    <w:rsid w:val="00A96DAB"/>
    <w:rsid w:val="00AE5953"/>
    <w:rsid w:val="00BC6086"/>
    <w:rsid w:val="00F83EB1"/>
    <w:rsid w:val="09D77ACF"/>
    <w:rsid w:val="09DE0A66"/>
    <w:rsid w:val="0BEA35C3"/>
    <w:rsid w:val="0DDF3CA5"/>
    <w:rsid w:val="0FB72321"/>
    <w:rsid w:val="10FC4243"/>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F02A9"/>
    <w:rsid w:val="3FA76621"/>
    <w:rsid w:val="3FE44352"/>
    <w:rsid w:val="3FFF4EA5"/>
    <w:rsid w:val="404A6C17"/>
    <w:rsid w:val="43F43818"/>
    <w:rsid w:val="47C7B3FB"/>
    <w:rsid w:val="4B562BFB"/>
    <w:rsid w:val="4CE65427"/>
    <w:rsid w:val="4D261BEA"/>
    <w:rsid w:val="4DD70C4E"/>
    <w:rsid w:val="4FFD6049"/>
    <w:rsid w:val="53BB212A"/>
    <w:rsid w:val="5789094D"/>
    <w:rsid w:val="59BFD042"/>
    <w:rsid w:val="5B9FBB9B"/>
    <w:rsid w:val="5BB2671C"/>
    <w:rsid w:val="5EBFB560"/>
    <w:rsid w:val="67CAD1C3"/>
    <w:rsid w:val="68DF509E"/>
    <w:rsid w:val="690D3BC4"/>
    <w:rsid w:val="693B3F28"/>
    <w:rsid w:val="69D70746"/>
    <w:rsid w:val="6B7E7578"/>
    <w:rsid w:val="6C7B1287"/>
    <w:rsid w:val="6F5F4F93"/>
    <w:rsid w:val="6FF703B5"/>
    <w:rsid w:val="71FF92FA"/>
    <w:rsid w:val="72AF67A9"/>
    <w:rsid w:val="736A24FA"/>
    <w:rsid w:val="76A81E4D"/>
    <w:rsid w:val="78FAE21D"/>
    <w:rsid w:val="79276609"/>
    <w:rsid w:val="7ABAD380"/>
    <w:rsid w:val="7B7E5AD3"/>
    <w:rsid w:val="7BFD5241"/>
    <w:rsid w:val="7EFEE140"/>
    <w:rsid w:val="7F7A05EB"/>
    <w:rsid w:val="7FDA17F3"/>
    <w:rsid w:val="7FFBB4BF"/>
    <w:rsid w:val="7FFDC820"/>
    <w:rsid w:val="7FFFC161"/>
    <w:rsid w:val="855F9B6D"/>
    <w:rsid w:val="95F7C4D6"/>
    <w:rsid w:val="9B5E5AB4"/>
    <w:rsid w:val="AFBD408F"/>
    <w:rsid w:val="B57DD0A3"/>
    <w:rsid w:val="BF3119E2"/>
    <w:rsid w:val="CFFF0E90"/>
    <w:rsid w:val="D0FF76BD"/>
    <w:rsid w:val="D3FB82B1"/>
    <w:rsid w:val="E6F576C6"/>
    <w:rsid w:val="EDFFF93D"/>
    <w:rsid w:val="EEBEA368"/>
    <w:rsid w:val="F137789C"/>
    <w:rsid w:val="F69E4C3F"/>
    <w:rsid w:val="F73F04C6"/>
    <w:rsid w:val="FBFF8709"/>
    <w:rsid w:val="FFB7755C"/>
    <w:rsid w:val="FFEF0FA7"/>
    <w:rsid w:val="FFF696D6"/>
    <w:rsid w:val="FFF8A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3"/>
    <w:basedOn w:val="1"/>
    <w:next w:val="1"/>
    <w:qFormat/>
    <w:uiPriority w:val="9"/>
    <w:pPr>
      <w:keepNext/>
      <w:keepLines/>
      <w:spacing w:before="260" w:after="260" w:line="416" w:lineRule="auto"/>
      <w:outlineLvl w:val="2"/>
    </w:pPr>
    <w:rPr>
      <w:rFonts w:ascii="楷体" w:hAnsi="楷体" w:eastAsia="楷体_GB2312"/>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Title"/>
    <w:basedOn w:val="1"/>
    <w:next w:val="1"/>
    <w:qFormat/>
    <w:uiPriority w:val="10"/>
    <w:pPr>
      <w:spacing w:before="240" w:after="60"/>
      <w:jc w:val="center"/>
      <w:outlineLvl w:val="0"/>
    </w:pPr>
    <w:rPr>
      <w:rFonts w:ascii="Cambria" w:hAnsi="Cambria" w:eastAsia="宋体"/>
      <w:b/>
      <w:bCs/>
      <w:sz w:val="32"/>
      <w:szCs w:val="32"/>
    </w:rPr>
  </w:style>
  <w:style w:type="paragraph" w:styleId="11">
    <w:name w:val="Body Text First Indent 2"/>
    <w:basedOn w:val="5"/>
    <w:qFormat/>
    <w:uiPriority w:val="0"/>
    <w:pPr>
      <w:ind w:firstLine="420" w:firstLineChars="200"/>
    </w:pPr>
    <w:rPr>
      <w:rFonts w:ascii="宋体" w:hAnsi="MS Sans Serif"/>
      <w:spacing w:val="12"/>
    </w:rPr>
  </w:style>
  <w:style w:type="character" w:customStyle="1" w:styleId="14">
    <w:name w:val="批注框文本 Char"/>
    <w:basedOn w:val="13"/>
    <w:link w:val="6"/>
    <w:qFormat/>
    <w:uiPriority w:val="0"/>
    <w:rPr>
      <w:rFonts w:eastAsia="仿宋_GB2312"/>
      <w:kern w:val="2"/>
      <w:sz w:val="18"/>
      <w:szCs w:val="18"/>
    </w:rPr>
  </w:style>
  <w:style w:type="paragraph" w:customStyle="1" w:styleId="15">
    <w:name w:val="普通(网站)1"/>
    <w:basedOn w:val="1"/>
    <w:qFormat/>
    <w:uiPriority w:val="0"/>
    <w:pPr>
      <w:jc w:val="left"/>
    </w:pPr>
    <w:rPr>
      <w:rFonts w:ascii="Calibri" w:hAnsi="Calibri" w:cs="黑体"/>
      <w:kern w:val="0"/>
      <w:sz w:val="24"/>
      <w:szCs w:val="24"/>
    </w:rPr>
  </w:style>
  <w:style w:type="paragraph" w:customStyle="1" w:styleId="16">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Pages>
  <Words>1225</Words>
  <Characters>6986</Characters>
  <Lines>58</Lines>
  <Paragraphs>16</Paragraphs>
  <TotalTime>1</TotalTime>
  <ScaleCrop>false</ScaleCrop>
  <LinksUpToDate>false</LinksUpToDate>
  <CharactersWithSpaces>8195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2024-07-05T10:05:00Z</dcterms:created>
  <dc:creator>Administrator</dc:creator>
  <cp:lastModifiedBy>采联</cp:lastModifiedBy>
  <dcterms:modified xsi:type="dcterms:W3CDTF">2024-07-09T15:00:42Z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