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6AA" w:rsidRPr="0069187B" w:rsidRDefault="00B76825">
      <w:pPr>
        <w:spacing w:line="580" w:lineRule="exact"/>
        <w:ind w:leftChars="-400" w:left="-2" w:hangingChars="262" w:hanging="838"/>
        <w:jc w:val="left"/>
        <w:rPr>
          <w:rFonts w:ascii="Times New Roman" w:eastAsia="方正大标宋_GBK" w:hAnsi="Times New Roman" w:cs="Times New Roman"/>
          <w:sz w:val="40"/>
          <w:szCs w:val="40"/>
        </w:rPr>
      </w:pPr>
      <w:r w:rsidRPr="0069187B">
        <w:rPr>
          <w:rFonts w:ascii="Times New Roman" w:eastAsia="方正黑体_GBK" w:hAnsi="Times New Roman" w:cs="Times New Roman"/>
          <w:sz w:val="32"/>
          <w:szCs w:val="32"/>
        </w:rPr>
        <w:t>附件</w:t>
      </w:r>
      <w:r w:rsidR="00E7160C">
        <w:rPr>
          <w:rFonts w:ascii="Times New Roman" w:eastAsia="方正仿宋_GBK" w:hAnsi="Times New Roman" w:cs="Times New Roman" w:hint="eastAsia"/>
          <w:sz w:val="32"/>
          <w:szCs w:val="32"/>
        </w:rPr>
        <w:t>3</w:t>
      </w:r>
      <w:bookmarkStart w:id="0" w:name="_GoBack"/>
      <w:bookmarkEnd w:id="0"/>
      <w:r w:rsidRPr="0069187B">
        <w:rPr>
          <w:rFonts w:ascii="Times New Roman" w:eastAsia="方正仿宋_GBK" w:hAnsi="Times New Roman" w:cs="Times New Roman"/>
          <w:b/>
          <w:bCs/>
          <w:sz w:val="44"/>
          <w:szCs w:val="44"/>
        </w:rPr>
        <w:t xml:space="preserve"> </w:t>
      </w:r>
    </w:p>
    <w:p w:rsidR="002476AA" w:rsidRPr="0069187B" w:rsidRDefault="00B76825" w:rsidP="002B7203">
      <w:pPr>
        <w:spacing w:line="580" w:lineRule="exact"/>
        <w:ind w:leftChars="-200" w:left="-2" w:rightChars="-147" w:right="-309" w:hangingChars="116" w:hanging="418"/>
        <w:jc w:val="center"/>
        <w:rPr>
          <w:rFonts w:ascii="Times New Roman" w:eastAsia="方正大标宋_GBK" w:hAnsi="Times New Roman" w:cs="Times New Roman"/>
          <w:kern w:val="0"/>
          <w:sz w:val="36"/>
          <w:szCs w:val="36"/>
        </w:rPr>
      </w:pPr>
      <w:r w:rsidRPr="0069187B">
        <w:rPr>
          <w:rFonts w:ascii="Times New Roman" w:eastAsia="方正大标宋_GBK" w:hAnsi="Times New Roman" w:cs="Times New Roman"/>
          <w:kern w:val="0"/>
          <w:sz w:val="36"/>
          <w:szCs w:val="36"/>
        </w:rPr>
        <w:t>2024</w:t>
      </w:r>
      <w:r w:rsidRPr="0069187B">
        <w:rPr>
          <w:rFonts w:ascii="Times New Roman" w:eastAsia="方正大标宋_GBK" w:hAnsi="Times New Roman" w:cs="Times New Roman"/>
          <w:kern w:val="0"/>
          <w:sz w:val="36"/>
          <w:szCs w:val="36"/>
        </w:rPr>
        <w:t>年度江门市第一批市扶持科技发展资金项目明细表</w:t>
      </w:r>
      <w:r w:rsidRPr="0069187B">
        <w:rPr>
          <w:rFonts w:ascii="Times New Roman" w:eastAsia="方正大标宋_GBK" w:hAnsi="Times New Roman" w:cs="Times New Roman"/>
          <w:kern w:val="0"/>
          <w:sz w:val="36"/>
          <w:szCs w:val="36"/>
        </w:rPr>
        <w:t>3</w:t>
      </w:r>
    </w:p>
    <w:p w:rsidR="002476AA" w:rsidRPr="0069187B" w:rsidRDefault="00B76825">
      <w:pPr>
        <w:spacing w:line="580" w:lineRule="exact"/>
        <w:jc w:val="center"/>
        <w:rPr>
          <w:rFonts w:ascii="Times New Roman" w:eastAsia="宋体" w:hAnsi="Times New Roman" w:cs="Times New Roman"/>
          <w:szCs w:val="21"/>
        </w:rPr>
      </w:pPr>
      <w:r w:rsidRPr="0069187B">
        <w:rPr>
          <w:rFonts w:ascii="Times New Roman" w:eastAsia="方正大标宋_GBK" w:hAnsi="Times New Roman" w:cs="Times New Roman"/>
          <w:kern w:val="0"/>
          <w:sz w:val="36"/>
          <w:szCs w:val="36"/>
        </w:rPr>
        <w:t>（</w:t>
      </w:r>
      <w:r w:rsidRPr="0069187B">
        <w:rPr>
          <w:rFonts w:ascii="Times New Roman" w:eastAsia="方正大标宋_GBK" w:hAnsi="Times New Roman" w:cs="Times New Roman"/>
          <w:kern w:val="0"/>
          <w:sz w:val="36"/>
          <w:szCs w:val="36"/>
        </w:rPr>
        <w:t>2023</w:t>
      </w:r>
      <w:r w:rsidRPr="0069187B">
        <w:rPr>
          <w:rFonts w:ascii="Times New Roman" w:eastAsia="方正大标宋_GBK" w:hAnsi="Times New Roman" w:cs="Times New Roman"/>
          <w:kern w:val="0"/>
          <w:sz w:val="36"/>
          <w:szCs w:val="36"/>
        </w:rPr>
        <w:t>年度江门市基础与应用基础研究重点项目）</w:t>
      </w:r>
    </w:p>
    <w:tbl>
      <w:tblPr>
        <w:tblW w:w="10413" w:type="dxa"/>
        <w:jc w:val="center"/>
        <w:tblInd w:w="1466" w:type="dxa"/>
        <w:tblLayout w:type="fixed"/>
        <w:tblCellMar>
          <w:left w:w="0" w:type="dxa"/>
          <w:right w:w="0" w:type="dxa"/>
        </w:tblCellMar>
        <w:tblLook w:val="04A0" w:firstRow="1" w:lastRow="0" w:firstColumn="1" w:lastColumn="0" w:noHBand="0" w:noVBand="1"/>
      </w:tblPr>
      <w:tblGrid>
        <w:gridCol w:w="595"/>
        <w:gridCol w:w="3275"/>
        <w:gridCol w:w="2733"/>
        <w:gridCol w:w="930"/>
        <w:gridCol w:w="920"/>
        <w:gridCol w:w="1020"/>
        <w:gridCol w:w="940"/>
      </w:tblGrid>
      <w:tr w:rsidR="002476AA" w:rsidRPr="0069187B">
        <w:trPr>
          <w:trHeight w:val="315"/>
          <w:tblHeader/>
          <w:jc w:val="center"/>
        </w:trPr>
        <w:tc>
          <w:tcPr>
            <w:tcW w:w="595" w:type="dxa"/>
            <w:vMerge w:val="restart"/>
            <w:tcBorders>
              <w:top w:val="doub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280" w:lineRule="exact"/>
              <w:jc w:val="center"/>
              <w:textAlignment w:val="center"/>
              <w:rPr>
                <w:rFonts w:ascii="Times New Roman" w:eastAsia="方正黑体_GBK" w:hAnsi="Times New Roman" w:cs="Times New Roman"/>
                <w:color w:val="000000"/>
                <w:sz w:val="24"/>
                <w:szCs w:val="24"/>
              </w:rPr>
            </w:pPr>
            <w:r w:rsidRPr="0069187B">
              <w:rPr>
                <w:rFonts w:ascii="Times New Roman" w:eastAsia="方正黑体_GBK" w:hAnsi="Times New Roman" w:cs="Times New Roman"/>
                <w:color w:val="000000"/>
                <w:kern w:val="0"/>
                <w:sz w:val="24"/>
                <w:szCs w:val="24"/>
                <w:lang w:bidi="ar"/>
              </w:rPr>
              <w:t>序号</w:t>
            </w:r>
          </w:p>
        </w:tc>
        <w:tc>
          <w:tcPr>
            <w:tcW w:w="3275" w:type="dxa"/>
            <w:vMerge w:val="restart"/>
            <w:tcBorders>
              <w:top w:val="doub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280" w:lineRule="exact"/>
              <w:jc w:val="center"/>
              <w:textAlignment w:val="center"/>
              <w:rPr>
                <w:rFonts w:ascii="Times New Roman" w:eastAsia="方正黑体_GBK" w:hAnsi="Times New Roman" w:cs="Times New Roman"/>
                <w:color w:val="000000"/>
                <w:sz w:val="24"/>
                <w:szCs w:val="24"/>
              </w:rPr>
            </w:pPr>
            <w:r w:rsidRPr="0069187B">
              <w:rPr>
                <w:rFonts w:ascii="Times New Roman" w:eastAsia="方正黑体_GBK" w:hAnsi="Times New Roman" w:cs="Times New Roman"/>
                <w:color w:val="000000"/>
                <w:kern w:val="0"/>
                <w:sz w:val="24"/>
                <w:szCs w:val="24"/>
                <w:lang w:bidi="ar"/>
              </w:rPr>
              <w:t>项目名称</w:t>
            </w:r>
          </w:p>
        </w:tc>
        <w:tc>
          <w:tcPr>
            <w:tcW w:w="2733" w:type="dxa"/>
            <w:vMerge w:val="restart"/>
            <w:tcBorders>
              <w:top w:val="doub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280" w:lineRule="exact"/>
              <w:jc w:val="center"/>
              <w:textAlignment w:val="center"/>
              <w:rPr>
                <w:rFonts w:ascii="Times New Roman" w:eastAsia="方正黑体_GBK" w:hAnsi="Times New Roman" w:cs="Times New Roman"/>
                <w:color w:val="000000"/>
                <w:sz w:val="24"/>
                <w:szCs w:val="24"/>
              </w:rPr>
            </w:pPr>
            <w:r w:rsidRPr="0069187B">
              <w:rPr>
                <w:rFonts w:ascii="Times New Roman" w:eastAsia="方正黑体_GBK" w:hAnsi="Times New Roman" w:cs="Times New Roman"/>
                <w:color w:val="000000"/>
                <w:kern w:val="0"/>
                <w:sz w:val="24"/>
                <w:szCs w:val="24"/>
                <w:lang w:bidi="ar"/>
              </w:rPr>
              <w:t>单位名称</w:t>
            </w:r>
          </w:p>
        </w:tc>
        <w:tc>
          <w:tcPr>
            <w:tcW w:w="2870" w:type="dxa"/>
            <w:gridSpan w:val="3"/>
            <w:tcBorders>
              <w:top w:val="doub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280" w:lineRule="exact"/>
              <w:jc w:val="center"/>
              <w:textAlignment w:val="center"/>
              <w:rPr>
                <w:rFonts w:ascii="Times New Roman" w:eastAsia="方正黑体_GBK" w:hAnsi="Times New Roman" w:cs="Times New Roman"/>
                <w:color w:val="000000"/>
                <w:sz w:val="24"/>
                <w:szCs w:val="24"/>
              </w:rPr>
            </w:pPr>
            <w:r w:rsidRPr="0069187B">
              <w:rPr>
                <w:rFonts w:ascii="Times New Roman" w:eastAsia="方正黑体_GBK" w:hAnsi="Times New Roman" w:cs="Times New Roman"/>
                <w:color w:val="000000"/>
                <w:kern w:val="0"/>
                <w:sz w:val="24"/>
                <w:szCs w:val="24"/>
                <w:lang w:bidi="ar"/>
              </w:rPr>
              <w:t>补助资金安排情况</w:t>
            </w:r>
            <w:r w:rsidRPr="0069187B">
              <w:rPr>
                <w:rFonts w:ascii="Times New Roman" w:eastAsia="方正黑体_GBK" w:hAnsi="Times New Roman" w:cs="Times New Roman"/>
                <w:color w:val="000000"/>
                <w:spacing w:val="-17"/>
                <w:kern w:val="0"/>
                <w:sz w:val="24"/>
                <w:szCs w:val="24"/>
                <w:lang w:bidi="ar"/>
              </w:rPr>
              <w:t>（万元）</w:t>
            </w:r>
          </w:p>
        </w:tc>
        <w:tc>
          <w:tcPr>
            <w:tcW w:w="940" w:type="dxa"/>
            <w:vMerge w:val="restart"/>
            <w:tcBorders>
              <w:top w:val="doub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280" w:lineRule="exact"/>
              <w:jc w:val="center"/>
              <w:textAlignment w:val="center"/>
              <w:rPr>
                <w:rFonts w:ascii="Times New Roman" w:eastAsia="方正黑体_GBK" w:hAnsi="Times New Roman" w:cs="Times New Roman"/>
                <w:color w:val="000000"/>
                <w:sz w:val="24"/>
                <w:szCs w:val="24"/>
              </w:rPr>
            </w:pPr>
            <w:r w:rsidRPr="0069187B">
              <w:rPr>
                <w:rFonts w:ascii="Times New Roman" w:eastAsia="方正黑体_GBK" w:hAnsi="Times New Roman" w:cs="Times New Roman"/>
                <w:color w:val="000000"/>
                <w:kern w:val="0"/>
                <w:sz w:val="24"/>
                <w:szCs w:val="24"/>
                <w:lang w:bidi="ar"/>
              </w:rPr>
              <w:t>所属县</w:t>
            </w:r>
            <w:r w:rsidRPr="0069187B">
              <w:rPr>
                <w:rFonts w:ascii="Times New Roman" w:eastAsia="方正黑体_GBK" w:hAnsi="Times New Roman" w:cs="Times New Roman"/>
                <w:color w:val="000000"/>
                <w:spacing w:val="-28"/>
                <w:kern w:val="0"/>
                <w:sz w:val="24"/>
                <w:szCs w:val="24"/>
                <w:lang w:bidi="ar"/>
              </w:rPr>
              <w:t>（市、区）</w:t>
            </w:r>
          </w:p>
        </w:tc>
      </w:tr>
      <w:tr w:rsidR="002476AA" w:rsidRPr="0069187B">
        <w:trPr>
          <w:trHeight w:val="570"/>
          <w:tblHeader/>
          <w:jc w:val="center"/>
        </w:trPr>
        <w:tc>
          <w:tcPr>
            <w:tcW w:w="595" w:type="dxa"/>
            <w:vMerge/>
            <w:tcBorders>
              <w:top w:val="sing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2476AA">
            <w:pPr>
              <w:widowControl/>
              <w:spacing w:line="280" w:lineRule="exact"/>
              <w:jc w:val="center"/>
              <w:rPr>
                <w:rFonts w:ascii="Times New Roman" w:eastAsia="方正黑体_GBK" w:hAnsi="Times New Roman" w:cs="Times New Roman"/>
                <w:color w:val="000000"/>
                <w:sz w:val="24"/>
                <w:szCs w:val="24"/>
              </w:rPr>
            </w:pPr>
          </w:p>
        </w:tc>
        <w:tc>
          <w:tcPr>
            <w:tcW w:w="32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2476AA">
            <w:pPr>
              <w:widowControl/>
              <w:spacing w:line="280" w:lineRule="exact"/>
              <w:jc w:val="center"/>
              <w:rPr>
                <w:rFonts w:ascii="Times New Roman" w:eastAsia="方正黑体_GBK" w:hAnsi="Times New Roman" w:cs="Times New Roman"/>
                <w:color w:val="000000"/>
                <w:sz w:val="24"/>
                <w:szCs w:val="24"/>
              </w:rPr>
            </w:pPr>
          </w:p>
        </w:tc>
        <w:tc>
          <w:tcPr>
            <w:tcW w:w="273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2476AA">
            <w:pPr>
              <w:widowControl/>
              <w:spacing w:line="280" w:lineRule="exact"/>
              <w:jc w:val="center"/>
              <w:rPr>
                <w:rFonts w:ascii="Times New Roman" w:eastAsia="方正黑体_GBK" w:hAnsi="Times New Roman" w:cs="Times New Roman"/>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280" w:lineRule="exact"/>
              <w:jc w:val="center"/>
              <w:textAlignment w:val="center"/>
              <w:rPr>
                <w:rFonts w:ascii="Times New Roman" w:eastAsia="方正黑体_GBK" w:hAnsi="Times New Roman" w:cs="Times New Roman"/>
                <w:color w:val="000000"/>
                <w:sz w:val="24"/>
                <w:szCs w:val="24"/>
              </w:rPr>
            </w:pPr>
            <w:r w:rsidRPr="0069187B">
              <w:rPr>
                <w:rFonts w:ascii="Times New Roman" w:eastAsia="方正黑体_GBK" w:hAnsi="Times New Roman" w:cs="Times New Roman"/>
                <w:color w:val="000000"/>
                <w:kern w:val="0"/>
                <w:sz w:val="24"/>
                <w:szCs w:val="24"/>
                <w:lang w:bidi="ar"/>
              </w:rPr>
              <w:t>小计</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280" w:lineRule="exact"/>
              <w:jc w:val="center"/>
              <w:textAlignment w:val="center"/>
              <w:rPr>
                <w:rFonts w:ascii="Times New Roman" w:eastAsia="方正黑体_GBK" w:hAnsi="Times New Roman" w:cs="Times New Roman"/>
                <w:color w:val="000000"/>
                <w:kern w:val="0"/>
                <w:sz w:val="24"/>
                <w:szCs w:val="24"/>
                <w:lang w:bidi="ar"/>
              </w:rPr>
            </w:pPr>
            <w:r w:rsidRPr="0069187B">
              <w:rPr>
                <w:rFonts w:ascii="Times New Roman" w:eastAsia="方正黑体_GBK" w:hAnsi="Times New Roman" w:cs="Times New Roman"/>
                <w:color w:val="000000"/>
                <w:kern w:val="0"/>
                <w:sz w:val="24"/>
                <w:szCs w:val="24"/>
                <w:lang w:bidi="ar"/>
              </w:rPr>
              <w:t>市本级</w:t>
            </w:r>
          </w:p>
          <w:p w:rsidR="002476AA" w:rsidRPr="0069187B" w:rsidRDefault="00B76825">
            <w:pPr>
              <w:widowControl/>
              <w:spacing w:line="280" w:lineRule="exact"/>
              <w:jc w:val="center"/>
              <w:textAlignment w:val="center"/>
              <w:rPr>
                <w:rFonts w:ascii="Times New Roman" w:eastAsia="方正黑体_GBK" w:hAnsi="Times New Roman" w:cs="Times New Roman"/>
                <w:color w:val="000000"/>
                <w:sz w:val="24"/>
                <w:szCs w:val="24"/>
              </w:rPr>
            </w:pPr>
            <w:r w:rsidRPr="0069187B">
              <w:rPr>
                <w:rFonts w:ascii="Times New Roman" w:eastAsia="方正黑体_GBK" w:hAnsi="Times New Roman" w:cs="Times New Roman"/>
                <w:color w:val="000000"/>
                <w:kern w:val="0"/>
                <w:sz w:val="24"/>
                <w:szCs w:val="24"/>
                <w:lang w:bidi="ar"/>
              </w:rPr>
              <w:t>资金</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280" w:lineRule="exact"/>
              <w:jc w:val="center"/>
              <w:textAlignment w:val="center"/>
              <w:rPr>
                <w:rFonts w:ascii="Times New Roman" w:eastAsia="方正黑体_GBK" w:hAnsi="Times New Roman" w:cs="Times New Roman"/>
                <w:color w:val="000000"/>
                <w:spacing w:val="-17"/>
                <w:kern w:val="0"/>
                <w:sz w:val="24"/>
                <w:szCs w:val="24"/>
                <w:lang w:bidi="ar"/>
              </w:rPr>
            </w:pPr>
            <w:r w:rsidRPr="0069187B">
              <w:rPr>
                <w:rFonts w:ascii="Times New Roman" w:eastAsia="方正黑体_GBK" w:hAnsi="Times New Roman" w:cs="Times New Roman"/>
                <w:color w:val="000000"/>
                <w:spacing w:val="-17"/>
                <w:kern w:val="0"/>
                <w:sz w:val="24"/>
                <w:szCs w:val="24"/>
                <w:lang w:bidi="ar"/>
              </w:rPr>
              <w:t>县</w:t>
            </w:r>
            <w:r w:rsidRPr="0069187B">
              <w:rPr>
                <w:rFonts w:ascii="Times New Roman" w:eastAsia="方正黑体_GBK" w:hAnsi="Times New Roman" w:cs="Times New Roman"/>
                <w:color w:val="000000"/>
                <w:spacing w:val="-17"/>
                <w:kern w:val="0"/>
                <w:sz w:val="24"/>
                <w:szCs w:val="24"/>
                <w:lang w:bidi="ar"/>
              </w:rPr>
              <w:t>(</w:t>
            </w:r>
            <w:r w:rsidRPr="0069187B">
              <w:rPr>
                <w:rFonts w:ascii="Times New Roman" w:eastAsia="方正黑体_GBK" w:hAnsi="Times New Roman" w:cs="Times New Roman"/>
                <w:color w:val="000000"/>
                <w:spacing w:val="-17"/>
                <w:kern w:val="0"/>
                <w:sz w:val="24"/>
                <w:szCs w:val="24"/>
                <w:lang w:bidi="ar"/>
              </w:rPr>
              <w:t>市、区</w:t>
            </w:r>
            <w:r w:rsidRPr="0069187B">
              <w:rPr>
                <w:rFonts w:ascii="Times New Roman" w:eastAsia="方正黑体_GBK" w:hAnsi="Times New Roman" w:cs="Times New Roman"/>
                <w:color w:val="000000"/>
                <w:spacing w:val="-17"/>
                <w:kern w:val="0"/>
                <w:sz w:val="24"/>
                <w:szCs w:val="24"/>
                <w:lang w:bidi="ar"/>
              </w:rPr>
              <w:t>)</w:t>
            </w:r>
          </w:p>
          <w:p w:rsidR="002476AA" w:rsidRPr="0069187B" w:rsidRDefault="00B76825">
            <w:pPr>
              <w:widowControl/>
              <w:spacing w:line="280" w:lineRule="exact"/>
              <w:jc w:val="center"/>
              <w:textAlignment w:val="center"/>
              <w:rPr>
                <w:rFonts w:ascii="Times New Roman" w:eastAsia="方正黑体_GBK" w:hAnsi="Times New Roman" w:cs="Times New Roman"/>
                <w:color w:val="000000"/>
                <w:sz w:val="24"/>
                <w:szCs w:val="24"/>
              </w:rPr>
            </w:pPr>
            <w:r w:rsidRPr="0069187B">
              <w:rPr>
                <w:rFonts w:ascii="Times New Roman" w:eastAsia="方正黑体_GBK" w:hAnsi="Times New Roman" w:cs="Times New Roman"/>
                <w:color w:val="000000"/>
                <w:kern w:val="0"/>
                <w:sz w:val="24"/>
                <w:szCs w:val="24"/>
                <w:lang w:bidi="ar"/>
              </w:rPr>
              <w:t>配套资金</w:t>
            </w:r>
          </w:p>
        </w:tc>
        <w:tc>
          <w:tcPr>
            <w:tcW w:w="940" w:type="dxa"/>
            <w:vMerge/>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2476AA">
            <w:pPr>
              <w:widowControl/>
              <w:spacing w:line="280" w:lineRule="exact"/>
              <w:jc w:val="center"/>
              <w:rPr>
                <w:rFonts w:ascii="Times New Roman" w:eastAsia="方正黑体_GBK" w:hAnsi="Times New Roman" w:cs="Times New Roman"/>
                <w:color w:val="000000"/>
                <w:sz w:val="24"/>
                <w:szCs w:val="24"/>
              </w:rPr>
            </w:pPr>
          </w:p>
        </w:tc>
      </w:tr>
      <w:tr w:rsidR="002476AA" w:rsidRPr="0069187B">
        <w:trPr>
          <w:trHeight w:val="625"/>
          <w:jc w:val="center"/>
        </w:trPr>
        <w:tc>
          <w:tcPr>
            <w:tcW w:w="6603" w:type="dxa"/>
            <w:gridSpan w:val="3"/>
            <w:tcBorders>
              <w:top w:val="single" w:sz="4" w:space="0" w:color="000000"/>
              <w:left w:val="double" w:sz="4" w:space="0" w:color="000000"/>
              <w:bottom w:val="doub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sz w:val="24"/>
                <w:szCs w:val="24"/>
              </w:rPr>
              <w:t>全市合计</w:t>
            </w:r>
          </w:p>
        </w:tc>
        <w:tc>
          <w:tcPr>
            <w:tcW w:w="930" w:type="dxa"/>
            <w:tcBorders>
              <w:top w:val="single" w:sz="4" w:space="0" w:color="000000"/>
              <w:left w:val="single" w:sz="4" w:space="0" w:color="000000"/>
              <w:bottom w:val="doub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sz w:val="24"/>
                <w:szCs w:val="24"/>
              </w:rPr>
              <w:t>110</w:t>
            </w:r>
          </w:p>
        </w:tc>
        <w:tc>
          <w:tcPr>
            <w:tcW w:w="920" w:type="dxa"/>
            <w:tcBorders>
              <w:top w:val="single" w:sz="4" w:space="0" w:color="000000"/>
              <w:left w:val="single" w:sz="4" w:space="0" w:color="000000"/>
              <w:bottom w:val="doub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sz w:val="24"/>
                <w:szCs w:val="24"/>
              </w:rPr>
              <w:t>99.5</w:t>
            </w:r>
          </w:p>
        </w:tc>
        <w:tc>
          <w:tcPr>
            <w:tcW w:w="1020" w:type="dxa"/>
            <w:tcBorders>
              <w:top w:val="single" w:sz="4" w:space="0" w:color="000000"/>
              <w:left w:val="single" w:sz="4" w:space="0" w:color="000000"/>
              <w:bottom w:val="doub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sz w:val="24"/>
                <w:szCs w:val="24"/>
              </w:rPr>
              <w:t>10.5</w:t>
            </w:r>
          </w:p>
        </w:tc>
        <w:tc>
          <w:tcPr>
            <w:tcW w:w="940" w:type="dxa"/>
            <w:tcBorders>
              <w:top w:val="single" w:sz="4" w:space="0" w:color="000000"/>
              <w:left w:val="single" w:sz="4" w:space="0" w:color="000000"/>
              <w:bottom w:val="double" w:sz="4" w:space="0" w:color="000000"/>
              <w:right w:val="double" w:sz="4" w:space="0" w:color="000000"/>
            </w:tcBorders>
            <w:shd w:val="clear" w:color="auto" w:fill="auto"/>
            <w:tcMar>
              <w:top w:w="15" w:type="dxa"/>
              <w:left w:w="15" w:type="dxa"/>
              <w:right w:w="15" w:type="dxa"/>
            </w:tcMar>
            <w:vAlign w:val="center"/>
          </w:tcPr>
          <w:p w:rsidR="002476AA" w:rsidRPr="0069187B" w:rsidRDefault="002476AA">
            <w:pPr>
              <w:widowControl/>
              <w:spacing w:line="320" w:lineRule="exact"/>
              <w:jc w:val="center"/>
              <w:textAlignment w:val="center"/>
              <w:rPr>
                <w:rFonts w:ascii="Times New Roman" w:eastAsia="方正仿宋_GBK" w:hAnsi="Times New Roman" w:cs="Times New Roman"/>
                <w:b/>
                <w:color w:val="000000"/>
                <w:sz w:val="24"/>
                <w:szCs w:val="24"/>
              </w:rPr>
            </w:pPr>
          </w:p>
        </w:tc>
      </w:tr>
      <w:tr w:rsidR="002476AA" w:rsidRPr="0069187B">
        <w:trPr>
          <w:trHeight w:val="625"/>
          <w:jc w:val="center"/>
        </w:trPr>
        <w:tc>
          <w:tcPr>
            <w:tcW w:w="6603" w:type="dxa"/>
            <w:gridSpan w:val="3"/>
            <w:tcBorders>
              <w:top w:val="double" w:sz="4" w:space="0" w:color="000000"/>
              <w:left w:val="doub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kern w:val="0"/>
                <w:sz w:val="24"/>
                <w:szCs w:val="24"/>
                <w:lang w:bidi="ar"/>
              </w:rPr>
            </w:pPr>
            <w:r w:rsidRPr="0069187B">
              <w:rPr>
                <w:rFonts w:ascii="Times New Roman" w:eastAsia="方正仿宋_GBK" w:hAnsi="Times New Roman" w:cs="Times New Roman"/>
                <w:b/>
                <w:color w:val="000000"/>
                <w:kern w:val="0"/>
                <w:sz w:val="24"/>
                <w:szCs w:val="24"/>
                <w:lang w:bidi="ar"/>
              </w:rPr>
              <w:t>一类项目</w:t>
            </w:r>
          </w:p>
        </w:tc>
        <w:tc>
          <w:tcPr>
            <w:tcW w:w="930" w:type="dxa"/>
            <w:tcBorders>
              <w:top w:val="doub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kern w:val="0"/>
                <w:sz w:val="24"/>
                <w:szCs w:val="24"/>
                <w:lang w:bidi="ar"/>
              </w:rPr>
            </w:pPr>
            <w:r w:rsidRPr="0069187B">
              <w:rPr>
                <w:rFonts w:ascii="Times New Roman" w:eastAsia="方正仿宋_GBK" w:hAnsi="Times New Roman" w:cs="Times New Roman"/>
                <w:b/>
                <w:color w:val="000000"/>
                <w:kern w:val="0"/>
                <w:sz w:val="24"/>
                <w:szCs w:val="24"/>
                <w:lang w:bidi="ar"/>
              </w:rPr>
              <w:t>20</w:t>
            </w:r>
          </w:p>
        </w:tc>
        <w:tc>
          <w:tcPr>
            <w:tcW w:w="920" w:type="dxa"/>
            <w:tcBorders>
              <w:top w:val="doub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kern w:val="0"/>
                <w:sz w:val="24"/>
                <w:szCs w:val="24"/>
                <w:lang w:bidi="ar"/>
              </w:rPr>
            </w:pPr>
            <w:r w:rsidRPr="0069187B">
              <w:rPr>
                <w:rFonts w:ascii="Times New Roman" w:eastAsia="方正仿宋_GBK" w:hAnsi="Times New Roman" w:cs="Times New Roman"/>
                <w:b/>
                <w:color w:val="000000"/>
                <w:kern w:val="0"/>
                <w:sz w:val="24"/>
                <w:szCs w:val="24"/>
                <w:lang w:bidi="ar"/>
              </w:rPr>
              <w:t>20</w:t>
            </w:r>
          </w:p>
        </w:tc>
        <w:tc>
          <w:tcPr>
            <w:tcW w:w="1020" w:type="dxa"/>
            <w:tcBorders>
              <w:top w:val="doub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kern w:val="0"/>
                <w:sz w:val="24"/>
                <w:szCs w:val="24"/>
                <w:lang w:bidi="ar"/>
              </w:rPr>
            </w:pPr>
            <w:r w:rsidRPr="0069187B">
              <w:rPr>
                <w:rFonts w:ascii="Times New Roman" w:eastAsia="方正仿宋_GBK" w:hAnsi="Times New Roman" w:cs="Times New Roman"/>
                <w:b/>
                <w:color w:val="000000"/>
                <w:kern w:val="0"/>
                <w:sz w:val="24"/>
                <w:szCs w:val="24"/>
                <w:lang w:bidi="ar"/>
              </w:rPr>
              <w:t>0</w:t>
            </w:r>
          </w:p>
        </w:tc>
        <w:tc>
          <w:tcPr>
            <w:tcW w:w="940" w:type="dxa"/>
            <w:tcBorders>
              <w:top w:val="doub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kern w:val="0"/>
                <w:sz w:val="24"/>
                <w:szCs w:val="24"/>
                <w:lang w:bidi="ar"/>
              </w:rPr>
            </w:pPr>
            <w:r w:rsidRPr="0069187B">
              <w:rPr>
                <w:rFonts w:ascii="Times New Roman" w:eastAsia="方正仿宋_GBK" w:hAnsi="Times New Roman" w:cs="Times New Roman"/>
                <w:b/>
                <w:color w:val="000000"/>
                <w:kern w:val="0"/>
                <w:sz w:val="24"/>
                <w:szCs w:val="24"/>
                <w:lang w:bidi="ar"/>
              </w:rPr>
              <w:t>-</w:t>
            </w:r>
          </w:p>
        </w:tc>
      </w:tr>
      <w:tr w:rsidR="002476AA" w:rsidRPr="0069187B">
        <w:trPr>
          <w:trHeight w:val="1040"/>
          <w:jc w:val="center"/>
        </w:trPr>
        <w:tc>
          <w:tcPr>
            <w:tcW w:w="595" w:type="dxa"/>
            <w:tcBorders>
              <w:top w:val="sing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1</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应用多组数据分析</w:t>
            </w:r>
            <w:r w:rsidRPr="0069187B">
              <w:rPr>
                <w:rFonts w:ascii="Times New Roman" w:eastAsia="方正仿宋_GBK" w:hAnsi="Times New Roman" w:cs="Times New Roman"/>
                <w:color w:val="000000"/>
                <w:kern w:val="0"/>
                <w:sz w:val="24"/>
                <w:szCs w:val="24"/>
                <w:lang w:bidi="ar"/>
              </w:rPr>
              <w:t>OSBPL3</w:t>
            </w:r>
            <w:r w:rsidRPr="0069187B">
              <w:rPr>
                <w:rStyle w:val="font01"/>
                <w:rFonts w:ascii="Times New Roman" w:hAnsi="Times New Roman" w:cs="Times New Roman" w:hint="default"/>
                <w:lang w:bidi="ar"/>
              </w:rPr>
              <w:t>对结直肠癌诊断、预后及生物学功能的应用研究</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江门市中心医院</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10</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10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0</w:t>
            </w:r>
          </w:p>
        </w:tc>
        <w:tc>
          <w:tcPr>
            <w:tcW w:w="940"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市直</w:t>
            </w:r>
          </w:p>
        </w:tc>
      </w:tr>
      <w:tr w:rsidR="002476AA" w:rsidRPr="0069187B">
        <w:trPr>
          <w:trHeight w:val="720"/>
          <w:jc w:val="center"/>
        </w:trPr>
        <w:tc>
          <w:tcPr>
            <w:tcW w:w="595" w:type="dxa"/>
            <w:tcBorders>
              <w:top w:val="single" w:sz="4" w:space="0" w:color="000000"/>
              <w:left w:val="double" w:sz="4" w:space="0" w:color="000000"/>
              <w:bottom w:val="doub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2</w:t>
            </w:r>
          </w:p>
        </w:tc>
        <w:tc>
          <w:tcPr>
            <w:tcW w:w="3275" w:type="dxa"/>
            <w:tcBorders>
              <w:top w:val="single" w:sz="4" w:space="0" w:color="000000"/>
              <w:left w:val="single" w:sz="4" w:space="0" w:color="000000"/>
              <w:bottom w:val="doub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江门海域海产品放射性污染风险监测</w:t>
            </w:r>
          </w:p>
        </w:tc>
        <w:tc>
          <w:tcPr>
            <w:tcW w:w="2733" w:type="dxa"/>
            <w:tcBorders>
              <w:top w:val="single" w:sz="4" w:space="0" w:color="000000"/>
              <w:left w:val="single" w:sz="4" w:space="0" w:color="000000"/>
              <w:bottom w:val="doub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江门市职业病防治所</w:t>
            </w:r>
          </w:p>
        </w:tc>
        <w:tc>
          <w:tcPr>
            <w:tcW w:w="930" w:type="dxa"/>
            <w:tcBorders>
              <w:top w:val="single" w:sz="4" w:space="0" w:color="000000"/>
              <w:left w:val="single" w:sz="4" w:space="0" w:color="000000"/>
              <w:bottom w:val="doub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10</w:t>
            </w:r>
          </w:p>
        </w:tc>
        <w:tc>
          <w:tcPr>
            <w:tcW w:w="920" w:type="dxa"/>
            <w:tcBorders>
              <w:top w:val="single" w:sz="4" w:space="0" w:color="000000"/>
              <w:left w:val="single" w:sz="4" w:space="0" w:color="000000"/>
              <w:bottom w:val="doub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10</w:t>
            </w:r>
          </w:p>
        </w:tc>
        <w:tc>
          <w:tcPr>
            <w:tcW w:w="1020" w:type="dxa"/>
            <w:tcBorders>
              <w:top w:val="single" w:sz="4" w:space="0" w:color="000000"/>
              <w:left w:val="single" w:sz="4" w:space="0" w:color="000000"/>
              <w:bottom w:val="doub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0</w:t>
            </w:r>
          </w:p>
        </w:tc>
        <w:tc>
          <w:tcPr>
            <w:tcW w:w="940" w:type="dxa"/>
            <w:tcBorders>
              <w:top w:val="single" w:sz="4" w:space="0" w:color="000000"/>
              <w:left w:val="single" w:sz="4" w:space="0" w:color="000000"/>
              <w:bottom w:val="doub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市直</w:t>
            </w:r>
          </w:p>
        </w:tc>
      </w:tr>
      <w:tr w:rsidR="002476AA" w:rsidRPr="0069187B">
        <w:trPr>
          <w:trHeight w:val="640"/>
          <w:jc w:val="center"/>
        </w:trPr>
        <w:tc>
          <w:tcPr>
            <w:tcW w:w="6603" w:type="dxa"/>
            <w:gridSpan w:val="3"/>
            <w:tcBorders>
              <w:top w:val="double" w:sz="4" w:space="0" w:color="000000"/>
              <w:left w:val="doub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二类项目</w:t>
            </w:r>
          </w:p>
        </w:tc>
        <w:tc>
          <w:tcPr>
            <w:tcW w:w="930" w:type="dxa"/>
            <w:tcBorders>
              <w:top w:val="doub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90</w:t>
            </w:r>
          </w:p>
        </w:tc>
        <w:tc>
          <w:tcPr>
            <w:tcW w:w="920" w:type="dxa"/>
            <w:tcBorders>
              <w:top w:val="doub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79.5</w:t>
            </w:r>
          </w:p>
        </w:tc>
        <w:tc>
          <w:tcPr>
            <w:tcW w:w="1020" w:type="dxa"/>
            <w:tcBorders>
              <w:top w:val="doub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10.5</w:t>
            </w:r>
          </w:p>
        </w:tc>
        <w:tc>
          <w:tcPr>
            <w:tcW w:w="940" w:type="dxa"/>
            <w:tcBorders>
              <w:top w:val="doub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w:t>
            </w:r>
          </w:p>
        </w:tc>
      </w:tr>
      <w:tr w:rsidR="002476AA" w:rsidRPr="0069187B">
        <w:trPr>
          <w:trHeight w:val="945"/>
          <w:jc w:val="center"/>
        </w:trPr>
        <w:tc>
          <w:tcPr>
            <w:tcW w:w="595" w:type="dxa"/>
            <w:tcBorders>
              <w:top w:val="sing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3</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肾小管上皮细胞</w:t>
            </w:r>
            <w:r w:rsidRPr="0069187B">
              <w:rPr>
                <w:rFonts w:ascii="Times New Roman" w:eastAsia="方正仿宋_GBK" w:hAnsi="Times New Roman" w:cs="Times New Roman"/>
                <w:color w:val="000000"/>
                <w:kern w:val="0"/>
                <w:sz w:val="24"/>
                <w:szCs w:val="24"/>
                <w:lang w:bidi="ar"/>
              </w:rPr>
              <w:t>MIC60</w:t>
            </w:r>
            <w:r w:rsidRPr="0069187B">
              <w:rPr>
                <w:rStyle w:val="font01"/>
                <w:rFonts w:ascii="Times New Roman" w:hAnsi="Times New Roman" w:cs="Times New Roman" w:hint="default"/>
                <w:lang w:bidi="ar"/>
              </w:rPr>
              <w:t>蛋白异常磷酸化在糖尿病肾病肾间质纤维化中的作用及机制研究</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江门市中心医院</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0</w:t>
            </w:r>
          </w:p>
        </w:tc>
        <w:tc>
          <w:tcPr>
            <w:tcW w:w="940"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市直</w:t>
            </w:r>
          </w:p>
        </w:tc>
      </w:tr>
      <w:tr w:rsidR="002476AA" w:rsidRPr="0069187B">
        <w:trPr>
          <w:trHeight w:val="1025"/>
          <w:jc w:val="center"/>
        </w:trPr>
        <w:tc>
          <w:tcPr>
            <w:tcW w:w="595" w:type="dxa"/>
            <w:tcBorders>
              <w:top w:val="sing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4</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DRP1</w:t>
            </w:r>
            <w:r w:rsidRPr="0069187B">
              <w:rPr>
                <w:rStyle w:val="font01"/>
                <w:rFonts w:ascii="Times New Roman" w:hAnsi="Times New Roman" w:cs="Times New Roman" w:hint="default"/>
                <w:lang w:bidi="ar"/>
              </w:rPr>
              <w:t>诱导的线粒体碎片</w:t>
            </w:r>
            <w:proofErr w:type="gramStart"/>
            <w:r w:rsidRPr="0069187B">
              <w:rPr>
                <w:rStyle w:val="font01"/>
                <w:rFonts w:ascii="Times New Roman" w:hAnsi="Times New Roman" w:cs="Times New Roman" w:hint="default"/>
                <w:lang w:bidi="ar"/>
              </w:rPr>
              <w:t>化促进</w:t>
            </w:r>
            <w:proofErr w:type="gramEnd"/>
            <w:r w:rsidRPr="0069187B">
              <w:rPr>
                <w:rStyle w:val="font01"/>
                <w:rFonts w:ascii="Times New Roman" w:hAnsi="Times New Roman" w:cs="Times New Roman" w:hint="default"/>
                <w:lang w:bidi="ar"/>
              </w:rPr>
              <w:t>肥胖合并结直肠癌干细胞干</w:t>
            </w:r>
            <w:proofErr w:type="gramStart"/>
            <w:r w:rsidRPr="0069187B">
              <w:rPr>
                <w:rStyle w:val="font01"/>
                <w:rFonts w:ascii="Times New Roman" w:hAnsi="Times New Roman" w:cs="Times New Roman" w:hint="default"/>
                <w:lang w:bidi="ar"/>
              </w:rPr>
              <w:t>性维持</w:t>
            </w:r>
            <w:proofErr w:type="gramEnd"/>
            <w:r w:rsidRPr="0069187B">
              <w:rPr>
                <w:rStyle w:val="font01"/>
                <w:rFonts w:ascii="Times New Roman" w:hAnsi="Times New Roman" w:cs="Times New Roman" w:hint="default"/>
                <w:lang w:bidi="ar"/>
              </w:rPr>
              <w:t>的作用机制研究</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江门市人民医院</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0</w:t>
            </w:r>
          </w:p>
        </w:tc>
        <w:tc>
          <w:tcPr>
            <w:tcW w:w="940"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市直</w:t>
            </w:r>
          </w:p>
        </w:tc>
      </w:tr>
      <w:tr w:rsidR="002476AA" w:rsidRPr="0069187B">
        <w:trPr>
          <w:trHeight w:val="1260"/>
          <w:jc w:val="center"/>
        </w:trPr>
        <w:tc>
          <w:tcPr>
            <w:tcW w:w="595" w:type="dxa"/>
            <w:tcBorders>
              <w:top w:val="sing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5</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基于</w:t>
            </w:r>
            <w:r w:rsidRPr="0069187B">
              <w:rPr>
                <w:rFonts w:ascii="Times New Roman" w:eastAsia="方正仿宋_GBK" w:hAnsi="Times New Roman" w:cs="Times New Roman"/>
                <w:color w:val="000000"/>
                <w:kern w:val="0"/>
                <w:sz w:val="24"/>
                <w:szCs w:val="24"/>
                <w:lang w:bidi="ar"/>
              </w:rPr>
              <w:t>VEGF-C/R3</w:t>
            </w:r>
            <w:r w:rsidRPr="0069187B">
              <w:rPr>
                <w:rStyle w:val="font01"/>
                <w:rFonts w:ascii="Times New Roman" w:hAnsi="Times New Roman" w:cs="Times New Roman" w:hint="default"/>
                <w:lang w:bidi="ar"/>
              </w:rPr>
              <w:t>信号通路探讨当归芍药散调控脑淋巴管引流和血管新生治疗血管性痴呆的机制研究</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江门市五</w:t>
            </w:r>
            <w:proofErr w:type="gramStart"/>
            <w:r w:rsidRPr="0069187B">
              <w:rPr>
                <w:rStyle w:val="font01"/>
                <w:rFonts w:ascii="Times New Roman" w:hAnsi="Times New Roman" w:cs="Times New Roman" w:hint="default"/>
                <w:lang w:bidi="ar"/>
              </w:rPr>
              <w:t>邑</w:t>
            </w:r>
            <w:proofErr w:type="gramEnd"/>
            <w:r w:rsidRPr="0069187B">
              <w:rPr>
                <w:rStyle w:val="font01"/>
                <w:rFonts w:ascii="Times New Roman" w:hAnsi="Times New Roman" w:cs="Times New Roman" w:hint="default"/>
                <w:lang w:bidi="ar"/>
              </w:rPr>
              <w:t>中医院</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0</w:t>
            </w:r>
          </w:p>
        </w:tc>
        <w:tc>
          <w:tcPr>
            <w:tcW w:w="940"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市直</w:t>
            </w:r>
          </w:p>
        </w:tc>
      </w:tr>
      <w:tr w:rsidR="002476AA" w:rsidRPr="0069187B">
        <w:trPr>
          <w:trHeight w:val="815"/>
          <w:jc w:val="center"/>
        </w:trPr>
        <w:tc>
          <w:tcPr>
            <w:tcW w:w="595" w:type="dxa"/>
            <w:tcBorders>
              <w:top w:val="sing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6</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基于太赫兹光谱检测技术鉴别不同繁育方式新会陈皮的研究</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江门市五</w:t>
            </w:r>
            <w:proofErr w:type="gramStart"/>
            <w:r w:rsidRPr="0069187B">
              <w:rPr>
                <w:rStyle w:val="font01"/>
                <w:rFonts w:ascii="Times New Roman" w:hAnsi="Times New Roman" w:cs="Times New Roman" w:hint="default"/>
                <w:lang w:bidi="ar"/>
              </w:rPr>
              <w:t>邑</w:t>
            </w:r>
            <w:proofErr w:type="gramEnd"/>
            <w:r w:rsidRPr="0069187B">
              <w:rPr>
                <w:rStyle w:val="font01"/>
                <w:rFonts w:ascii="Times New Roman" w:hAnsi="Times New Roman" w:cs="Times New Roman" w:hint="default"/>
                <w:lang w:bidi="ar"/>
              </w:rPr>
              <w:t>中医院</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0</w:t>
            </w:r>
          </w:p>
        </w:tc>
        <w:tc>
          <w:tcPr>
            <w:tcW w:w="940"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市直</w:t>
            </w:r>
          </w:p>
        </w:tc>
      </w:tr>
      <w:tr w:rsidR="002476AA" w:rsidRPr="0069187B">
        <w:trPr>
          <w:trHeight w:val="630"/>
          <w:jc w:val="center"/>
        </w:trPr>
        <w:tc>
          <w:tcPr>
            <w:tcW w:w="595" w:type="dxa"/>
            <w:tcBorders>
              <w:top w:val="sing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7</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MYO1E</w:t>
            </w:r>
            <w:r w:rsidRPr="0069187B">
              <w:rPr>
                <w:rStyle w:val="font01"/>
                <w:rFonts w:ascii="Times New Roman" w:hAnsi="Times New Roman" w:cs="Times New Roman" w:hint="default"/>
                <w:lang w:bidi="ar"/>
              </w:rPr>
              <w:t>通过</w:t>
            </w:r>
            <w:proofErr w:type="spellStart"/>
            <w:r w:rsidRPr="0069187B">
              <w:rPr>
                <w:rFonts w:ascii="Times New Roman" w:eastAsia="方正仿宋_GBK" w:hAnsi="Times New Roman" w:cs="Times New Roman"/>
                <w:color w:val="000000"/>
                <w:kern w:val="0"/>
                <w:sz w:val="24"/>
                <w:szCs w:val="24"/>
                <w:lang w:bidi="ar"/>
              </w:rPr>
              <w:t>Wnt</w:t>
            </w:r>
            <w:proofErr w:type="spellEnd"/>
            <w:r w:rsidRPr="0069187B">
              <w:rPr>
                <w:rFonts w:ascii="Times New Roman" w:eastAsia="方正仿宋_GBK" w:hAnsi="Times New Roman" w:cs="Times New Roman"/>
                <w:color w:val="000000"/>
                <w:kern w:val="0"/>
                <w:sz w:val="24"/>
                <w:szCs w:val="24"/>
                <w:lang w:bidi="ar"/>
              </w:rPr>
              <w:t>/β-catenin</w:t>
            </w:r>
            <w:r w:rsidRPr="0069187B">
              <w:rPr>
                <w:rStyle w:val="font01"/>
                <w:rFonts w:ascii="Times New Roman" w:hAnsi="Times New Roman" w:cs="Times New Roman" w:hint="default"/>
                <w:lang w:bidi="ar"/>
              </w:rPr>
              <w:t>通路促进肺腺癌转移的分子机制研究</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江门市中心医院</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0</w:t>
            </w:r>
          </w:p>
        </w:tc>
        <w:tc>
          <w:tcPr>
            <w:tcW w:w="940"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市直</w:t>
            </w:r>
          </w:p>
        </w:tc>
      </w:tr>
      <w:tr w:rsidR="002476AA" w:rsidRPr="0069187B">
        <w:trPr>
          <w:trHeight w:val="695"/>
          <w:jc w:val="center"/>
        </w:trPr>
        <w:tc>
          <w:tcPr>
            <w:tcW w:w="595" w:type="dxa"/>
            <w:tcBorders>
              <w:top w:val="sing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8</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卫星遥感技术在江门</w:t>
            </w:r>
            <w:r w:rsidRPr="0069187B">
              <w:rPr>
                <w:rFonts w:ascii="Times New Roman" w:eastAsia="方正仿宋_GBK" w:hAnsi="Times New Roman" w:cs="Times New Roman"/>
                <w:color w:val="000000"/>
                <w:kern w:val="0"/>
                <w:sz w:val="24"/>
                <w:szCs w:val="24"/>
                <w:lang w:bidi="ar"/>
              </w:rPr>
              <w:t>“</w:t>
            </w:r>
            <w:r w:rsidRPr="0069187B">
              <w:rPr>
                <w:rStyle w:val="font01"/>
                <w:rFonts w:ascii="Times New Roman" w:hAnsi="Times New Roman" w:cs="Times New Roman" w:hint="default"/>
                <w:lang w:bidi="ar"/>
              </w:rPr>
              <w:t>广东第一田</w:t>
            </w:r>
            <w:r w:rsidRPr="0069187B">
              <w:rPr>
                <w:rFonts w:ascii="Times New Roman" w:eastAsia="方正仿宋_GBK" w:hAnsi="Times New Roman" w:cs="Times New Roman"/>
                <w:color w:val="000000"/>
                <w:kern w:val="0"/>
                <w:sz w:val="24"/>
                <w:szCs w:val="24"/>
                <w:lang w:bidi="ar"/>
              </w:rPr>
              <w:t>”</w:t>
            </w:r>
            <w:r w:rsidRPr="0069187B">
              <w:rPr>
                <w:rStyle w:val="font01"/>
                <w:rFonts w:ascii="Times New Roman" w:hAnsi="Times New Roman" w:cs="Times New Roman" w:hint="default"/>
                <w:lang w:bidi="ar"/>
              </w:rPr>
              <w:t>的应用研究</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江门市突发事件预警信息发布中心</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0</w:t>
            </w:r>
          </w:p>
        </w:tc>
        <w:tc>
          <w:tcPr>
            <w:tcW w:w="940"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市直</w:t>
            </w:r>
          </w:p>
        </w:tc>
      </w:tr>
      <w:tr w:rsidR="002476AA" w:rsidRPr="0069187B">
        <w:trPr>
          <w:trHeight w:val="690"/>
          <w:jc w:val="center"/>
        </w:trPr>
        <w:tc>
          <w:tcPr>
            <w:tcW w:w="595" w:type="dxa"/>
            <w:tcBorders>
              <w:top w:val="sing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9</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复合芽孢杆菌菌剂防控香蕉枯萎病的关键性技术研究</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江门市农业科技创新中心</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0</w:t>
            </w:r>
          </w:p>
        </w:tc>
        <w:tc>
          <w:tcPr>
            <w:tcW w:w="940"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市直</w:t>
            </w:r>
          </w:p>
        </w:tc>
      </w:tr>
      <w:tr w:rsidR="002476AA" w:rsidRPr="0069187B">
        <w:trPr>
          <w:trHeight w:val="705"/>
          <w:jc w:val="center"/>
        </w:trPr>
        <w:tc>
          <w:tcPr>
            <w:tcW w:w="595" w:type="dxa"/>
            <w:tcBorders>
              <w:top w:val="sing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10</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spacing w:val="-11"/>
                <w:lang w:bidi="ar"/>
              </w:rPr>
              <w:t>广东台山鸡爪</w:t>
            </w:r>
            <w:proofErr w:type="gramStart"/>
            <w:r w:rsidRPr="0069187B">
              <w:rPr>
                <w:rStyle w:val="font01"/>
                <w:rFonts w:ascii="Times New Roman" w:hAnsi="Times New Roman" w:cs="Times New Roman" w:hint="default"/>
                <w:spacing w:val="-11"/>
                <w:lang w:bidi="ar"/>
              </w:rPr>
              <w:t>芋不同</w:t>
            </w:r>
            <w:proofErr w:type="gramEnd"/>
            <w:r w:rsidRPr="0069187B">
              <w:rPr>
                <w:rStyle w:val="font01"/>
                <w:rFonts w:ascii="Times New Roman" w:hAnsi="Times New Roman" w:cs="Times New Roman" w:hint="default"/>
                <w:spacing w:val="-11"/>
                <w:lang w:bidi="ar"/>
              </w:rPr>
              <w:t>炮制方法对成份的影响及功能性食品研发</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广东江门中医药职业学院</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0</w:t>
            </w:r>
          </w:p>
        </w:tc>
        <w:tc>
          <w:tcPr>
            <w:tcW w:w="940"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市直</w:t>
            </w:r>
          </w:p>
        </w:tc>
      </w:tr>
      <w:tr w:rsidR="002476AA" w:rsidRPr="0069187B">
        <w:trPr>
          <w:trHeight w:val="630"/>
          <w:jc w:val="center"/>
        </w:trPr>
        <w:tc>
          <w:tcPr>
            <w:tcW w:w="595" w:type="dxa"/>
            <w:tcBorders>
              <w:top w:val="sing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lastRenderedPageBreak/>
              <w:t>11</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基于双偏振雷达和雨滴谱仪的华南前汛期不同类型强降水微物理特征研究</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广东省江门市气象局</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0</w:t>
            </w:r>
          </w:p>
        </w:tc>
        <w:tc>
          <w:tcPr>
            <w:tcW w:w="940"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市直</w:t>
            </w:r>
          </w:p>
        </w:tc>
      </w:tr>
      <w:tr w:rsidR="002476AA" w:rsidRPr="0069187B">
        <w:trPr>
          <w:trHeight w:val="730"/>
          <w:jc w:val="center"/>
        </w:trPr>
        <w:tc>
          <w:tcPr>
            <w:tcW w:w="595" w:type="dxa"/>
            <w:tcBorders>
              <w:top w:val="sing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12</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proofErr w:type="gramStart"/>
            <w:r w:rsidRPr="0069187B">
              <w:rPr>
                <w:rStyle w:val="font01"/>
                <w:rFonts w:ascii="Times New Roman" w:hAnsi="Times New Roman" w:cs="Times New Roman" w:hint="default"/>
                <w:lang w:bidi="ar"/>
              </w:rPr>
              <w:t>基于微藻养殖</w:t>
            </w:r>
            <w:proofErr w:type="gramEnd"/>
            <w:r w:rsidRPr="0069187B">
              <w:rPr>
                <w:rStyle w:val="font01"/>
                <w:rFonts w:ascii="Times New Roman" w:hAnsi="Times New Roman" w:cs="Times New Roman" w:hint="default"/>
                <w:lang w:bidi="ar"/>
              </w:rPr>
              <w:t>的养猪沼液处理及其生命周期评价研究</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proofErr w:type="gramStart"/>
            <w:r w:rsidRPr="0069187B">
              <w:rPr>
                <w:rStyle w:val="font01"/>
                <w:rFonts w:ascii="Times New Roman" w:hAnsi="Times New Roman" w:cs="Times New Roman" w:hint="default"/>
                <w:lang w:bidi="ar"/>
              </w:rPr>
              <w:t>江门双碳实验室</w:t>
            </w:r>
            <w:proofErr w:type="gramEnd"/>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0</w:t>
            </w:r>
          </w:p>
        </w:tc>
        <w:tc>
          <w:tcPr>
            <w:tcW w:w="940"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市直</w:t>
            </w:r>
          </w:p>
        </w:tc>
      </w:tr>
      <w:tr w:rsidR="002476AA" w:rsidRPr="0069187B">
        <w:trPr>
          <w:trHeight w:val="760"/>
          <w:jc w:val="center"/>
        </w:trPr>
        <w:tc>
          <w:tcPr>
            <w:tcW w:w="595" w:type="dxa"/>
            <w:tcBorders>
              <w:top w:val="sing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13</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基于</w:t>
            </w:r>
            <w:r w:rsidRPr="0069187B">
              <w:rPr>
                <w:rFonts w:ascii="Times New Roman" w:eastAsia="方正仿宋_GBK" w:hAnsi="Times New Roman" w:cs="Times New Roman"/>
                <w:color w:val="000000"/>
                <w:kern w:val="0"/>
                <w:sz w:val="24"/>
                <w:szCs w:val="24"/>
                <w:lang w:bidi="ar"/>
              </w:rPr>
              <w:t>LED-</w:t>
            </w:r>
            <w:r w:rsidRPr="0069187B">
              <w:rPr>
                <w:rStyle w:val="font01"/>
                <w:rFonts w:ascii="Times New Roman" w:hAnsi="Times New Roman" w:cs="Times New Roman" w:hint="default"/>
                <w:lang w:bidi="ar"/>
              </w:rPr>
              <w:t>高锰酸钾耦合体系高效控制水中新污染物研究</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五</w:t>
            </w:r>
            <w:proofErr w:type="gramStart"/>
            <w:r w:rsidRPr="0069187B">
              <w:rPr>
                <w:rStyle w:val="font01"/>
                <w:rFonts w:ascii="Times New Roman" w:hAnsi="Times New Roman" w:cs="Times New Roman" w:hint="default"/>
                <w:lang w:bidi="ar"/>
              </w:rPr>
              <w:t>邑</w:t>
            </w:r>
            <w:proofErr w:type="gramEnd"/>
            <w:r w:rsidRPr="0069187B">
              <w:rPr>
                <w:rStyle w:val="font01"/>
                <w:rFonts w:ascii="Times New Roman" w:hAnsi="Times New Roman" w:cs="Times New Roman" w:hint="default"/>
                <w:lang w:bidi="ar"/>
              </w:rPr>
              <w:t>大学</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0</w:t>
            </w:r>
          </w:p>
        </w:tc>
        <w:tc>
          <w:tcPr>
            <w:tcW w:w="940"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市直</w:t>
            </w:r>
          </w:p>
        </w:tc>
      </w:tr>
      <w:tr w:rsidR="002476AA" w:rsidRPr="0069187B">
        <w:trPr>
          <w:trHeight w:val="630"/>
          <w:jc w:val="center"/>
        </w:trPr>
        <w:tc>
          <w:tcPr>
            <w:tcW w:w="595" w:type="dxa"/>
            <w:tcBorders>
              <w:top w:val="sing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14</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绿色溶剂条件下环保型高效锡基钙钛矿太阳能电池的研制</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五</w:t>
            </w:r>
            <w:proofErr w:type="gramStart"/>
            <w:r w:rsidRPr="0069187B">
              <w:rPr>
                <w:rStyle w:val="font01"/>
                <w:rFonts w:ascii="Times New Roman" w:hAnsi="Times New Roman" w:cs="Times New Roman" w:hint="default"/>
                <w:lang w:bidi="ar"/>
              </w:rPr>
              <w:t>邑</w:t>
            </w:r>
            <w:proofErr w:type="gramEnd"/>
            <w:r w:rsidRPr="0069187B">
              <w:rPr>
                <w:rStyle w:val="font01"/>
                <w:rFonts w:ascii="Times New Roman" w:hAnsi="Times New Roman" w:cs="Times New Roman" w:hint="default"/>
                <w:lang w:bidi="ar"/>
              </w:rPr>
              <w:t>大学</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0</w:t>
            </w:r>
          </w:p>
        </w:tc>
        <w:tc>
          <w:tcPr>
            <w:tcW w:w="940"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市直</w:t>
            </w:r>
          </w:p>
        </w:tc>
      </w:tr>
      <w:tr w:rsidR="002476AA" w:rsidRPr="0069187B">
        <w:trPr>
          <w:trHeight w:val="710"/>
          <w:jc w:val="center"/>
        </w:trPr>
        <w:tc>
          <w:tcPr>
            <w:tcW w:w="595" w:type="dxa"/>
            <w:tcBorders>
              <w:top w:val="sing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15</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基于机械力化学的锂</w:t>
            </w:r>
            <w:r w:rsidRPr="0069187B">
              <w:rPr>
                <w:rFonts w:ascii="Times New Roman" w:eastAsia="方正仿宋_GBK" w:hAnsi="Times New Roman" w:cs="Times New Roman"/>
                <w:color w:val="000000"/>
                <w:kern w:val="0"/>
                <w:sz w:val="24"/>
                <w:szCs w:val="24"/>
                <w:lang w:bidi="ar"/>
              </w:rPr>
              <w:t>-</w:t>
            </w:r>
            <w:r w:rsidRPr="0069187B">
              <w:rPr>
                <w:rStyle w:val="font01"/>
                <w:rFonts w:ascii="Times New Roman" w:hAnsi="Times New Roman" w:cs="Times New Roman" w:hint="default"/>
                <w:lang w:bidi="ar"/>
              </w:rPr>
              <w:t>氟化碳原电池阴极材料改进技术研究</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proofErr w:type="gramStart"/>
            <w:r w:rsidRPr="0069187B">
              <w:rPr>
                <w:rStyle w:val="font01"/>
                <w:rFonts w:ascii="Times New Roman" w:hAnsi="Times New Roman" w:cs="Times New Roman" w:hint="default"/>
                <w:lang w:bidi="ar"/>
              </w:rPr>
              <w:t>江门双碳实验室</w:t>
            </w:r>
            <w:proofErr w:type="gramEnd"/>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0</w:t>
            </w:r>
          </w:p>
        </w:tc>
        <w:tc>
          <w:tcPr>
            <w:tcW w:w="940"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市直</w:t>
            </w:r>
          </w:p>
        </w:tc>
      </w:tr>
      <w:tr w:rsidR="002476AA" w:rsidRPr="0069187B">
        <w:trPr>
          <w:trHeight w:val="630"/>
          <w:jc w:val="center"/>
        </w:trPr>
        <w:tc>
          <w:tcPr>
            <w:tcW w:w="595" w:type="dxa"/>
            <w:tcBorders>
              <w:top w:val="sing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16</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w:t>
            </w:r>
            <w:r w:rsidRPr="0069187B">
              <w:rPr>
                <w:rStyle w:val="font01"/>
                <w:rFonts w:ascii="Times New Roman" w:hAnsi="Times New Roman" w:cs="Times New Roman" w:hint="default"/>
                <w:lang w:bidi="ar"/>
              </w:rPr>
              <w:t>短路法</w:t>
            </w:r>
            <w:r w:rsidRPr="0069187B">
              <w:rPr>
                <w:rFonts w:ascii="Times New Roman" w:eastAsia="方正仿宋_GBK" w:hAnsi="Times New Roman" w:cs="Times New Roman"/>
                <w:color w:val="000000"/>
                <w:kern w:val="0"/>
                <w:sz w:val="24"/>
                <w:szCs w:val="24"/>
                <w:lang w:bidi="ar"/>
              </w:rPr>
              <w:t>”</w:t>
            </w:r>
            <w:r w:rsidRPr="0069187B">
              <w:rPr>
                <w:rStyle w:val="font01"/>
                <w:rFonts w:ascii="Times New Roman" w:hAnsi="Times New Roman" w:cs="Times New Roman" w:hint="default"/>
                <w:lang w:bidi="ar"/>
              </w:rPr>
              <w:t>构筑双功能钾金属电池负极的研究</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proofErr w:type="gramStart"/>
            <w:r w:rsidRPr="0069187B">
              <w:rPr>
                <w:rStyle w:val="font01"/>
                <w:rFonts w:ascii="Times New Roman" w:hAnsi="Times New Roman" w:cs="Times New Roman" w:hint="default"/>
                <w:lang w:bidi="ar"/>
              </w:rPr>
              <w:t>江门双碳实验室</w:t>
            </w:r>
            <w:proofErr w:type="gramEnd"/>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0</w:t>
            </w:r>
          </w:p>
        </w:tc>
        <w:tc>
          <w:tcPr>
            <w:tcW w:w="940"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市直</w:t>
            </w:r>
          </w:p>
        </w:tc>
      </w:tr>
      <w:tr w:rsidR="002476AA" w:rsidRPr="0069187B">
        <w:trPr>
          <w:trHeight w:val="945"/>
          <w:jc w:val="center"/>
        </w:trPr>
        <w:tc>
          <w:tcPr>
            <w:tcW w:w="595" w:type="dxa"/>
            <w:tcBorders>
              <w:top w:val="sing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17</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w:t>
            </w:r>
            <w:r w:rsidRPr="0069187B">
              <w:rPr>
                <w:rStyle w:val="font01"/>
                <w:rFonts w:ascii="Times New Roman" w:hAnsi="Times New Roman" w:cs="Times New Roman" w:hint="default"/>
                <w:lang w:bidi="ar"/>
              </w:rPr>
              <w:t>纳米渔网</w:t>
            </w:r>
            <w:r w:rsidRPr="0069187B">
              <w:rPr>
                <w:rFonts w:ascii="Times New Roman" w:eastAsia="方正仿宋_GBK" w:hAnsi="Times New Roman" w:cs="Times New Roman"/>
                <w:color w:val="000000"/>
                <w:kern w:val="0"/>
                <w:sz w:val="24"/>
                <w:szCs w:val="24"/>
                <w:lang w:bidi="ar"/>
              </w:rPr>
              <w:t>”</w:t>
            </w:r>
            <w:r w:rsidRPr="0069187B">
              <w:rPr>
                <w:rStyle w:val="font01"/>
                <w:rFonts w:ascii="Times New Roman" w:hAnsi="Times New Roman" w:cs="Times New Roman" w:hint="default"/>
                <w:lang w:bidi="ar"/>
              </w:rPr>
              <w:t>结构纳米纤维防水透湿膜的可控构筑及其选择性输运机制研究</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五</w:t>
            </w:r>
            <w:proofErr w:type="gramStart"/>
            <w:r w:rsidRPr="0069187B">
              <w:rPr>
                <w:rStyle w:val="font01"/>
                <w:rFonts w:ascii="Times New Roman" w:hAnsi="Times New Roman" w:cs="Times New Roman" w:hint="default"/>
                <w:lang w:bidi="ar"/>
              </w:rPr>
              <w:t>邑</w:t>
            </w:r>
            <w:proofErr w:type="gramEnd"/>
            <w:r w:rsidRPr="0069187B">
              <w:rPr>
                <w:rStyle w:val="font01"/>
                <w:rFonts w:ascii="Times New Roman" w:hAnsi="Times New Roman" w:cs="Times New Roman" w:hint="default"/>
                <w:lang w:bidi="ar"/>
              </w:rPr>
              <w:t>大学</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0</w:t>
            </w:r>
          </w:p>
        </w:tc>
        <w:tc>
          <w:tcPr>
            <w:tcW w:w="940"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市直</w:t>
            </w:r>
          </w:p>
        </w:tc>
      </w:tr>
      <w:tr w:rsidR="002476AA" w:rsidRPr="0069187B">
        <w:trPr>
          <w:trHeight w:val="630"/>
          <w:jc w:val="center"/>
        </w:trPr>
        <w:tc>
          <w:tcPr>
            <w:tcW w:w="595" w:type="dxa"/>
            <w:tcBorders>
              <w:top w:val="sing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18</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超长</w:t>
            </w:r>
            <w:proofErr w:type="gramStart"/>
            <w:r w:rsidRPr="0069187B">
              <w:rPr>
                <w:rStyle w:val="font01"/>
                <w:rFonts w:ascii="Times New Roman" w:hAnsi="Times New Roman" w:cs="Times New Roman" w:hint="default"/>
                <w:lang w:bidi="ar"/>
              </w:rPr>
              <w:t>活化期且低温</w:t>
            </w:r>
            <w:proofErr w:type="gramEnd"/>
            <w:r w:rsidRPr="0069187B">
              <w:rPr>
                <w:rStyle w:val="font01"/>
                <w:rFonts w:ascii="Times New Roman" w:hAnsi="Times New Roman" w:cs="Times New Roman" w:hint="default"/>
                <w:lang w:bidi="ar"/>
              </w:rPr>
              <w:t>柔顺型无溶剂聚天冬氨酸</w:t>
            </w:r>
            <w:proofErr w:type="gramStart"/>
            <w:r w:rsidRPr="0069187B">
              <w:rPr>
                <w:rStyle w:val="font01"/>
                <w:rFonts w:ascii="Times New Roman" w:hAnsi="Times New Roman" w:cs="Times New Roman" w:hint="default"/>
                <w:lang w:bidi="ar"/>
              </w:rPr>
              <w:t>酯</w:t>
            </w:r>
            <w:proofErr w:type="gramEnd"/>
            <w:r w:rsidRPr="0069187B">
              <w:rPr>
                <w:rStyle w:val="font01"/>
                <w:rFonts w:ascii="Times New Roman" w:hAnsi="Times New Roman" w:cs="Times New Roman" w:hint="default"/>
                <w:lang w:bidi="ar"/>
              </w:rPr>
              <w:t>聚脲的制备与性能研究</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嘉宝莉化工集团股份有限公司</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1.5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3.5</w:t>
            </w:r>
          </w:p>
        </w:tc>
        <w:tc>
          <w:tcPr>
            <w:tcW w:w="940"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蓬江</w:t>
            </w:r>
          </w:p>
        </w:tc>
      </w:tr>
      <w:tr w:rsidR="002476AA" w:rsidRPr="0069187B">
        <w:trPr>
          <w:trHeight w:val="630"/>
          <w:jc w:val="center"/>
        </w:trPr>
        <w:tc>
          <w:tcPr>
            <w:tcW w:w="595" w:type="dxa"/>
            <w:tcBorders>
              <w:top w:val="single" w:sz="4" w:space="0" w:color="000000"/>
              <w:left w:val="doub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19</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高性能水性防腐蚀油漆关键技术开发及产业化</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广东省科学院江门产业技术研究院有限公司</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1.5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3.5</w:t>
            </w:r>
          </w:p>
        </w:tc>
        <w:tc>
          <w:tcPr>
            <w:tcW w:w="940"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蓬江</w:t>
            </w:r>
          </w:p>
        </w:tc>
      </w:tr>
      <w:tr w:rsidR="002476AA" w:rsidRPr="0069187B">
        <w:trPr>
          <w:trHeight w:val="810"/>
          <w:jc w:val="center"/>
        </w:trPr>
        <w:tc>
          <w:tcPr>
            <w:tcW w:w="595" w:type="dxa"/>
            <w:tcBorders>
              <w:top w:val="single" w:sz="4" w:space="0" w:color="000000"/>
              <w:left w:val="double" w:sz="4" w:space="0" w:color="000000"/>
              <w:bottom w:val="doub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b/>
                <w:color w:val="000000"/>
                <w:sz w:val="24"/>
                <w:szCs w:val="24"/>
              </w:rPr>
            </w:pPr>
            <w:r w:rsidRPr="0069187B">
              <w:rPr>
                <w:rFonts w:ascii="Times New Roman" w:eastAsia="方正仿宋_GBK" w:hAnsi="Times New Roman" w:cs="Times New Roman"/>
                <w:b/>
                <w:color w:val="000000"/>
                <w:kern w:val="0"/>
                <w:sz w:val="24"/>
                <w:szCs w:val="24"/>
                <w:lang w:bidi="ar"/>
              </w:rPr>
              <w:t>20</w:t>
            </w:r>
          </w:p>
        </w:tc>
        <w:tc>
          <w:tcPr>
            <w:tcW w:w="3275" w:type="dxa"/>
            <w:tcBorders>
              <w:top w:val="single" w:sz="4" w:space="0" w:color="000000"/>
              <w:left w:val="single" w:sz="4" w:space="0" w:color="000000"/>
              <w:bottom w:val="doub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咔</w:t>
            </w:r>
            <w:proofErr w:type="gramStart"/>
            <w:r w:rsidRPr="0069187B">
              <w:rPr>
                <w:rStyle w:val="font01"/>
                <w:rFonts w:ascii="Times New Roman" w:hAnsi="Times New Roman" w:cs="Times New Roman" w:hint="default"/>
                <w:lang w:bidi="ar"/>
              </w:rPr>
              <w:t>啉</w:t>
            </w:r>
            <w:proofErr w:type="gramEnd"/>
            <w:r w:rsidRPr="0069187B">
              <w:rPr>
                <w:rStyle w:val="font01"/>
                <w:rFonts w:ascii="Times New Roman" w:hAnsi="Times New Roman" w:cs="Times New Roman" w:hint="default"/>
                <w:lang w:bidi="ar"/>
              </w:rPr>
              <w:t>类</w:t>
            </w:r>
            <w:r w:rsidRPr="0069187B">
              <w:rPr>
                <w:rFonts w:ascii="Times New Roman" w:eastAsia="方正仿宋_GBK" w:hAnsi="Times New Roman" w:cs="Times New Roman"/>
                <w:color w:val="000000"/>
                <w:kern w:val="0"/>
                <w:sz w:val="24"/>
                <w:szCs w:val="24"/>
                <w:lang w:bidi="ar"/>
              </w:rPr>
              <w:t>α-</w:t>
            </w:r>
            <w:r w:rsidRPr="0069187B">
              <w:rPr>
                <w:rStyle w:val="font01"/>
                <w:rFonts w:ascii="Times New Roman" w:hAnsi="Times New Roman" w:cs="Times New Roman" w:hint="default"/>
                <w:lang w:bidi="ar"/>
              </w:rPr>
              <w:t>葡萄糖苷酶抑制剂的设计、合成与降糖活性研究</w:t>
            </w:r>
          </w:p>
        </w:tc>
        <w:tc>
          <w:tcPr>
            <w:tcW w:w="2733" w:type="dxa"/>
            <w:tcBorders>
              <w:top w:val="single" w:sz="4" w:space="0" w:color="000000"/>
              <w:left w:val="single" w:sz="4" w:space="0" w:color="000000"/>
              <w:bottom w:val="double" w:sz="4" w:space="0" w:color="000000"/>
              <w:right w:val="sing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江门市大健康国际创新研究院</w:t>
            </w:r>
          </w:p>
        </w:tc>
        <w:tc>
          <w:tcPr>
            <w:tcW w:w="930" w:type="dxa"/>
            <w:tcBorders>
              <w:top w:val="single" w:sz="4" w:space="0" w:color="000000"/>
              <w:left w:val="single" w:sz="4" w:space="0" w:color="000000"/>
              <w:bottom w:val="doub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5</w:t>
            </w:r>
          </w:p>
        </w:tc>
        <w:tc>
          <w:tcPr>
            <w:tcW w:w="920" w:type="dxa"/>
            <w:tcBorders>
              <w:top w:val="single" w:sz="4" w:space="0" w:color="000000"/>
              <w:left w:val="single" w:sz="4" w:space="0" w:color="000000"/>
              <w:bottom w:val="doub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1.5</w:t>
            </w:r>
          </w:p>
        </w:tc>
        <w:tc>
          <w:tcPr>
            <w:tcW w:w="1020" w:type="dxa"/>
            <w:tcBorders>
              <w:top w:val="single" w:sz="4" w:space="0" w:color="000000"/>
              <w:left w:val="single" w:sz="4" w:space="0" w:color="000000"/>
              <w:bottom w:val="double" w:sz="4" w:space="0" w:color="000000"/>
              <w:right w:val="single" w:sz="4" w:space="0" w:color="000000"/>
            </w:tcBorders>
            <w:shd w:val="clear" w:color="auto" w:fill="auto"/>
            <w:noWrap/>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Fonts w:ascii="Times New Roman" w:eastAsia="方正仿宋_GBK" w:hAnsi="Times New Roman" w:cs="Times New Roman"/>
                <w:color w:val="000000"/>
                <w:kern w:val="0"/>
                <w:sz w:val="24"/>
                <w:szCs w:val="24"/>
                <w:lang w:bidi="ar"/>
              </w:rPr>
              <w:t>3.5</w:t>
            </w:r>
          </w:p>
        </w:tc>
        <w:tc>
          <w:tcPr>
            <w:tcW w:w="940" w:type="dxa"/>
            <w:tcBorders>
              <w:top w:val="single" w:sz="4" w:space="0" w:color="000000"/>
              <w:left w:val="single" w:sz="4" w:space="0" w:color="000000"/>
              <w:bottom w:val="double" w:sz="4" w:space="0" w:color="000000"/>
              <w:right w:val="double" w:sz="4" w:space="0" w:color="000000"/>
            </w:tcBorders>
            <w:shd w:val="clear" w:color="auto" w:fill="auto"/>
            <w:tcMar>
              <w:top w:w="15" w:type="dxa"/>
              <w:left w:w="15" w:type="dxa"/>
              <w:right w:w="15" w:type="dxa"/>
            </w:tcMar>
            <w:vAlign w:val="center"/>
          </w:tcPr>
          <w:p w:rsidR="002476AA" w:rsidRPr="0069187B" w:rsidRDefault="00B76825">
            <w:pPr>
              <w:widowControl/>
              <w:spacing w:line="320" w:lineRule="exact"/>
              <w:jc w:val="center"/>
              <w:textAlignment w:val="center"/>
              <w:rPr>
                <w:rFonts w:ascii="Times New Roman" w:eastAsia="方正仿宋_GBK" w:hAnsi="Times New Roman" w:cs="Times New Roman"/>
                <w:color w:val="000000"/>
                <w:sz w:val="24"/>
                <w:szCs w:val="24"/>
              </w:rPr>
            </w:pPr>
            <w:r w:rsidRPr="0069187B">
              <w:rPr>
                <w:rStyle w:val="font01"/>
                <w:rFonts w:ascii="Times New Roman" w:hAnsi="Times New Roman" w:cs="Times New Roman" w:hint="default"/>
                <w:lang w:bidi="ar"/>
              </w:rPr>
              <w:t>江海</w:t>
            </w:r>
          </w:p>
        </w:tc>
      </w:tr>
    </w:tbl>
    <w:p w:rsidR="002476AA" w:rsidRPr="0069187B" w:rsidRDefault="002476AA">
      <w:pPr>
        <w:rPr>
          <w:rFonts w:ascii="Times New Roman" w:hAnsi="Times New Roman" w:cs="Times New Roman"/>
        </w:rPr>
      </w:pPr>
    </w:p>
    <w:sectPr w:rsidR="002476AA" w:rsidRPr="0069187B">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B36" w:rsidRDefault="00637B36" w:rsidP="002B7203">
      <w:r>
        <w:separator/>
      </w:r>
    </w:p>
  </w:endnote>
  <w:endnote w:type="continuationSeparator" w:id="0">
    <w:p w:rsidR="00637B36" w:rsidRDefault="00637B36" w:rsidP="002B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B36" w:rsidRDefault="00637B36" w:rsidP="002B7203">
      <w:r>
        <w:separator/>
      </w:r>
    </w:p>
  </w:footnote>
  <w:footnote w:type="continuationSeparator" w:id="0">
    <w:p w:rsidR="00637B36" w:rsidRDefault="00637B36" w:rsidP="002B7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005"/>
    <w:rsid w:val="002476AA"/>
    <w:rsid w:val="002B7203"/>
    <w:rsid w:val="004B5E80"/>
    <w:rsid w:val="00553005"/>
    <w:rsid w:val="00637B36"/>
    <w:rsid w:val="0069187B"/>
    <w:rsid w:val="009261E6"/>
    <w:rsid w:val="00B76825"/>
    <w:rsid w:val="00BD0B10"/>
    <w:rsid w:val="00E7160C"/>
    <w:rsid w:val="01217D25"/>
    <w:rsid w:val="0D71591A"/>
    <w:rsid w:val="39BD5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81">
    <w:name w:val="font81"/>
    <w:basedOn w:val="a0"/>
    <w:qFormat/>
    <w:rPr>
      <w:rFonts w:ascii="方正仿宋_GBK" w:eastAsia="方正仿宋_GBK" w:hint="eastAsia"/>
      <w:b/>
      <w:bCs/>
      <w:color w:val="000000"/>
      <w:sz w:val="24"/>
      <w:szCs w:val="24"/>
      <w:u w:val="none"/>
    </w:rPr>
  </w:style>
  <w:style w:type="character" w:customStyle="1" w:styleId="font11">
    <w:name w:val="font11"/>
    <w:basedOn w:val="a0"/>
    <w:qFormat/>
    <w:rPr>
      <w:rFonts w:ascii="Times New Roman" w:hAnsi="Times New Roman" w:cs="Times New Roman" w:hint="default"/>
      <w:b/>
      <w:bCs/>
      <w:color w:val="000000"/>
      <w:sz w:val="24"/>
      <w:szCs w:val="24"/>
      <w:u w:val="none"/>
    </w:rPr>
  </w:style>
  <w:style w:type="character" w:customStyle="1" w:styleId="font31">
    <w:name w:val="font31"/>
    <w:basedOn w:val="a0"/>
    <w:qFormat/>
    <w:rPr>
      <w:rFonts w:ascii="方正仿宋_GBK" w:eastAsia="方正仿宋_GBK" w:hint="eastAsia"/>
      <w:color w:val="000000"/>
      <w:sz w:val="24"/>
      <w:szCs w:val="24"/>
      <w:u w:val="none"/>
    </w:rPr>
  </w:style>
  <w:style w:type="character" w:customStyle="1" w:styleId="font01">
    <w:name w:val="font01"/>
    <w:basedOn w:val="a0"/>
    <w:rPr>
      <w:rFonts w:ascii="方正仿宋_GBK" w:eastAsia="方正仿宋_GBK" w:hAnsi="方正仿宋_GBK" w:cs="方正仿宋_GBK" w:hint="eastAsia"/>
      <w:color w:val="000000"/>
      <w:sz w:val="24"/>
      <w:szCs w:val="24"/>
      <w:u w:val="none"/>
    </w:rPr>
  </w:style>
  <w:style w:type="paragraph" w:styleId="a3">
    <w:name w:val="header"/>
    <w:basedOn w:val="a"/>
    <w:link w:val="Char"/>
    <w:uiPriority w:val="99"/>
    <w:unhideWhenUsed/>
    <w:rsid w:val="002B72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7203"/>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2B7203"/>
    <w:pPr>
      <w:tabs>
        <w:tab w:val="center" w:pos="4153"/>
        <w:tab w:val="right" w:pos="8306"/>
      </w:tabs>
      <w:snapToGrid w:val="0"/>
      <w:jc w:val="left"/>
    </w:pPr>
    <w:rPr>
      <w:sz w:val="18"/>
      <w:szCs w:val="18"/>
    </w:rPr>
  </w:style>
  <w:style w:type="character" w:customStyle="1" w:styleId="Char0">
    <w:name w:val="页脚 Char"/>
    <w:basedOn w:val="a0"/>
    <w:link w:val="a4"/>
    <w:uiPriority w:val="99"/>
    <w:rsid w:val="002B720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81">
    <w:name w:val="font81"/>
    <w:basedOn w:val="a0"/>
    <w:qFormat/>
    <w:rPr>
      <w:rFonts w:ascii="方正仿宋_GBK" w:eastAsia="方正仿宋_GBK" w:hint="eastAsia"/>
      <w:b/>
      <w:bCs/>
      <w:color w:val="000000"/>
      <w:sz w:val="24"/>
      <w:szCs w:val="24"/>
      <w:u w:val="none"/>
    </w:rPr>
  </w:style>
  <w:style w:type="character" w:customStyle="1" w:styleId="font11">
    <w:name w:val="font11"/>
    <w:basedOn w:val="a0"/>
    <w:qFormat/>
    <w:rPr>
      <w:rFonts w:ascii="Times New Roman" w:hAnsi="Times New Roman" w:cs="Times New Roman" w:hint="default"/>
      <w:b/>
      <w:bCs/>
      <w:color w:val="000000"/>
      <w:sz w:val="24"/>
      <w:szCs w:val="24"/>
      <w:u w:val="none"/>
    </w:rPr>
  </w:style>
  <w:style w:type="character" w:customStyle="1" w:styleId="font31">
    <w:name w:val="font31"/>
    <w:basedOn w:val="a0"/>
    <w:qFormat/>
    <w:rPr>
      <w:rFonts w:ascii="方正仿宋_GBK" w:eastAsia="方正仿宋_GBK" w:hint="eastAsia"/>
      <w:color w:val="000000"/>
      <w:sz w:val="24"/>
      <w:szCs w:val="24"/>
      <w:u w:val="none"/>
    </w:rPr>
  </w:style>
  <w:style w:type="character" w:customStyle="1" w:styleId="font01">
    <w:name w:val="font01"/>
    <w:basedOn w:val="a0"/>
    <w:rPr>
      <w:rFonts w:ascii="方正仿宋_GBK" w:eastAsia="方正仿宋_GBK" w:hAnsi="方正仿宋_GBK" w:cs="方正仿宋_GBK" w:hint="eastAsia"/>
      <w:color w:val="000000"/>
      <w:sz w:val="24"/>
      <w:szCs w:val="24"/>
      <w:u w:val="none"/>
    </w:rPr>
  </w:style>
  <w:style w:type="paragraph" w:styleId="a3">
    <w:name w:val="header"/>
    <w:basedOn w:val="a"/>
    <w:link w:val="Char"/>
    <w:uiPriority w:val="99"/>
    <w:unhideWhenUsed/>
    <w:rsid w:val="002B72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7203"/>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2B7203"/>
    <w:pPr>
      <w:tabs>
        <w:tab w:val="center" w:pos="4153"/>
        <w:tab w:val="right" w:pos="8306"/>
      </w:tabs>
      <w:snapToGrid w:val="0"/>
      <w:jc w:val="left"/>
    </w:pPr>
    <w:rPr>
      <w:sz w:val="18"/>
      <w:szCs w:val="18"/>
    </w:rPr>
  </w:style>
  <w:style w:type="character" w:customStyle="1" w:styleId="Char0">
    <w:name w:val="页脚 Char"/>
    <w:basedOn w:val="a0"/>
    <w:link w:val="a4"/>
    <w:uiPriority w:val="99"/>
    <w:rsid w:val="002B72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1049</Characters>
  <Application>Microsoft Office Word</Application>
  <DocSecurity>0</DocSecurity>
  <Lines>8</Lines>
  <Paragraphs>2</Paragraphs>
  <ScaleCrop>false</ScaleCrop>
  <Company>Chinese ORG</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林惠明</dc:creator>
  <cp:lastModifiedBy>林惠明</cp:lastModifiedBy>
  <cp:revision>4</cp:revision>
  <dcterms:created xsi:type="dcterms:W3CDTF">2024-06-28T07:15:00Z</dcterms:created>
  <dcterms:modified xsi:type="dcterms:W3CDTF">2024-06-28T07:32:00Z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