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44"/>
          <w:szCs w:val="44"/>
          <w:lang w:bidi="ar"/>
        </w:rPr>
      </w:pPr>
    </w:p>
    <w:p>
      <w:pPr>
        <w:jc w:val="center"/>
        <w:rPr>
          <w:rFonts w:ascii="宋体" w:hAnsi="宋体" w:cs="宋体"/>
          <w:b/>
          <w:sz w:val="44"/>
          <w:szCs w:val="44"/>
          <w:lang w:bidi="ar"/>
        </w:rPr>
      </w:pPr>
      <w:r>
        <w:rPr>
          <w:rFonts w:hint="eastAsia" w:ascii="宋体" w:hAnsi="宋体" w:cs="宋体"/>
          <w:b/>
          <w:sz w:val="44"/>
          <w:szCs w:val="44"/>
          <w:lang w:bidi="ar"/>
        </w:rPr>
        <w:t>项目绩效自评报告</w:t>
      </w: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项目名称：法治政府建设工作经费</w:t>
      </w: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市级预算部门：（公章）</w:t>
      </w:r>
    </w:p>
    <w:p>
      <w:pPr>
        <w:rPr>
          <w:rFonts w:hint="eastAsia" w:ascii="仿宋_GB2312" w:hAnsi="宋体" w:eastAsia="仿宋_GB2312" w:cs="宋体"/>
          <w:sz w:val="32"/>
          <w:szCs w:val="32"/>
          <w:lang w:eastAsia="zh-CN" w:bidi="ar"/>
        </w:rPr>
      </w:pPr>
      <w:r>
        <w:rPr>
          <w:rFonts w:hint="eastAsia" w:ascii="仿宋_GB2312" w:hAnsi="宋体" w:eastAsia="仿宋_GB2312" w:cs="宋体"/>
          <w:sz w:val="32"/>
          <w:szCs w:val="32"/>
          <w:lang w:bidi="ar"/>
        </w:rPr>
        <w:t>填报人姓名：</w:t>
      </w:r>
      <w:r>
        <w:rPr>
          <w:rFonts w:hint="eastAsia" w:ascii="仿宋_GB2312" w:hAnsi="宋体" w:eastAsia="仿宋_GB2312" w:cs="宋体"/>
          <w:sz w:val="32"/>
          <w:szCs w:val="32"/>
          <w:lang w:eastAsia="zh-CN" w:bidi="ar"/>
        </w:rPr>
        <w:t>陈志成</w:t>
      </w: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联系电话：3887823</w:t>
      </w:r>
    </w:p>
    <w:p>
      <w:pPr>
        <w:rPr>
          <w:rFonts w:hint="default" w:ascii="仿宋_GB2312" w:hAnsi="宋体" w:eastAsia="仿宋_GB2312" w:cs="宋体"/>
          <w:sz w:val="32"/>
          <w:szCs w:val="32"/>
          <w:lang w:val="en-US" w:bidi="ar"/>
        </w:rPr>
      </w:pPr>
      <w:r>
        <w:rPr>
          <w:rFonts w:hint="eastAsia" w:ascii="仿宋_GB2312" w:hAnsi="宋体" w:eastAsia="仿宋_GB2312" w:cs="宋体"/>
          <w:sz w:val="32"/>
          <w:szCs w:val="32"/>
          <w:lang w:bidi="ar"/>
        </w:rPr>
        <w:t>填报日期：202</w:t>
      </w:r>
      <w:r>
        <w:rPr>
          <w:rFonts w:hint="default" w:ascii="仿宋_GB2312" w:hAnsi="宋体" w:eastAsia="仿宋_GB2312" w:cs="宋体"/>
          <w:sz w:val="32"/>
          <w:szCs w:val="32"/>
          <w:lang w:val="en-US" w:bidi="ar"/>
        </w:rPr>
        <w:t>4</w:t>
      </w:r>
      <w:r>
        <w:rPr>
          <w:rFonts w:hint="eastAsia" w:ascii="仿宋_GB2312" w:hAnsi="宋体" w:eastAsia="仿宋_GB2312" w:cs="宋体"/>
          <w:sz w:val="32"/>
          <w:szCs w:val="32"/>
          <w:lang w:bidi="ar"/>
        </w:rPr>
        <w:t>.</w:t>
      </w:r>
      <w:r>
        <w:rPr>
          <w:rFonts w:hint="default" w:ascii="仿宋_GB2312" w:hAnsi="宋体" w:eastAsia="仿宋_GB2312" w:cs="宋体"/>
          <w:sz w:val="32"/>
          <w:szCs w:val="32"/>
          <w:lang w:val="en-US" w:bidi="ar"/>
        </w:rPr>
        <w:t>5</w:t>
      </w:r>
      <w:r>
        <w:rPr>
          <w:rFonts w:hint="eastAsia" w:ascii="仿宋_GB2312" w:hAnsi="宋体" w:eastAsia="仿宋_GB2312" w:cs="宋体"/>
          <w:sz w:val="32"/>
          <w:szCs w:val="32"/>
          <w:lang w:bidi="ar"/>
        </w:rPr>
        <w:t>.</w:t>
      </w:r>
      <w:r>
        <w:rPr>
          <w:rFonts w:hint="default" w:ascii="仿宋_GB2312" w:hAnsi="宋体" w:eastAsia="仿宋_GB2312" w:cs="宋体"/>
          <w:sz w:val="32"/>
          <w:szCs w:val="32"/>
          <w:lang w:val="en-US" w:bidi="ar"/>
        </w:rPr>
        <w:t>8</w:t>
      </w:r>
    </w:p>
    <w:p>
      <w:pPr>
        <w:jc w:val="center"/>
        <w:rPr>
          <w:rFonts w:ascii="仿宋_GB2312" w:eastAsia="仿宋_GB2312"/>
          <w:sz w:val="32"/>
          <w:szCs w:val="32"/>
        </w:rPr>
      </w:pPr>
    </w:p>
    <w:p/>
    <w:p/>
    <w:p/>
    <w:p/>
    <w:p/>
    <w:p/>
    <w:p/>
    <w:p/>
    <w:p/>
    <w:p/>
    <w:p>
      <w:pPr>
        <w:ind w:firstLine="643" w:firstLineChars="200"/>
        <w:outlineLvl w:val="0"/>
        <w:rPr>
          <w:rFonts w:ascii="仿宋_GB2312" w:hAnsi="Calibri" w:eastAsia="仿宋_GB2312" w:cs="仿宋_GB2312"/>
          <w:b/>
          <w:sz w:val="32"/>
          <w:szCs w:val="32"/>
          <w:lang w:bidi="ar"/>
        </w:rPr>
      </w:pPr>
    </w:p>
    <w:p>
      <w:pPr>
        <w:ind w:firstLine="643" w:firstLineChars="200"/>
        <w:outlineLvl w:val="0"/>
        <w:rPr>
          <w:rFonts w:ascii="仿宋_GB2312" w:eastAsia="仿宋_GB2312" w:cs="仿宋_GB2312"/>
          <w:b/>
          <w:sz w:val="32"/>
          <w:szCs w:val="32"/>
        </w:rPr>
      </w:pPr>
      <w:r>
        <w:rPr>
          <w:rFonts w:hint="eastAsia" w:ascii="仿宋_GB2312" w:hAnsi="Calibri" w:eastAsia="仿宋_GB2312" w:cs="仿宋_GB2312"/>
          <w:b/>
          <w:sz w:val="32"/>
          <w:szCs w:val="32"/>
          <w:lang w:bidi="ar"/>
        </w:rPr>
        <w:t>一、</w:t>
      </w:r>
      <w:r>
        <w:rPr>
          <w:rFonts w:hint="eastAsia" w:ascii="仿宋_GB2312" w:eastAsia="仿宋_GB2312" w:cs="仿宋_GB2312"/>
          <w:b/>
          <w:sz w:val="32"/>
          <w:szCs w:val="32"/>
          <w:lang w:bidi="ar"/>
        </w:rPr>
        <w:t>项目概况</w:t>
      </w:r>
    </w:p>
    <w:p>
      <w:pPr>
        <w:ind w:firstLine="643" w:firstLineChars="200"/>
        <w:outlineLvl w:val="0"/>
        <w:rPr>
          <w:rFonts w:ascii="仿宋_GB2312" w:hAnsi="宋体" w:eastAsia="仿宋_GB2312"/>
          <w:b/>
          <w:bCs/>
          <w:sz w:val="32"/>
          <w:szCs w:val="32"/>
        </w:rPr>
      </w:pPr>
      <w:r>
        <w:rPr>
          <w:rFonts w:hint="eastAsia" w:ascii="仿宋_GB2312" w:hAnsi="仿宋_GB2312" w:eastAsia="仿宋_GB2312" w:cs="仿宋_GB2312"/>
          <w:b/>
          <w:bCs/>
          <w:kern w:val="0"/>
          <w:sz w:val="32"/>
          <w:szCs w:val="32"/>
        </w:rPr>
        <w:t>（一）项目立项背景和依据</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根据江门市司法局三定方案的职责为项目的立项背景依据，包括：</w:t>
      </w:r>
      <w:r>
        <w:rPr>
          <w:rFonts w:hint="eastAsia" w:ascii="仿宋_GB2312" w:hAnsi="宋体" w:eastAsia="仿宋_GB2312"/>
          <w:sz w:val="32"/>
          <w:szCs w:val="32"/>
        </w:rPr>
        <w:t>统筹规划立法工作的责任。协调有关方面提出立法规划和年度立法工作计划的建议，负责跟踪了解各部门对立法工作计划的落实情况，加强组织协调和督促指导，研究提出立法与改革部署相衔接的意见、措施。负责面向社会征集市地方性法规和市政府规章制定项目建议。负责起草或者组织起草有关市地方性法规和市政府规章草案。承办各部门报送市政府的市地方性法规、市政府规章草案，负责立法协调。承办市政府规章的备案、解释、立法后评估和全市行政机关规范性文件的监督、指导工作。负责市政府规范性文件草案的合法性审核，承办市政府规范性文件的合法性审查和各市（区）政府规范性文件的备案审查。负责协调各市（区）、各部门实施市政府规章中的有关争议和问题。承办市政府规章的清理、编纂工作。组织开展市政府规范性文件的全面清理工作。承担统筹推进法治政府建设的责任。办理向市政府申请的行政复议、行政赔偿案件，代理市政府的行政应诉事务，指导、监督全市行政复议、行政应诉和行政赔偿工作。负责市政府法律顾问事务，指导市政府各部门和下级政府的法律顾问工作</w:t>
      </w:r>
      <w:r>
        <w:rPr>
          <w:rFonts w:hint="eastAsia" w:ascii="仿宋_GB2312" w:hAnsi="仿宋_GB2312" w:eastAsia="仿宋_GB2312" w:cs="仿宋_GB2312"/>
          <w:kern w:val="0"/>
          <w:sz w:val="32"/>
          <w:szCs w:val="32"/>
        </w:rPr>
        <w:t>等。</w:t>
      </w:r>
    </w:p>
    <w:p>
      <w:pPr>
        <w:ind w:firstLine="643" w:firstLineChars="200"/>
        <w:outlineLvl w:val="0"/>
        <w:rPr>
          <w:rFonts w:ascii="仿宋_GB2312" w:hAnsi="Calibri" w:eastAsia="仿宋_GB2312" w:cs="仿宋_GB2312"/>
          <w:sz w:val="32"/>
          <w:szCs w:val="32"/>
          <w:lang w:bidi="ar"/>
        </w:rPr>
      </w:pPr>
      <w:r>
        <w:rPr>
          <w:rFonts w:hint="eastAsia" w:ascii="仿宋_GB2312" w:eastAsia="仿宋_GB2312"/>
          <w:b/>
          <w:bCs/>
          <w:sz w:val="32"/>
        </w:rPr>
        <w:t>（二）</w:t>
      </w:r>
      <w:r>
        <w:rPr>
          <w:rFonts w:hint="eastAsia" w:ascii="仿宋_GB2312" w:hAnsi="仿宋_GB2312" w:eastAsia="仿宋_GB2312" w:cs="仿宋_GB2312"/>
          <w:b/>
          <w:bCs/>
          <w:kern w:val="0"/>
          <w:sz w:val="32"/>
          <w:szCs w:val="32"/>
        </w:rPr>
        <w:t>项目完成情况</w:t>
      </w:r>
    </w:p>
    <w:p>
      <w:pPr>
        <w:ind w:firstLine="680" w:firstLineChars="200"/>
        <w:outlineLvl w:val="0"/>
        <w:rPr>
          <w:rFonts w:ascii="仿宋_GB2312" w:hAnsi="Calibri" w:eastAsia="仿宋_GB2312" w:cs="仿宋_GB2312"/>
          <w:sz w:val="32"/>
          <w:szCs w:val="32"/>
          <w:lang w:bidi="ar"/>
        </w:rPr>
      </w:pPr>
      <w:r>
        <w:rPr>
          <w:rFonts w:hint="eastAsia" w:ascii="仿宋" w:hAnsi="仿宋" w:eastAsia="仿宋"/>
          <w:sz w:val="34"/>
          <w:szCs w:val="34"/>
        </w:rPr>
        <w:t>2023年，我局在市委、市政府的坚强领导下，坚持以习近平新时代中国特色社会主义思想为指导，全面贯彻落实党的二十大精神，深入贯彻落实习近平法治思想，坚决贯彻落实习近平总书记对广东重要讲话和重要指示批示精神，聚焦省委“1+1+9”工作部署和市委“1+6+3”工作安排，立足司法行政“一个统筹、四大职能”工作布局，推动法治建设与市委、市政府中心工作同频共振，以法治护航发展、保障改革、滋润民心，为我市在新时代实现高质量发展提供坚强法治保障</w:t>
      </w:r>
      <w:r>
        <w:rPr>
          <w:rFonts w:hint="eastAsia" w:ascii="仿宋_GB2312" w:hAnsi="Calibri" w:eastAsia="仿宋_GB2312" w:cs="仿宋_GB2312"/>
          <w:sz w:val="32"/>
          <w:szCs w:val="32"/>
          <w:lang w:bidi="ar"/>
        </w:rPr>
        <w:t>。</w:t>
      </w:r>
    </w:p>
    <w:p>
      <w:pPr>
        <w:ind w:firstLine="643" w:firstLineChars="200"/>
        <w:outlineLvl w:val="0"/>
        <w:rPr>
          <w:rFonts w:ascii="仿宋_GB2312" w:eastAsia="仿宋_GB2312"/>
          <w:b/>
          <w:bCs/>
          <w:sz w:val="32"/>
        </w:rPr>
      </w:pPr>
      <w:r>
        <w:rPr>
          <w:rFonts w:hint="eastAsia" w:ascii="仿宋_GB2312" w:eastAsia="仿宋_GB2312"/>
          <w:b/>
          <w:bCs/>
          <w:sz w:val="32"/>
        </w:rPr>
        <w:t>二、项目组织实施情况</w:t>
      </w:r>
    </w:p>
    <w:p>
      <w:pPr>
        <w:ind w:firstLine="643" w:firstLineChars="200"/>
        <w:rPr>
          <w:rFonts w:ascii="仿宋_GB2312" w:eastAsia="仿宋_GB2312"/>
          <w:b/>
          <w:bCs/>
          <w:sz w:val="32"/>
        </w:rPr>
      </w:pPr>
      <w:r>
        <w:rPr>
          <w:rFonts w:hint="eastAsia" w:ascii="仿宋_GB2312" w:eastAsia="仿宋_GB2312"/>
          <w:b/>
          <w:bCs/>
          <w:sz w:val="32"/>
        </w:rPr>
        <w:t>（一）投入。</w:t>
      </w:r>
    </w:p>
    <w:p>
      <w:pPr>
        <w:ind w:firstLine="640" w:firstLineChars="200"/>
        <w:rPr>
          <w:rFonts w:ascii="仿宋_GB2312" w:hAnsi="宋体" w:eastAsia="仿宋_GB2312"/>
          <w:sz w:val="32"/>
          <w:szCs w:val="32"/>
        </w:rPr>
      </w:pPr>
      <w:r>
        <w:rPr>
          <w:rFonts w:hint="eastAsia" w:ascii="仿宋_GB2312" w:eastAsia="仿宋_GB2312"/>
          <w:sz w:val="32"/>
        </w:rPr>
        <w:t>2023年度部门预算安排财政资金</w:t>
      </w:r>
      <w:r>
        <w:rPr>
          <w:rFonts w:hint="default" w:ascii="仿宋_GB2312" w:eastAsia="仿宋_GB2312"/>
          <w:sz w:val="32"/>
          <w:lang w:val="en-US"/>
        </w:rPr>
        <w:t>164</w:t>
      </w:r>
      <w:r>
        <w:rPr>
          <w:rFonts w:hint="eastAsia" w:ascii="仿宋_GB2312" w:eastAsia="仿宋_GB2312"/>
          <w:sz w:val="32"/>
        </w:rPr>
        <w:t>万元。</w:t>
      </w:r>
      <w:r>
        <w:rPr>
          <w:rFonts w:hint="eastAsia" w:ascii="仿宋_GB2312" w:hAnsi="宋体" w:eastAsia="仿宋_GB2312"/>
          <w:sz w:val="32"/>
          <w:szCs w:val="32"/>
        </w:rPr>
        <w:t>结合本部门工作职责工作任务，设置了能体现该项工作实现程度的、规范完整的，可细化量化的绩效目标。预算编制时对项目进行绩效目标申报，绩效指标明确合理，与资金规模和支出方向匹配，并经财政部门审核通过。</w:t>
      </w:r>
    </w:p>
    <w:p>
      <w:pPr>
        <w:ind w:firstLine="643" w:firstLineChars="200"/>
        <w:rPr>
          <w:rFonts w:ascii="仿宋_GB2312" w:eastAsia="仿宋_GB2312"/>
          <w:b/>
          <w:bCs/>
          <w:sz w:val="32"/>
        </w:rPr>
      </w:pPr>
      <w:r>
        <w:rPr>
          <w:rFonts w:hint="eastAsia" w:ascii="仿宋_GB2312" w:eastAsia="仿宋_GB2312"/>
          <w:b/>
          <w:bCs/>
          <w:sz w:val="32"/>
        </w:rPr>
        <w:t>（二）过程。</w:t>
      </w:r>
    </w:p>
    <w:p>
      <w:pPr>
        <w:ind w:firstLine="640" w:firstLineChars="200"/>
        <w:rPr>
          <w:rFonts w:ascii="仿宋_GB2312" w:hAnsi="宋体" w:eastAsia="仿宋_GB2312"/>
          <w:sz w:val="32"/>
          <w:szCs w:val="32"/>
        </w:rPr>
      </w:pPr>
      <w:r>
        <w:rPr>
          <w:rFonts w:hint="eastAsia" w:ascii="仿宋_GB2312" w:hAnsi="宋体" w:eastAsia="仿宋_GB2312"/>
          <w:sz w:val="32"/>
          <w:szCs w:val="32"/>
          <w:lang w:val="zh-CN"/>
        </w:rPr>
        <w:t>根据年初确定的项目绩效指标，强化措施，扎实工作，全面完成了各项工作任务，各项绩效指标大多数完成或超额完成。根据工作开展实际情况，全年度</w:t>
      </w:r>
      <w:r>
        <w:rPr>
          <w:rFonts w:hint="eastAsia" w:ascii="仿宋_GB2312" w:eastAsia="仿宋_GB2312"/>
          <w:sz w:val="32"/>
        </w:rPr>
        <w:t>实际支出</w:t>
      </w:r>
      <w:r>
        <w:rPr>
          <w:rFonts w:hint="default" w:ascii="仿宋_GB2312" w:eastAsia="仿宋_GB2312"/>
          <w:sz w:val="32"/>
          <w:lang w:val="en-US"/>
        </w:rPr>
        <w:t>93.79</w:t>
      </w:r>
      <w:r>
        <w:rPr>
          <w:rFonts w:hint="eastAsia" w:ascii="仿宋_GB2312" w:eastAsia="仿宋_GB2312"/>
          <w:sz w:val="32"/>
        </w:rPr>
        <w:t>万元</w:t>
      </w:r>
      <w:r>
        <w:rPr>
          <w:rFonts w:hint="eastAsia" w:ascii="仿宋_GB2312" w:hAnsi="宋体" w:eastAsia="仿宋_GB2312"/>
          <w:sz w:val="32"/>
          <w:szCs w:val="32"/>
          <w:lang w:val="zh-CN"/>
        </w:rPr>
        <w:t>，预算支出完成率</w:t>
      </w:r>
      <w:r>
        <w:rPr>
          <w:rFonts w:hint="default" w:ascii="仿宋_GB2312" w:hAnsi="宋体" w:eastAsia="仿宋_GB2312"/>
          <w:sz w:val="32"/>
          <w:szCs w:val="32"/>
          <w:lang w:val="en-US"/>
        </w:rPr>
        <w:t>57.19</w:t>
      </w:r>
      <w:r>
        <w:rPr>
          <w:rFonts w:hint="eastAsia" w:ascii="仿宋_GB2312" w:hAnsi="宋体" w:eastAsia="仿宋_GB2312"/>
          <w:sz w:val="32"/>
          <w:szCs w:val="32"/>
          <w:lang w:val="zh-CN"/>
        </w:rPr>
        <w:t>%。本项目</w:t>
      </w:r>
      <w:r>
        <w:rPr>
          <w:rFonts w:hint="eastAsia" w:ascii="仿宋_GB2312" w:hAnsi="宋体" w:eastAsia="仿宋_GB2312"/>
          <w:sz w:val="32"/>
          <w:szCs w:val="32"/>
        </w:rPr>
        <w:t>所有支出均按规定履行审批手续，资金使用规范，专款专用。严格执行《江门市司法局机关财务管理规定》、《江门市司法局重大经济会商管理办法》、《政府采购管理规定》等财务管理制度，并严格执行相关制度。资金使用过程中涉及调整的，能按规定履行调整报批手续。不存在超范围、超标准支出、虚列，截留，挤占、挪用资金等情况。在专项资金执行过程中，对专项资金项目绩效目标实现程度和预算执行进度进行监管，提高专项资金使用效率。</w:t>
      </w:r>
    </w:p>
    <w:p>
      <w:pPr>
        <w:pStyle w:val="7"/>
        <w:shd w:val="clear" w:color="auto" w:fill="FFFFFF"/>
        <w:spacing w:before="0" w:beforeAutospacing="0" w:after="0" w:afterAutospacing="0" w:line="576" w:lineRule="atLeast"/>
        <w:ind w:firstLine="640"/>
        <w:jc w:val="both"/>
        <w:rPr>
          <w:rFonts w:ascii="仿宋_GB2312" w:hAnsi="仿宋_GB2312" w:eastAsia="仿宋_GB2312" w:cs="仿宋_GB2312"/>
          <w:sz w:val="32"/>
          <w:szCs w:val="32"/>
        </w:rPr>
      </w:pPr>
      <w:r>
        <w:rPr>
          <w:rFonts w:hint="eastAsia" w:ascii="仿宋_GB2312" w:eastAsia="仿宋_GB2312"/>
          <w:b/>
          <w:bCs/>
          <w:sz w:val="32"/>
        </w:rPr>
        <w:t>（三）管理。</w:t>
      </w:r>
    </w:p>
    <w:p>
      <w:pPr>
        <w:pStyle w:val="7"/>
        <w:shd w:val="clear" w:color="auto" w:fill="FFFFFF"/>
        <w:spacing w:before="0" w:beforeAutospacing="0" w:after="0" w:afterAutospacing="0" w:line="576" w:lineRule="atLeast"/>
        <w:ind w:firstLine="640" w:firstLineChars="200"/>
        <w:jc w:val="both"/>
        <w:rPr>
          <w:rFonts w:ascii="仿宋" w:hAnsi="仿宋" w:eastAsia="仿宋" w:cs="Calibri"/>
          <w:color w:val="333333"/>
          <w:sz w:val="32"/>
          <w:szCs w:val="32"/>
        </w:rPr>
      </w:pPr>
      <w:r>
        <w:rPr>
          <w:rFonts w:hint="eastAsia" w:ascii="仿宋_GB2312" w:hAnsi="仿宋_GB2312" w:eastAsia="仿宋_GB2312" w:cs="仿宋_GB2312"/>
          <w:sz w:val="32"/>
          <w:szCs w:val="32"/>
        </w:rPr>
        <w:t>2023年，我局严格按照财政部门预算绩效管理工作要求，开展预算绩效编制和评价等工作，顺利完成预算项目绩效管理工作。</w:t>
      </w:r>
      <w:r>
        <w:rPr>
          <w:rFonts w:hint="eastAsia" w:ascii="仿宋" w:hAnsi="仿宋" w:eastAsia="仿宋" w:cs="Calibri"/>
          <w:color w:val="333333"/>
          <w:sz w:val="32"/>
          <w:szCs w:val="32"/>
        </w:rPr>
        <w:t>一是落实事前绩效评估工作。为进一步提升我局预算编制的质量，我局在预算编制期间开展了内部预算项目事前绩效评估工作，确定报送项目名称、内容、开支金额等内容。二是落实绩效目标管理工作。在编制</w:t>
      </w:r>
      <w:r>
        <w:rPr>
          <w:rFonts w:ascii="Times New Roman" w:hAnsi="Times New Roman" w:cs="Times New Roman"/>
          <w:color w:val="333333"/>
          <w:sz w:val="32"/>
          <w:szCs w:val="32"/>
        </w:rPr>
        <w:t>2023</w:t>
      </w:r>
      <w:r>
        <w:rPr>
          <w:rFonts w:hint="eastAsia" w:ascii="仿宋" w:hAnsi="仿宋" w:eastAsia="仿宋" w:cs="Calibri"/>
          <w:color w:val="333333"/>
          <w:sz w:val="32"/>
          <w:szCs w:val="32"/>
        </w:rPr>
        <w:t>年预算的期间，进一步将绩效目标内容进行细化量化，完善了相关内容，保障项目的合理性、可行性。</w:t>
      </w:r>
    </w:p>
    <w:p>
      <w:pPr>
        <w:ind w:firstLine="643" w:firstLineChars="200"/>
        <w:outlineLvl w:val="0"/>
        <w:rPr>
          <w:rFonts w:ascii="仿宋_GB2312" w:eastAsia="仿宋_GB2312"/>
          <w:b/>
          <w:bCs/>
          <w:sz w:val="32"/>
        </w:rPr>
      </w:pPr>
      <w:r>
        <w:rPr>
          <w:rFonts w:hint="eastAsia" w:ascii="仿宋_GB2312" w:eastAsia="仿宋_GB2312"/>
          <w:b/>
          <w:bCs/>
          <w:sz w:val="32"/>
        </w:rPr>
        <w:t>三、项目绩效情况</w:t>
      </w:r>
    </w:p>
    <w:p>
      <w:pPr>
        <w:ind w:firstLine="640" w:firstLineChars="200"/>
        <w:outlineLvl w:val="0"/>
        <w:rPr>
          <w:rFonts w:ascii="仿宋_GB2312" w:eastAsia="仿宋_GB2312" w:cs="仿宋_GB2312"/>
          <w:color w:val="FF0000"/>
          <w:sz w:val="32"/>
          <w:szCs w:val="32"/>
        </w:rPr>
      </w:pPr>
      <w:r>
        <w:rPr>
          <w:rFonts w:hint="eastAsia" w:ascii="仿宋_GB2312" w:eastAsia="仿宋_GB2312"/>
          <w:bCs/>
          <w:sz w:val="32"/>
        </w:rPr>
        <w:t>（一）</w:t>
      </w:r>
      <w:r>
        <w:rPr>
          <w:rFonts w:hint="eastAsia" w:ascii="仿宋_GB2312" w:hAnsi="宋体" w:eastAsia="仿宋_GB2312"/>
          <w:sz w:val="32"/>
          <w:szCs w:val="32"/>
        </w:rPr>
        <w:t>立法工作：</w:t>
      </w:r>
      <w:r>
        <w:rPr>
          <w:rFonts w:hint="eastAsia" w:ascii="仿宋_GB2312" w:hAnsi="Calibri" w:eastAsia="仿宋_GB2312" w:cs="仿宋_GB2312"/>
          <w:sz w:val="32"/>
          <w:szCs w:val="32"/>
          <w:lang w:val="en-US" w:eastAsia="zh-CN" w:bidi="ar"/>
        </w:rPr>
        <w:t>2023年，</w:t>
      </w:r>
      <w:r>
        <w:rPr>
          <w:rFonts w:hint="eastAsia" w:ascii="仿宋_GB2312" w:hAnsi="Calibri" w:eastAsia="仿宋_GB2312" w:cs="仿宋_GB2312"/>
          <w:sz w:val="32"/>
          <w:szCs w:val="32"/>
          <w:lang w:eastAsia="zh-CN" w:bidi="ar"/>
        </w:rPr>
        <w:t>顺利完成《江门市人大常委会2023年立法计划》《江门市人民政府2023年度规章制定计划》</w:t>
      </w:r>
      <w:r>
        <w:rPr>
          <w:rFonts w:hint="eastAsia" w:ascii="仿宋_GB2312" w:hAnsi="Calibri" w:eastAsia="仿宋_GB2312" w:cs="仿宋_GB2312"/>
          <w:sz w:val="32"/>
          <w:szCs w:val="32"/>
          <w:lang w:bidi="ar"/>
        </w:rPr>
        <w:t>有关项目</w:t>
      </w:r>
      <w:r>
        <w:rPr>
          <w:rFonts w:hint="eastAsia" w:ascii="仿宋_GB2312" w:hAnsi="Calibri" w:eastAsia="仿宋_GB2312" w:cs="仿宋_GB2312"/>
          <w:sz w:val="32"/>
          <w:szCs w:val="32"/>
          <w:lang w:eastAsia="zh-CN" w:bidi="ar"/>
        </w:rPr>
        <w:t>的</w:t>
      </w:r>
      <w:r>
        <w:rPr>
          <w:rFonts w:hint="eastAsia" w:ascii="仿宋_GB2312" w:hAnsi="Calibri" w:eastAsia="仿宋_GB2312" w:cs="仿宋_GB2312"/>
          <w:sz w:val="32"/>
          <w:szCs w:val="32"/>
          <w:lang w:bidi="ar"/>
        </w:rPr>
        <w:t>起草、调研</w:t>
      </w:r>
      <w:r>
        <w:rPr>
          <w:rFonts w:hint="eastAsia" w:ascii="仿宋_GB2312" w:hAnsi="Calibri" w:eastAsia="仿宋_GB2312" w:cs="仿宋_GB2312"/>
          <w:sz w:val="32"/>
          <w:szCs w:val="32"/>
          <w:lang w:eastAsia="zh-CN" w:bidi="ar"/>
        </w:rPr>
        <w:t>工作以及</w:t>
      </w:r>
      <w:r>
        <w:rPr>
          <w:rFonts w:hint="eastAsia" w:ascii="仿宋_GB2312" w:hAnsi="Calibri" w:eastAsia="仿宋_GB2312" w:cs="仿宋_GB2312"/>
          <w:sz w:val="32"/>
          <w:szCs w:val="32"/>
          <w:lang w:val="en-US" w:eastAsia="zh-CN" w:bidi="ar"/>
        </w:rPr>
        <w:t>2023年立法建议项目</w:t>
      </w:r>
      <w:r>
        <w:rPr>
          <w:rFonts w:hint="eastAsia" w:ascii="仿宋_GB2312" w:hAnsi="Calibri" w:eastAsia="仿宋_GB2312" w:cs="仿宋_GB2312"/>
          <w:sz w:val="32"/>
          <w:szCs w:val="32"/>
          <w:lang w:bidi="ar"/>
        </w:rPr>
        <w:t>论证</w:t>
      </w:r>
      <w:r>
        <w:rPr>
          <w:rFonts w:hint="eastAsia" w:ascii="仿宋_GB2312" w:hAnsi="Calibri" w:eastAsia="仿宋_GB2312" w:cs="仿宋_GB2312"/>
          <w:sz w:val="32"/>
          <w:szCs w:val="32"/>
          <w:lang w:eastAsia="zh-CN" w:bidi="ar"/>
        </w:rPr>
        <w:t>评估</w:t>
      </w:r>
      <w:r>
        <w:rPr>
          <w:rFonts w:hint="eastAsia" w:ascii="仿宋_GB2312" w:hAnsi="Calibri" w:eastAsia="仿宋_GB2312" w:cs="仿宋_GB2312"/>
          <w:sz w:val="32"/>
          <w:szCs w:val="32"/>
          <w:lang w:bidi="ar"/>
        </w:rPr>
        <w:t>等工作</w:t>
      </w:r>
      <w:r>
        <w:rPr>
          <w:rFonts w:hint="eastAsia" w:ascii="仿宋_GB2312" w:hAnsi="Calibri" w:eastAsia="仿宋_GB2312" w:cs="仿宋_GB2312"/>
          <w:sz w:val="32"/>
          <w:szCs w:val="32"/>
          <w:lang w:eastAsia="zh-CN" w:bidi="ar"/>
        </w:rPr>
        <w:t>。相关部门</w:t>
      </w:r>
      <w:r>
        <w:rPr>
          <w:rFonts w:hint="eastAsia" w:ascii="仿宋_GB2312" w:hAnsi="Calibri" w:eastAsia="仿宋_GB2312" w:cs="仿宋_GB2312"/>
          <w:sz w:val="32"/>
          <w:szCs w:val="32"/>
          <w:lang w:val="en-US" w:eastAsia="zh-CN" w:bidi="ar"/>
        </w:rPr>
        <w:t>委托起草地方性法规2部、委托调研地方性法规1部，工作完成及时率100%，提高社会治理现代化水平，有效推进了法治政府建设</w:t>
      </w:r>
      <w:r>
        <w:rPr>
          <w:rFonts w:hint="eastAsia" w:ascii="仿宋_GB2312" w:hAnsi="Calibri" w:eastAsia="仿宋_GB2312" w:cs="仿宋_GB2312"/>
          <w:sz w:val="32"/>
          <w:szCs w:val="32"/>
          <w:lang w:eastAsia="zh-CN" w:bidi="ar"/>
        </w:rPr>
        <w:t>。</w:t>
      </w:r>
    </w:p>
    <w:p>
      <w:pPr>
        <w:ind w:firstLine="640" w:firstLineChars="200"/>
        <w:rPr>
          <w:rFonts w:hint="eastAsia" w:ascii="仿宋_GB2312" w:hAnsi="宋体" w:eastAsia="仿宋_GB2312" w:cs="Times New Roman"/>
          <w:sz w:val="32"/>
          <w:szCs w:val="32"/>
          <w:lang w:val="en-US" w:eastAsia="zh-CN"/>
        </w:rPr>
      </w:pPr>
      <w:r>
        <w:rPr>
          <w:rFonts w:hint="eastAsia" w:ascii="仿宋_GB2312" w:eastAsia="仿宋_GB2312"/>
          <w:bCs/>
          <w:sz w:val="32"/>
        </w:rPr>
        <w:t>（二）</w:t>
      </w:r>
      <w:r>
        <w:rPr>
          <w:rFonts w:hint="eastAsia" w:ascii="仿宋_GB2312" w:hAnsi="宋体" w:eastAsia="仿宋_GB2312" w:cs="Times New Roman"/>
          <w:sz w:val="32"/>
          <w:szCs w:val="32"/>
          <w:lang w:val="en-US" w:eastAsia="zh-CN"/>
        </w:rPr>
        <w:t>规范性文件审核工作：全年共审核（审查）市级规范性文件66件，其中政府规范性文件11件、部门规范性文件55件，审查各县（市、区）报备的政府规范性文件36件。开展规范性文件全面清理，在梳理189件市级政府规范性文件、237件市级部门规范性文件基础上，按不同情况对223件文件提出废止、明确有效期等清理意见，经市政府审议后发布《江门市人民政府关于部分市政府规范性文件予以废止和明确实施期限的决定》。统筹推进全市证明事项告知承诺制工作，按省统一部署，将60个涉及公安、人力资源和社会保障、司法、卫生、农业农村等领域的证明事项纳入告知承诺制范围，向社会公开市、县两级推行证明事项告知承诺制清单，截止2023年12月31日，已办理相关业务约17万件，进一步方便群众、企业办事。</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政府法律顾问工作：当年度聘有市政府法律顾问7名。全年市政府法律顾问共计办件260件，出具意见185份。聘有党政机关统筹使用法律顾问2家，在2022-2023年度党政机关法律顾问统筹使用试点项目中，共办理涉法事务114件，出具书面法律意见111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参加会议2次，开展讲座1场次。有效防范化解法律事务风险、推进法治政府建设。</w:t>
      </w:r>
    </w:p>
    <w:p>
      <w:pPr>
        <w:ind w:firstLine="640" w:firstLineChars="200"/>
        <w:outlineLvl w:val="0"/>
        <w:rPr>
          <w:rFonts w:hint="eastAsia" w:ascii="仿宋_GB2312" w:hAnsi="Calibri" w:eastAsia="仿宋_GB2312" w:cs="仿宋_GB2312"/>
          <w:color w:val="000000"/>
          <w:sz w:val="32"/>
          <w:szCs w:val="32"/>
          <w:lang w:bidi="ar"/>
        </w:rPr>
      </w:pPr>
      <w:r>
        <w:rPr>
          <w:rFonts w:hint="eastAsia" w:ascii="仿宋_GB2312" w:eastAsia="仿宋_GB2312"/>
          <w:bCs/>
          <w:sz w:val="32"/>
        </w:rPr>
        <w:t>（四）</w:t>
      </w:r>
      <w:r>
        <w:rPr>
          <w:rFonts w:hint="eastAsia" w:ascii="仿宋" w:hAnsi="仿宋" w:eastAsia="仿宋"/>
          <w:sz w:val="32"/>
          <w:szCs w:val="32"/>
          <w:shd w:val="clear" w:color="auto" w:fill="FFFFFF"/>
        </w:rPr>
        <w:t>行政复议工作：</w:t>
      </w:r>
      <w:r>
        <w:rPr>
          <w:rFonts w:hint="eastAsia" w:ascii="仿宋_GB2312" w:hAnsi="Calibri" w:eastAsia="仿宋_GB2312" w:cs="仿宋_GB2312"/>
          <w:color w:val="000000"/>
          <w:sz w:val="32"/>
          <w:szCs w:val="32"/>
          <w:lang w:bidi="ar"/>
        </w:rPr>
        <w:t>2023年市本级共新收行政复议案件190件，不予受理25件，告知16件，另行处理的8件，转送1件，逾期未提交补正材料而不予处理的5件。立案受理的135件行政复议案件中，已审结129件（撤销1件，驳回2件，维持84件，终止3件，确认违法4件，调解结案34件）。</w:t>
      </w:r>
    </w:p>
    <w:p>
      <w:pPr>
        <w:ind w:firstLine="640" w:firstLineChars="200"/>
        <w:outlineLvl w:val="0"/>
        <w:rPr>
          <w:rFonts w:hint="default" w:ascii="仿宋_GB2312" w:hAnsi="Calibri" w:eastAsia="仿宋_GB2312" w:cs="仿宋_GB2312"/>
          <w:color w:val="000000"/>
          <w:sz w:val="32"/>
          <w:szCs w:val="32"/>
          <w:lang w:bidi="ar"/>
        </w:rPr>
      </w:pPr>
      <w:r>
        <w:rPr>
          <w:rFonts w:hint="default" w:ascii="仿宋_GB2312" w:eastAsia="仿宋_GB2312" w:cs="仿宋_GB2312"/>
          <w:color w:val="000000"/>
          <w:sz w:val="32"/>
          <w:szCs w:val="32"/>
          <w:lang w:bidi="ar"/>
        </w:rPr>
        <w:t xml:space="preserve"> </w:t>
      </w:r>
      <w:r>
        <w:rPr>
          <w:rFonts w:hint="eastAsia" w:ascii="仿宋_GB2312" w:eastAsia="仿宋_GB2312" w:cs="仿宋_GB2312"/>
          <w:color w:val="000000"/>
          <w:sz w:val="32"/>
          <w:szCs w:val="32"/>
          <w:lang w:bidi="ar"/>
        </w:rPr>
        <w:t>产出指标分析</w:t>
      </w:r>
      <w:r>
        <w:rPr>
          <w:rFonts w:hint="eastAsia" w:ascii="仿宋_GB2312" w:hAnsi="Calibri"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lang w:val="en-US" w:eastAsia="zh-CN"/>
        </w:rPr>
        <w:t>年度，市本级复议机关主要完成了</w:t>
      </w:r>
      <w:r>
        <w:rPr>
          <w:rFonts w:hint="default" w:ascii="仿宋_GB2312" w:hAnsi="仿宋_GB2312" w:eastAsia="仿宋_GB2312" w:cs="仿宋_GB2312"/>
          <w:color w:val="000000"/>
          <w:sz w:val="32"/>
          <w:szCs w:val="32"/>
          <w:lang w:eastAsia="zh-CN"/>
        </w:rPr>
        <w:t>190件</w:t>
      </w:r>
      <w:r>
        <w:rPr>
          <w:rFonts w:hint="eastAsia" w:ascii="仿宋_GB2312" w:hAnsi="仿宋_GB2312" w:eastAsia="仿宋_GB2312" w:cs="仿宋_GB2312"/>
          <w:color w:val="000000"/>
          <w:sz w:val="32"/>
          <w:szCs w:val="32"/>
          <w:lang w:val="en-US" w:eastAsia="zh-CN"/>
        </w:rPr>
        <w:t>复议案件的受理和审查，以及承办由此产生的应诉案件，实现了预期质量标准和水平，符合预期进度时效。</w:t>
      </w:r>
      <w:r>
        <w:rPr>
          <w:rFonts w:hint="eastAsia" w:ascii="Times New Roman" w:hAnsi="Times New Roman" w:eastAsia="仿宋_GB2312"/>
          <w:snapToGrid w:val="0"/>
          <w:color w:val="000000"/>
          <w:kern w:val="0"/>
          <w:sz w:val="32"/>
          <w:lang w:val="en-US" w:eastAsia="zh-CN"/>
        </w:rPr>
        <w:t>印发《江门市行政复议调解工作规定》，制定办案细则，规范调解程序，完善行政复议调解制度</w:t>
      </w:r>
      <w:r>
        <w:rPr>
          <w:rFonts w:hint="default" w:ascii="Times New Roman" w:hAnsi="Times New Roman" w:eastAsia="仿宋_GB2312"/>
          <w:snapToGrid w:val="0"/>
          <w:color w:val="000000"/>
          <w:kern w:val="0"/>
          <w:sz w:val="32"/>
          <w:lang w:eastAsia="zh-CN"/>
        </w:rPr>
        <w:t>，</w:t>
      </w:r>
      <w:r>
        <w:rPr>
          <w:rFonts w:hint="eastAsia" w:ascii="Times New Roman" w:hAnsi="Times New Roman" w:eastAsia="仿宋_GB2312" w:cs="Times New Roman"/>
          <w:color w:val="000000"/>
          <w:sz w:val="32"/>
          <w:szCs w:val="32"/>
          <w:lang w:eastAsia="zh-CN"/>
        </w:rPr>
        <w:t>坚持把</w:t>
      </w:r>
      <w:r>
        <w:rPr>
          <w:rFonts w:hint="default" w:ascii="Times New Roman" w:hAnsi="Times New Roman" w:eastAsia="仿宋_GB2312" w:cs="Times New Roman"/>
          <w:color w:val="000000"/>
          <w:sz w:val="32"/>
          <w:szCs w:val="32"/>
        </w:rPr>
        <w:t>非诉讼纠纷解决机制挺在前面，深入推进行政争议的源头治理</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2023年，市本级</w:t>
      </w:r>
      <w:r>
        <w:rPr>
          <w:rFonts w:hint="default" w:ascii="Times New Roman" w:hAnsi="Times New Roman" w:eastAsia="仿宋_GB2312" w:cs="Times New Roman"/>
          <w:color w:val="000000"/>
          <w:sz w:val="32"/>
          <w:szCs w:val="32"/>
          <w:lang w:eastAsia="zh-CN"/>
        </w:rPr>
        <w:t>以</w:t>
      </w:r>
      <w:r>
        <w:rPr>
          <w:rFonts w:hint="eastAsia" w:ascii="Times New Roman" w:hAnsi="Times New Roman" w:eastAsia="仿宋_GB2312" w:cs="Times New Roman"/>
          <w:color w:val="000000"/>
          <w:sz w:val="32"/>
          <w:szCs w:val="32"/>
          <w:lang w:val="en-US" w:eastAsia="zh-CN"/>
        </w:rPr>
        <w:t>和解、调解</w:t>
      </w:r>
      <w:r>
        <w:rPr>
          <w:rFonts w:hint="default" w:ascii="Times New Roman" w:hAnsi="Times New Roman" w:eastAsia="仿宋_GB2312" w:cs="Times New Roman"/>
          <w:color w:val="000000"/>
          <w:sz w:val="32"/>
          <w:szCs w:val="32"/>
          <w:lang w:eastAsia="zh-CN"/>
        </w:rPr>
        <w:t>、撤回方式解决纠纷的案件47宗，多元化解决调撤率34.81%。其中</w:t>
      </w:r>
      <w:r>
        <w:rPr>
          <w:rFonts w:hint="eastAsia" w:ascii="Times New Roman" w:hAnsi="Times New Roman" w:eastAsia="仿宋_GB2312" w:cs="Times New Roman"/>
          <w:color w:val="000000"/>
          <w:sz w:val="32"/>
          <w:szCs w:val="32"/>
          <w:lang w:val="en-US" w:eastAsia="zh-CN"/>
        </w:rPr>
        <w:t>以和解、调解方式结案3</w:t>
      </w:r>
      <w:r>
        <w:rPr>
          <w:rFonts w:hint="default" w:ascii="Times New Roman" w:hAnsi="Times New Roman" w:eastAsia="仿宋_GB2312" w:cs="Times New Roman"/>
          <w:color w:val="000000"/>
          <w:sz w:val="32"/>
          <w:szCs w:val="32"/>
          <w:lang w:eastAsia="zh-CN"/>
        </w:rPr>
        <w:t>4</w:t>
      </w:r>
      <w:r>
        <w:rPr>
          <w:rFonts w:hint="eastAsia" w:ascii="Times New Roman" w:hAnsi="Times New Roman" w:eastAsia="仿宋_GB2312" w:cs="Times New Roman"/>
          <w:color w:val="000000"/>
          <w:sz w:val="32"/>
          <w:szCs w:val="32"/>
          <w:lang w:val="en-US" w:eastAsia="zh-CN"/>
        </w:rPr>
        <w:t>宗</w:t>
      </w:r>
      <w:r>
        <w:rPr>
          <w:rFonts w:hint="default" w:ascii="Times New Roman" w:hAnsi="Times New Roman" w:eastAsia="仿宋_GB2312" w:cs="Times New Roman"/>
          <w:color w:val="000000"/>
          <w:sz w:val="32"/>
          <w:szCs w:val="32"/>
          <w:lang w:eastAsia="zh-CN"/>
        </w:rPr>
        <w:t>，直接调解率25.8%；</w:t>
      </w:r>
      <w:r>
        <w:rPr>
          <w:rFonts w:hint="eastAsia" w:ascii="Times New Roman" w:hAnsi="Times New Roman" w:eastAsia="仿宋_GB2312" w:cs="Times New Roman"/>
          <w:snapToGrid w:val="0"/>
          <w:color w:val="000000"/>
          <w:kern w:val="0"/>
          <w:sz w:val="32"/>
          <w:lang w:val="en-US" w:eastAsia="zh-CN"/>
        </w:rPr>
        <w:t>落实行政复议决定抄告制度，对变更、撤销、确认违法的行政复议决定书专函抄告上级行政机关。2023年，复议机关专函抄告复议文书</w:t>
      </w:r>
      <w:r>
        <w:rPr>
          <w:rFonts w:hint="default" w:ascii="Times New Roman" w:hAnsi="Times New Roman" w:eastAsia="仿宋_GB2312" w:cs="Times New Roman"/>
          <w:snapToGrid w:val="0"/>
          <w:color w:val="000000"/>
          <w:kern w:val="0"/>
          <w:sz w:val="32"/>
          <w:lang w:eastAsia="zh-CN"/>
        </w:rPr>
        <w:t>16</w:t>
      </w:r>
      <w:r>
        <w:rPr>
          <w:rFonts w:hint="eastAsia" w:ascii="Times New Roman" w:hAnsi="Times New Roman" w:eastAsia="仿宋_GB2312" w:cs="Times New Roman"/>
          <w:snapToGrid w:val="0"/>
          <w:color w:val="000000"/>
          <w:kern w:val="0"/>
          <w:sz w:val="32"/>
          <w:lang w:val="en-US" w:eastAsia="zh-CN"/>
        </w:rPr>
        <w:t>份</w:t>
      </w:r>
      <w:r>
        <w:rPr>
          <w:rFonts w:hint="default" w:ascii="Times New Roman" w:hAnsi="Times New Roman" w:eastAsia="仿宋_GB2312" w:cs="Times New Roman"/>
          <w:snapToGrid w:val="0"/>
          <w:color w:val="000000"/>
          <w:kern w:val="0"/>
          <w:sz w:val="32"/>
          <w:lang w:eastAsia="zh-CN"/>
        </w:rPr>
        <w:t>。</w:t>
      </w:r>
    </w:p>
    <w:p>
      <w:pPr>
        <w:ind w:firstLine="640" w:firstLineChars="200"/>
        <w:rPr>
          <w:rFonts w:ascii="Calibri" w:hAnsi="Calibri"/>
          <w:szCs w:val="24"/>
        </w:rPr>
      </w:pPr>
      <w:r>
        <w:rPr>
          <w:rFonts w:hint="eastAsia" w:ascii="仿宋_GB2312" w:eastAsia="仿宋_GB2312" w:cs="仿宋_GB2312"/>
          <w:color w:val="000000"/>
          <w:sz w:val="32"/>
          <w:szCs w:val="32"/>
          <w:lang w:bidi="ar"/>
        </w:rPr>
        <w:t>效果指标</w:t>
      </w:r>
      <w:r>
        <w:rPr>
          <w:rFonts w:hint="eastAsia" w:ascii="仿宋_GB2312" w:hAnsi="Calibri" w:eastAsia="仿宋_GB2312" w:cs="仿宋_GB2312"/>
          <w:color w:val="000000"/>
          <w:sz w:val="32"/>
          <w:szCs w:val="32"/>
          <w:lang w:bidi="ar"/>
        </w:rPr>
        <w:t>分析。</w:t>
      </w:r>
      <w:r>
        <w:rPr>
          <w:rFonts w:eastAsia="仿宋_GB2312"/>
          <w:snapToGrid w:val="0"/>
          <w:color w:val="000000"/>
          <w:kern w:val="0"/>
          <w:sz w:val="32"/>
          <w:lang w:eastAsia="zh-Hans"/>
        </w:rPr>
        <w:t>202</w:t>
      </w:r>
      <w:r>
        <w:rPr>
          <w:rFonts w:hint="default" w:eastAsia="仿宋_GB2312"/>
          <w:snapToGrid w:val="0"/>
          <w:color w:val="000000"/>
          <w:kern w:val="0"/>
          <w:sz w:val="32"/>
          <w:lang w:eastAsia="zh-Hans"/>
        </w:rPr>
        <w:t>3</w:t>
      </w:r>
      <w:r>
        <w:rPr>
          <w:rFonts w:hint="eastAsia" w:eastAsia="仿宋_GB2312"/>
          <w:snapToGrid w:val="0"/>
          <w:color w:val="000000"/>
          <w:kern w:val="0"/>
          <w:sz w:val="32"/>
          <w:lang w:eastAsia="zh-Hans"/>
        </w:rPr>
        <w:t>年</w:t>
      </w:r>
      <w:r>
        <w:rPr>
          <w:rFonts w:eastAsia="仿宋_GB2312"/>
          <w:snapToGrid w:val="0"/>
          <w:color w:val="000000"/>
          <w:kern w:val="0"/>
          <w:sz w:val="32"/>
          <w:lang w:eastAsia="zh-Hans"/>
        </w:rPr>
        <w:t>，</w:t>
      </w:r>
      <w:r>
        <w:rPr>
          <w:rFonts w:hint="eastAsia" w:eastAsia="仿宋_GB2312"/>
          <w:snapToGrid w:val="0"/>
          <w:color w:val="000000"/>
          <w:kern w:val="0"/>
          <w:sz w:val="32"/>
          <w:lang w:eastAsia="zh-CN"/>
        </w:rPr>
        <w:t>我市</w:t>
      </w:r>
      <w:r>
        <w:rPr>
          <w:rFonts w:hint="eastAsia" w:eastAsia="仿宋_GB2312"/>
          <w:snapToGrid w:val="0"/>
          <w:color w:val="000000"/>
          <w:kern w:val="0"/>
          <w:sz w:val="32"/>
        </w:rPr>
        <w:t>行政复议机关</w:t>
      </w:r>
      <w:r>
        <w:rPr>
          <w:rFonts w:eastAsia="仿宋_GB2312"/>
          <w:snapToGrid w:val="0"/>
          <w:color w:val="000000"/>
          <w:kern w:val="0"/>
          <w:sz w:val="32"/>
          <w:lang w:eastAsia="zh-Hans"/>
        </w:rPr>
        <w:t>持续推</w:t>
      </w:r>
      <w:r>
        <w:rPr>
          <w:rFonts w:hint="eastAsia" w:eastAsia="仿宋_GB2312"/>
          <w:snapToGrid w:val="0"/>
          <w:color w:val="000000"/>
          <w:kern w:val="0"/>
          <w:sz w:val="32"/>
        </w:rPr>
        <w:t>动</w:t>
      </w:r>
      <w:r>
        <w:rPr>
          <w:rFonts w:eastAsia="仿宋_GB2312"/>
          <w:snapToGrid w:val="0"/>
          <w:color w:val="000000"/>
          <w:kern w:val="0"/>
          <w:sz w:val="32"/>
          <w:lang w:eastAsia="zh-Hans"/>
        </w:rPr>
        <w:t>行政复议体制改革走深走实，坚持</w:t>
      </w:r>
      <w:r>
        <w:rPr>
          <w:rFonts w:hint="eastAsia" w:eastAsia="仿宋_GB2312"/>
          <w:snapToGrid w:val="0"/>
          <w:color w:val="000000"/>
          <w:kern w:val="0"/>
          <w:sz w:val="32"/>
          <w:lang w:eastAsia="zh-Hans"/>
        </w:rPr>
        <w:t>“</w:t>
      </w:r>
      <w:r>
        <w:rPr>
          <w:rFonts w:eastAsia="仿宋_GB2312"/>
          <w:snapToGrid w:val="0"/>
          <w:color w:val="000000"/>
          <w:kern w:val="0"/>
          <w:sz w:val="32"/>
          <w:lang w:eastAsia="zh-Hans"/>
        </w:rPr>
        <w:t>公正高效、便民为民</w:t>
      </w:r>
      <w:r>
        <w:rPr>
          <w:rFonts w:hint="eastAsia" w:eastAsia="仿宋_GB2312"/>
          <w:snapToGrid w:val="0"/>
          <w:color w:val="000000"/>
          <w:kern w:val="0"/>
          <w:sz w:val="32"/>
          <w:lang w:eastAsia="zh-Hans"/>
        </w:rPr>
        <w:t>”</w:t>
      </w:r>
      <w:r>
        <w:rPr>
          <w:rFonts w:eastAsia="仿宋_GB2312"/>
          <w:snapToGrid w:val="0"/>
          <w:color w:val="000000"/>
          <w:kern w:val="0"/>
          <w:sz w:val="32"/>
          <w:lang w:eastAsia="zh-Hans"/>
        </w:rPr>
        <w:t>的工作理念，充分发挥行政复议化解行政争议的主渠道作用，有力保障人民群众合法权益，有效监督行政机关依法行政，为推进法治江门建设、促进社会和谐稳定提供法治保障。一</w:t>
      </w:r>
      <w:r>
        <w:rPr>
          <w:rFonts w:hint="eastAsia" w:ascii="Times New Roman" w:hAnsi="Times New Roman" w:eastAsia="仿宋_GB2312" w:cs="Times New Roman"/>
          <w:b/>
          <w:bCs/>
          <w:snapToGrid w:val="0"/>
          <w:color w:val="000000"/>
          <w:kern w:val="0"/>
          <w:sz w:val="32"/>
          <w:lang w:val="en-US" w:eastAsia="zh-CN"/>
        </w:rPr>
        <w:t>是加强复议执法监督。</w:t>
      </w:r>
      <w:r>
        <w:rPr>
          <w:rFonts w:hint="eastAsia" w:ascii="FangSong_GB2312" w:hAnsi="FangSong_GB2312" w:eastAsia="FangSong_GB2312" w:cs="Times New Roman"/>
          <w:color w:val="000000"/>
          <w:sz w:val="32"/>
          <w:lang w:val="en-US" w:eastAsia="zh-CN"/>
        </w:rPr>
        <w:t>针对行政机关的不合法行政行为，通过制发行政复议意见书、建议书，</w:t>
      </w:r>
      <w:r>
        <w:rPr>
          <w:rFonts w:hint="eastAsia" w:ascii="Times New Roman" w:hAnsi="Times New Roman" w:eastAsia="仿宋_GB2312" w:cs="Times New Roman"/>
          <w:snapToGrid w:val="0"/>
          <w:color w:val="000000"/>
          <w:kern w:val="0"/>
          <w:sz w:val="32"/>
          <w:lang w:val="en-US" w:eastAsia="zh-CN"/>
        </w:rPr>
        <w:t>要求行政机关及时整改。2023年，复议机关累计发出复议意见书12份，建议书5份，收到整改反馈意见12份，有效推进行政执法规范化、法治化。</w:t>
      </w:r>
      <w:r>
        <w:rPr>
          <w:rFonts w:hint="default" w:ascii="Times New Roman" w:hAnsi="Times New Roman" w:eastAsia="仿宋_GB2312" w:cs="Times New Roman"/>
          <w:b/>
          <w:bCs/>
          <w:snapToGrid w:val="0"/>
          <w:color w:val="000000"/>
          <w:kern w:val="0"/>
          <w:sz w:val="32"/>
          <w:lang w:eastAsia="zh-CN"/>
        </w:rPr>
        <w:t>二</w:t>
      </w:r>
      <w:r>
        <w:rPr>
          <w:rFonts w:hint="eastAsia" w:ascii="Times New Roman" w:hAnsi="Times New Roman" w:eastAsia="仿宋_GB2312" w:cs="Times New Roman"/>
          <w:b/>
          <w:bCs/>
          <w:snapToGrid w:val="0"/>
          <w:color w:val="000000"/>
          <w:kern w:val="0"/>
          <w:sz w:val="32"/>
          <w:lang w:val="en-US" w:eastAsia="zh-CN"/>
        </w:rPr>
        <w:t>是完善行政执法程序。</w:t>
      </w:r>
      <w:r>
        <w:rPr>
          <w:rFonts w:hint="eastAsia" w:ascii="Times New Roman" w:hAnsi="Times New Roman" w:eastAsia="仿宋_GB2312" w:cs="Times New Roman"/>
          <w:b w:val="0"/>
          <w:bCs w:val="0"/>
          <w:snapToGrid w:val="0"/>
          <w:color w:val="000000"/>
          <w:kern w:val="0"/>
          <w:sz w:val="32"/>
          <w:lang w:val="en-US" w:eastAsia="zh-CN"/>
        </w:rPr>
        <w:t>结合行政复议机关、司法机关和专项整治工作中发现的问题，</w:t>
      </w:r>
      <w:r>
        <w:rPr>
          <w:rFonts w:hint="default" w:ascii="Times New Roman" w:hAnsi="Times New Roman" w:eastAsia="仿宋_GB2312" w:cs="Times New Roman"/>
          <w:b w:val="0"/>
          <w:bCs w:val="0"/>
          <w:snapToGrid w:val="0"/>
          <w:color w:val="000000"/>
          <w:kern w:val="0"/>
          <w:sz w:val="32"/>
          <w:lang w:eastAsia="zh-CN"/>
        </w:rPr>
        <w:t>协助</w:t>
      </w:r>
      <w:r>
        <w:rPr>
          <w:rFonts w:hint="eastAsia" w:ascii="Times New Roman" w:hAnsi="Times New Roman" w:eastAsia="仿宋_GB2312" w:cs="Times New Roman"/>
          <w:snapToGrid w:val="0"/>
          <w:color w:val="000000"/>
          <w:kern w:val="0"/>
          <w:sz w:val="32"/>
          <w:lang w:val="en-US" w:eastAsia="zh-CN"/>
        </w:rPr>
        <w:t>市公安局根据交通事故现场执法风险点，研究出台《疑难交通事故案件研究和事故复核规范》《高速公路交通事故地点记录指引》</w:t>
      </w:r>
      <w:r>
        <w:rPr>
          <w:rFonts w:hint="default" w:ascii="Times New Roman" w:hAnsi="Times New Roman" w:eastAsia="仿宋_GB2312" w:cs="Times New Roman"/>
          <w:snapToGrid w:val="0"/>
          <w:color w:val="000000"/>
          <w:kern w:val="0"/>
          <w:sz w:val="32"/>
          <w:lang w:eastAsia="zh-CN"/>
        </w:rPr>
        <w:t>，协助</w:t>
      </w:r>
      <w:r>
        <w:rPr>
          <w:rFonts w:hint="eastAsia" w:ascii="仿宋_GB2312" w:hAnsi="仿宋_GB2312" w:eastAsia="仿宋_GB2312" w:cs="仿宋_GB2312"/>
          <w:color w:val="000000"/>
          <w:sz w:val="32"/>
          <w:szCs w:val="32"/>
          <w:lang w:eastAsia="zh-CN"/>
        </w:rPr>
        <w:t>交通运输部门联合公安等其他六部门修订《江门市网络预约出租汽车经营服务管理实施细则》，完善执法监督检查、非现场执法监测点建设、法律文书管理等规范。</w:t>
      </w:r>
      <w:r>
        <w:rPr>
          <w:rFonts w:hint="default"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lang w:eastAsia="zh-CN"/>
        </w:rPr>
        <w:t>是加强执法能力建设。</w:t>
      </w:r>
      <w:r>
        <w:rPr>
          <w:rFonts w:hint="eastAsia" w:ascii="Times New Roman" w:hAnsi="Times New Roman" w:eastAsia="仿宋_GB2312" w:cs="Times New Roman"/>
          <w:b w:val="0"/>
          <w:bCs w:val="0"/>
          <w:snapToGrid w:val="0"/>
          <w:color w:val="000000"/>
          <w:kern w:val="0"/>
          <w:sz w:val="32"/>
          <w:lang w:val="en-US" w:eastAsia="zh-CN"/>
        </w:rPr>
        <w:t>持续加强对乡镇（街道）综合行政执法工作的指导和监督，加强基层行政执法业务培训。</w:t>
      </w:r>
      <w:r>
        <w:rPr>
          <w:rFonts w:hint="eastAsia" w:ascii="FangSong_GB2312" w:hAnsi="FangSong_GB2312" w:eastAsia="FangSong_GB2312" w:cs="Times New Roman"/>
          <w:color w:val="000000"/>
          <w:sz w:val="32"/>
          <w:lang w:val="en-US" w:eastAsia="zh-CN"/>
        </w:rPr>
        <w:t>江门市复议办举办</w:t>
      </w:r>
      <w:r>
        <w:rPr>
          <w:rFonts w:hint="default" w:ascii="FangSong_GB2312" w:hAnsi="FangSong_GB2312" w:eastAsia="FangSong_GB2312" w:cs="Times New Roman"/>
          <w:color w:val="000000"/>
          <w:sz w:val="32"/>
          <w:lang w:eastAsia="zh-CN"/>
        </w:rPr>
        <w:t>4次</w:t>
      </w:r>
      <w:r>
        <w:rPr>
          <w:rFonts w:hint="eastAsia" w:ascii="FangSong_GB2312" w:hAnsi="FangSong_GB2312" w:eastAsia="FangSong_GB2312" w:cs="Times New Roman"/>
          <w:color w:val="000000"/>
          <w:sz w:val="32"/>
          <w:lang w:val="en-US" w:eastAsia="zh-CN"/>
        </w:rPr>
        <w:t>行政复议开放日活动，邀请市直机关执法部门工作人员、复议委员会委员观摩听证。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FangSong_GB2312" w:hAnsi="FangSong_GB2312" w:eastAsia="FangSong_GB2312" w:cs="Times New Roman"/>
          <w:color w:val="000000"/>
          <w:sz w:val="32"/>
          <w:lang w:eastAsia="zh-CN"/>
        </w:rPr>
      </w:pPr>
      <w:r>
        <w:rPr>
          <w:rFonts w:hint="eastAsia" w:ascii="仿宋_GB2312" w:hAnsi="仿宋_GB2312" w:eastAsia="仿宋_GB2312" w:cs="仿宋_GB2312"/>
          <w:color w:val="000000"/>
          <w:sz w:val="32"/>
          <w:szCs w:val="32"/>
        </w:rPr>
        <w:t>（五）行政应诉工作：</w:t>
      </w:r>
      <w:r>
        <w:rPr>
          <w:rFonts w:hint="eastAsia" w:ascii="Times New Roman" w:hAnsi="Times New Roman" w:eastAsia="仿宋_GB2312" w:cs="Times New Roman"/>
          <w:color w:val="000000"/>
          <w:kern w:val="2"/>
          <w:sz w:val="32"/>
          <w:szCs w:val="32"/>
          <w:lang w:eastAsia="zh-CN" w:bidi="ar-SA"/>
        </w:rPr>
        <w:t>202</w:t>
      </w:r>
      <w:r>
        <w:rPr>
          <w:rFonts w:hint="eastAsia" w:ascii="Times New Roman" w:hAnsi="Times New Roman" w:eastAsia="仿宋_GB2312" w:cs="Times New Roman"/>
          <w:color w:val="000000"/>
          <w:kern w:val="2"/>
          <w:sz w:val="32"/>
          <w:szCs w:val="32"/>
          <w:lang w:val="en-US" w:eastAsia="zh-CN" w:bidi="ar-SA"/>
        </w:rPr>
        <w:t>3</w:t>
      </w:r>
      <w:r>
        <w:rPr>
          <w:rFonts w:hint="eastAsia" w:ascii="Times New Roman" w:hAnsi="Times New Roman" w:eastAsia="仿宋_GB2312" w:cs="Times New Roman"/>
          <w:color w:val="000000"/>
          <w:kern w:val="2"/>
          <w:sz w:val="32"/>
          <w:szCs w:val="32"/>
          <w:lang w:eastAsia="zh-CN" w:bidi="ar-SA"/>
        </w:rPr>
        <w:t>年，我市审结的一审行政应诉案件共计</w:t>
      </w:r>
      <w:r>
        <w:rPr>
          <w:rFonts w:hint="eastAsia" w:ascii="Times New Roman" w:hAnsi="Times New Roman" w:eastAsia="仿宋_GB2312" w:cs="Times New Roman"/>
          <w:color w:val="000000"/>
          <w:kern w:val="2"/>
          <w:sz w:val="32"/>
          <w:szCs w:val="32"/>
          <w:lang w:val="en-US" w:eastAsia="zh-CN" w:bidi="ar-SA"/>
        </w:rPr>
        <w:t>897</w:t>
      </w:r>
      <w:r>
        <w:rPr>
          <w:rFonts w:hint="default" w:ascii="Times New Roman" w:hAnsi="Times New Roman" w:eastAsia="仿宋_GB2312" w:cs="Times New Roman"/>
          <w:color w:val="000000"/>
          <w:kern w:val="2"/>
          <w:sz w:val="32"/>
          <w:szCs w:val="32"/>
          <w:lang w:eastAsia="zh-CN" w:bidi="ar-SA"/>
        </w:rPr>
        <w:t>宗</w:t>
      </w:r>
      <w:r>
        <w:rPr>
          <w:rFonts w:hint="eastAsia" w:ascii="Times New Roman" w:hAnsi="Times New Roman" w:eastAsia="仿宋_GB2312" w:cs="Times New Roman"/>
          <w:color w:val="000000"/>
          <w:kern w:val="2"/>
          <w:sz w:val="32"/>
          <w:szCs w:val="32"/>
          <w:lang w:eastAsia="zh-CN" w:bidi="ar-SA"/>
        </w:rPr>
        <w:t>（含结转</w:t>
      </w:r>
      <w:r>
        <w:rPr>
          <w:rFonts w:hint="eastAsia" w:ascii="Times New Roman" w:hAnsi="Times New Roman" w:eastAsia="仿宋_GB2312" w:cs="Times New Roman"/>
          <w:color w:val="000000"/>
          <w:kern w:val="2"/>
          <w:sz w:val="32"/>
          <w:szCs w:val="32"/>
          <w:lang w:val="en-US" w:eastAsia="zh-CN" w:bidi="ar-SA"/>
        </w:rPr>
        <w:t>201宗</w:t>
      </w:r>
      <w:r>
        <w:rPr>
          <w:rFonts w:hint="eastAsia" w:ascii="Times New Roman" w:hAnsi="Times New Roman" w:eastAsia="仿宋_GB2312" w:cs="Times New Roman"/>
          <w:color w:val="000000"/>
          <w:kern w:val="2"/>
          <w:sz w:val="32"/>
          <w:szCs w:val="32"/>
          <w:lang w:eastAsia="zh-CN" w:bidi="ar-SA"/>
        </w:rPr>
        <w:t>），包括驳回诉讼请求</w:t>
      </w:r>
      <w:r>
        <w:rPr>
          <w:rFonts w:hint="eastAsia" w:ascii="Times New Roman" w:hAnsi="Times New Roman" w:eastAsia="仿宋_GB2312" w:cs="Times New Roman"/>
          <w:color w:val="000000"/>
          <w:kern w:val="2"/>
          <w:sz w:val="32"/>
          <w:szCs w:val="32"/>
          <w:lang w:val="en-US" w:eastAsia="zh-CN" w:bidi="ar-SA"/>
        </w:rPr>
        <w:t xml:space="preserve"> 522</w:t>
      </w:r>
      <w:r>
        <w:rPr>
          <w:rFonts w:hint="default" w:ascii="Times New Roman" w:hAnsi="Times New Roman" w:eastAsia="仿宋_GB2312" w:cs="Times New Roman"/>
          <w:color w:val="000000"/>
          <w:kern w:val="2"/>
          <w:sz w:val="32"/>
          <w:szCs w:val="32"/>
          <w:lang w:eastAsia="zh-CN" w:bidi="ar-SA"/>
        </w:rPr>
        <w:t>宗</w:t>
      </w:r>
      <w:r>
        <w:rPr>
          <w:rFonts w:hint="eastAsia" w:ascii="Times New Roman" w:hAnsi="Times New Roman" w:eastAsia="仿宋_GB2312" w:cs="Times New Roman"/>
          <w:color w:val="000000"/>
          <w:kern w:val="2"/>
          <w:sz w:val="32"/>
          <w:szCs w:val="32"/>
          <w:lang w:eastAsia="zh-CN" w:bidi="ar-SA"/>
        </w:rPr>
        <w:t>，占</w:t>
      </w:r>
      <w:r>
        <w:rPr>
          <w:rFonts w:hint="eastAsia" w:ascii="Times New Roman" w:hAnsi="Times New Roman" w:eastAsia="仿宋_GB2312" w:cs="Times New Roman"/>
          <w:color w:val="000000"/>
          <w:kern w:val="2"/>
          <w:sz w:val="32"/>
          <w:szCs w:val="32"/>
          <w:lang w:val="en-US" w:eastAsia="zh-CN" w:bidi="ar-SA"/>
        </w:rPr>
        <w:t xml:space="preserve">58.19% </w:t>
      </w:r>
      <w:r>
        <w:rPr>
          <w:rFonts w:hint="eastAsia" w:ascii="Times New Roman" w:hAnsi="Times New Roman" w:eastAsia="仿宋_GB2312" w:cs="Times New Roman"/>
          <w:color w:val="000000"/>
          <w:kern w:val="2"/>
          <w:sz w:val="32"/>
          <w:szCs w:val="32"/>
          <w:lang w:eastAsia="zh-CN" w:bidi="ar-SA"/>
        </w:rPr>
        <w:t>；裁定（含驳回起诉、撤诉）</w:t>
      </w:r>
      <w:r>
        <w:rPr>
          <w:rFonts w:hint="eastAsia" w:ascii="Times New Roman" w:hAnsi="Times New Roman" w:eastAsia="仿宋_GB2312" w:cs="Times New Roman"/>
          <w:color w:val="000000"/>
          <w:kern w:val="2"/>
          <w:sz w:val="32"/>
          <w:szCs w:val="32"/>
          <w:lang w:val="en-US" w:eastAsia="zh-CN" w:bidi="ar-SA"/>
        </w:rPr>
        <w:t>254宗，占28.31%；</w:t>
      </w:r>
      <w:r>
        <w:rPr>
          <w:rFonts w:hint="eastAsia" w:ascii="Times New Roman" w:hAnsi="Times New Roman" w:eastAsia="仿宋_GB2312" w:cs="Times New Roman"/>
          <w:color w:val="000000"/>
          <w:kern w:val="2"/>
          <w:sz w:val="32"/>
          <w:szCs w:val="32"/>
          <w:lang w:eastAsia="zh-CN" w:bidi="ar-SA"/>
        </w:rPr>
        <w:t>改变行政机关决定（含撤销、确认违法或者无效、变更、期限履行职责等）</w:t>
      </w:r>
      <w:r>
        <w:rPr>
          <w:rFonts w:hint="eastAsia" w:ascii="Times New Roman" w:hAnsi="Times New Roman" w:eastAsia="仿宋_GB2312" w:cs="Times New Roman"/>
          <w:color w:val="000000"/>
          <w:kern w:val="2"/>
          <w:sz w:val="32"/>
          <w:szCs w:val="32"/>
          <w:lang w:val="en-US" w:eastAsia="zh-CN" w:bidi="ar-SA"/>
        </w:rPr>
        <w:t>112</w:t>
      </w:r>
      <w:r>
        <w:rPr>
          <w:rFonts w:hint="default" w:ascii="Times New Roman" w:hAnsi="Times New Roman" w:eastAsia="仿宋_GB2312" w:cs="Times New Roman"/>
          <w:color w:val="000000"/>
          <w:kern w:val="2"/>
          <w:sz w:val="32"/>
          <w:szCs w:val="32"/>
          <w:lang w:eastAsia="zh-CN" w:bidi="ar-SA"/>
        </w:rPr>
        <w:t>宗</w:t>
      </w:r>
      <w:r>
        <w:rPr>
          <w:rFonts w:hint="eastAsia" w:ascii="Times New Roman" w:hAnsi="Times New Roman" w:eastAsia="仿宋_GB2312" w:cs="Times New Roman"/>
          <w:color w:val="000000"/>
          <w:kern w:val="2"/>
          <w:sz w:val="32"/>
          <w:szCs w:val="32"/>
          <w:lang w:eastAsia="zh-CN" w:bidi="ar-SA"/>
        </w:rPr>
        <w:t>，占</w:t>
      </w:r>
      <w:r>
        <w:rPr>
          <w:rFonts w:hint="eastAsia" w:ascii="Times New Roman" w:hAnsi="Times New Roman" w:eastAsia="仿宋_GB2312" w:cs="Times New Roman"/>
          <w:color w:val="000000"/>
          <w:kern w:val="2"/>
          <w:sz w:val="32"/>
          <w:szCs w:val="32"/>
          <w:lang w:val="en-US" w:eastAsia="zh-CN" w:bidi="ar-SA"/>
        </w:rPr>
        <w:t xml:space="preserve">12.48% </w:t>
      </w:r>
      <w:r>
        <w:rPr>
          <w:rFonts w:hint="eastAsia"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eastAsia="zh-CN" w:bidi="ar-SA"/>
        </w:rPr>
        <w:t>调解</w:t>
      </w: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eastAsia="zh-CN" w:bidi="ar-SA"/>
        </w:rPr>
        <w:t>宗，占</w:t>
      </w:r>
      <w:r>
        <w:rPr>
          <w:rFonts w:hint="eastAsia" w:ascii="Times New Roman" w:hAnsi="Times New Roman" w:eastAsia="仿宋_GB2312" w:cs="Times New Roman"/>
          <w:color w:val="000000"/>
          <w:kern w:val="2"/>
          <w:sz w:val="32"/>
          <w:szCs w:val="32"/>
          <w:lang w:val="en-US" w:eastAsia="zh-CN" w:bidi="ar-SA"/>
        </w:rPr>
        <w:t xml:space="preserve">0.44% </w:t>
      </w:r>
      <w:r>
        <w:rPr>
          <w:rFonts w:hint="default" w:ascii="Times New Roman" w:hAnsi="Times New Roman" w:eastAsia="仿宋_GB2312" w:cs="Times New Roman"/>
          <w:color w:val="000000"/>
          <w:kern w:val="2"/>
          <w:sz w:val="32"/>
          <w:szCs w:val="32"/>
          <w:lang w:eastAsia="zh-CN" w:bidi="ar-SA"/>
        </w:rPr>
        <w:t>；驳回赔偿请求</w:t>
      </w: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eastAsia="zh-CN" w:bidi="ar-SA"/>
        </w:rPr>
        <w:t>宗，占</w:t>
      </w:r>
      <w:r>
        <w:rPr>
          <w:rFonts w:hint="eastAsia" w:ascii="Times New Roman" w:hAnsi="Times New Roman" w:eastAsia="仿宋_GB2312" w:cs="Times New Roman"/>
          <w:color w:val="000000"/>
          <w:kern w:val="2"/>
          <w:sz w:val="32"/>
          <w:szCs w:val="32"/>
          <w:lang w:val="en-US" w:eastAsia="zh-CN" w:bidi="ar-SA"/>
        </w:rPr>
        <w:t xml:space="preserve">0.56% </w:t>
      </w:r>
      <w:r>
        <w:rPr>
          <w:rFonts w:hint="eastAsia" w:ascii="Times New Roman" w:hAnsi="Times New Roman" w:eastAsia="仿宋_GB2312" w:cs="Times New Roman"/>
          <w:color w:val="000000"/>
          <w:kern w:val="2"/>
          <w:sz w:val="32"/>
          <w:szCs w:val="32"/>
          <w:lang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b/>
          <w:sz w:val="32"/>
          <w:szCs w:val="32"/>
          <w:lang w:bidi="ar"/>
        </w:rPr>
      </w:pPr>
      <w:r>
        <w:rPr>
          <w:rFonts w:hint="eastAsia" w:ascii="Times New Roman" w:hAnsi="Times New Roman" w:eastAsia="仿宋_GB2312" w:cs="Times New Roman"/>
          <w:color w:val="000000"/>
          <w:kern w:val="2"/>
          <w:sz w:val="32"/>
          <w:szCs w:val="32"/>
          <w:lang w:eastAsia="zh-CN" w:bidi="ar-SA"/>
        </w:rPr>
        <w:t>根据江门市中级人民法院提供的数据，202</w:t>
      </w:r>
      <w:r>
        <w:rPr>
          <w:rFonts w:hint="default" w:ascii="Times New Roman" w:hAnsi="Times New Roman" w:eastAsia="仿宋_GB2312" w:cs="Times New Roman"/>
          <w:color w:val="000000"/>
          <w:kern w:val="2"/>
          <w:sz w:val="32"/>
          <w:szCs w:val="32"/>
          <w:lang w:eastAsia="zh-CN" w:bidi="ar-SA"/>
        </w:rPr>
        <w:t>3</w:t>
      </w:r>
      <w:r>
        <w:rPr>
          <w:rFonts w:hint="eastAsia" w:ascii="Times New Roman" w:hAnsi="Times New Roman" w:eastAsia="仿宋_GB2312" w:cs="Times New Roman"/>
          <w:color w:val="000000"/>
          <w:kern w:val="2"/>
          <w:sz w:val="32"/>
          <w:szCs w:val="32"/>
          <w:lang w:eastAsia="zh-CN" w:bidi="ar-SA"/>
        </w:rPr>
        <w:t>年行政案件开庭数（含一、二审）</w:t>
      </w:r>
      <w:r>
        <w:rPr>
          <w:rFonts w:hint="default" w:ascii="Times New Roman" w:hAnsi="Times New Roman" w:eastAsia="仿宋_GB2312" w:cs="Times New Roman"/>
          <w:color w:val="000000"/>
          <w:kern w:val="2"/>
          <w:sz w:val="32"/>
          <w:szCs w:val="32"/>
          <w:lang w:eastAsia="zh-CN" w:bidi="ar-SA"/>
        </w:rPr>
        <w:t>1169</w:t>
      </w:r>
      <w:r>
        <w:rPr>
          <w:rFonts w:hint="eastAsia" w:ascii="Times New Roman" w:hAnsi="Times New Roman" w:eastAsia="仿宋_GB2312" w:cs="Times New Roman"/>
          <w:color w:val="000000"/>
          <w:kern w:val="2"/>
          <w:sz w:val="32"/>
          <w:szCs w:val="32"/>
          <w:lang w:eastAsia="zh-CN" w:bidi="ar-SA"/>
        </w:rPr>
        <w:t xml:space="preserve"> 件，行政机关负责人出庭数</w:t>
      </w:r>
      <w:r>
        <w:rPr>
          <w:rFonts w:hint="default" w:ascii="Times New Roman" w:hAnsi="Times New Roman" w:eastAsia="仿宋_GB2312" w:cs="Times New Roman"/>
          <w:color w:val="000000"/>
          <w:kern w:val="2"/>
          <w:sz w:val="32"/>
          <w:szCs w:val="32"/>
          <w:lang w:eastAsia="zh-CN" w:bidi="ar-SA"/>
        </w:rPr>
        <w:t>1161</w:t>
      </w:r>
      <w:r>
        <w:rPr>
          <w:rFonts w:hint="eastAsia" w:ascii="Times New Roman" w:hAnsi="Times New Roman" w:eastAsia="仿宋_GB2312" w:cs="Times New Roman"/>
          <w:color w:val="000000"/>
          <w:kern w:val="2"/>
          <w:sz w:val="32"/>
          <w:szCs w:val="32"/>
          <w:lang w:eastAsia="zh-CN" w:bidi="ar-SA"/>
        </w:rPr>
        <w:t>件，出庭应诉率</w:t>
      </w:r>
      <w:r>
        <w:rPr>
          <w:rFonts w:hint="default" w:ascii="Times New Roman" w:hAnsi="Times New Roman" w:eastAsia="仿宋_GB2312" w:cs="Times New Roman"/>
          <w:color w:val="000000"/>
          <w:kern w:val="2"/>
          <w:sz w:val="32"/>
          <w:szCs w:val="32"/>
          <w:lang w:eastAsia="zh-CN" w:bidi="ar-SA"/>
        </w:rPr>
        <w:t>99.32</w:t>
      </w:r>
      <w:r>
        <w:rPr>
          <w:rFonts w:hint="eastAsia"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eastAsia="zh-CN" w:bidi="ar-SA"/>
        </w:rPr>
        <w:t>2023</w:t>
      </w:r>
      <w:r>
        <w:rPr>
          <w:rFonts w:hint="eastAsia" w:ascii="Times New Roman" w:hAnsi="Times New Roman" w:eastAsia="仿宋_GB2312" w:cs="Times New Roman"/>
          <w:color w:val="000000"/>
          <w:kern w:val="2"/>
          <w:sz w:val="32"/>
          <w:szCs w:val="32"/>
          <w:lang w:eastAsia="zh-CN" w:bidi="ar-SA"/>
        </w:rPr>
        <w:t>年行政机关负责人出庭率</w:t>
      </w:r>
      <w:r>
        <w:rPr>
          <w:rFonts w:hint="default" w:ascii="Times New Roman" w:hAnsi="Times New Roman" w:eastAsia="仿宋_GB2312" w:cs="Times New Roman"/>
          <w:color w:val="000000"/>
          <w:kern w:val="2"/>
          <w:sz w:val="32"/>
          <w:szCs w:val="32"/>
          <w:lang w:eastAsia="zh-CN" w:bidi="ar-SA"/>
        </w:rPr>
        <w:t>再创新高</w:t>
      </w:r>
      <w:r>
        <w:rPr>
          <w:rFonts w:hint="eastAsia" w:ascii="Times New Roman" w:hAnsi="Times New Roman" w:eastAsia="仿宋_GB2312" w:cs="Times New Roman"/>
          <w:color w:val="000000"/>
          <w:kern w:val="2"/>
          <w:sz w:val="32"/>
          <w:szCs w:val="32"/>
          <w:lang w:eastAsia="zh-CN" w:bidi="ar-SA"/>
        </w:rPr>
        <w:t>。</w:t>
      </w:r>
      <w:bookmarkStart w:id="0" w:name="_GoBack"/>
      <w:bookmarkEnd w:id="0"/>
    </w:p>
    <w:p>
      <w:pPr>
        <w:ind w:firstLine="643" w:firstLineChars="200"/>
        <w:jc w:val="left"/>
        <w:rPr>
          <w:rFonts w:ascii="仿宋_GB2312" w:hAnsi="Calibri" w:eastAsia="仿宋_GB2312" w:cs="仿宋_GB2312"/>
          <w:b/>
          <w:color w:val="FF0000"/>
          <w:sz w:val="32"/>
          <w:szCs w:val="32"/>
          <w:lang w:bidi="ar"/>
        </w:rPr>
      </w:pPr>
      <w:r>
        <w:rPr>
          <w:rFonts w:hint="eastAsia" w:ascii="仿宋_GB2312" w:eastAsia="仿宋_GB2312" w:cs="仿宋_GB2312"/>
          <w:b/>
          <w:sz w:val="32"/>
          <w:szCs w:val="32"/>
          <w:lang w:bidi="ar"/>
        </w:rPr>
        <w:t>四</w:t>
      </w:r>
      <w:r>
        <w:rPr>
          <w:rFonts w:hint="eastAsia" w:ascii="仿宋_GB2312" w:hAnsi="Calibri" w:eastAsia="仿宋_GB2312" w:cs="仿宋_GB2312"/>
          <w:b/>
          <w:sz w:val="32"/>
          <w:szCs w:val="32"/>
          <w:lang w:bidi="ar"/>
        </w:rPr>
        <w:t>、项目主要做法</w:t>
      </w:r>
      <w:r>
        <w:rPr>
          <w:rFonts w:hint="eastAsia" w:ascii="仿宋_GB2312" w:eastAsia="仿宋_GB2312" w:cs="仿宋_GB2312"/>
          <w:b/>
          <w:sz w:val="32"/>
          <w:szCs w:val="32"/>
          <w:lang w:bidi="ar"/>
        </w:rPr>
        <w:t>和</w:t>
      </w:r>
      <w:r>
        <w:rPr>
          <w:rFonts w:hint="eastAsia" w:ascii="仿宋_GB2312" w:hAnsi="Calibri" w:eastAsia="仿宋_GB2312" w:cs="仿宋_GB2312"/>
          <w:b/>
          <w:sz w:val="32"/>
          <w:szCs w:val="32"/>
          <w:lang w:bidi="ar"/>
        </w:rPr>
        <w:t>经验</w:t>
      </w:r>
    </w:p>
    <w:p>
      <w:pPr>
        <w:spacing w:line="580" w:lineRule="exact"/>
        <w:ind w:firstLine="640"/>
        <w:rPr>
          <w:rFonts w:eastAsia="仿宋_GB2312"/>
          <w:snapToGrid w:val="0"/>
          <w:color w:val="000000"/>
          <w:kern w:val="0"/>
          <w:sz w:val="32"/>
          <w:lang w:eastAsia="zh-Hans"/>
        </w:rPr>
      </w:pPr>
      <w:r>
        <w:rPr>
          <w:rFonts w:ascii="楷体" w:hAnsi="楷体" w:eastAsia="楷体" w:cs="楷体"/>
          <w:b/>
          <w:bCs/>
          <w:color w:val="000000"/>
          <w:sz w:val="32"/>
          <w:szCs w:val="32"/>
          <w:lang w:eastAsia="zh-Hans"/>
        </w:rPr>
        <w:t>（</w:t>
      </w:r>
      <w:r>
        <w:rPr>
          <w:rFonts w:hint="eastAsia" w:ascii="楷体" w:hAnsi="楷体" w:eastAsia="楷体" w:cs="楷体"/>
          <w:b/>
          <w:bCs/>
          <w:color w:val="000000"/>
          <w:sz w:val="32"/>
          <w:szCs w:val="32"/>
          <w:lang w:eastAsia="zh-Hans"/>
        </w:rPr>
        <w:t>一</w:t>
      </w:r>
      <w:r>
        <w:rPr>
          <w:rFonts w:ascii="楷体" w:hAnsi="楷体" w:eastAsia="楷体" w:cs="楷体"/>
          <w:b/>
          <w:bCs/>
          <w:color w:val="000000"/>
          <w:sz w:val="32"/>
          <w:szCs w:val="32"/>
          <w:lang w:eastAsia="zh-Hans"/>
        </w:rPr>
        <w:t>）</w:t>
      </w:r>
      <w:r>
        <w:rPr>
          <w:rFonts w:hint="eastAsia" w:ascii="楷体" w:hAnsi="楷体" w:eastAsia="楷体" w:cs="楷体"/>
          <w:b/>
          <w:bCs/>
          <w:color w:val="000000"/>
          <w:sz w:val="32"/>
          <w:szCs w:val="32"/>
          <w:lang w:eastAsia="zh-Hans"/>
        </w:rPr>
        <w:t>发挥解纷主渠道作用</w:t>
      </w:r>
      <w:r>
        <w:rPr>
          <w:rFonts w:ascii="楷体" w:hAnsi="楷体" w:eastAsia="楷体" w:cs="楷体"/>
          <w:b/>
          <w:bCs/>
          <w:color w:val="000000"/>
          <w:sz w:val="32"/>
          <w:szCs w:val="32"/>
          <w:lang w:eastAsia="zh-Hans"/>
        </w:rPr>
        <w:t>，</w:t>
      </w:r>
      <w:r>
        <w:rPr>
          <w:rFonts w:hint="eastAsia" w:ascii="楷体" w:hAnsi="楷体" w:eastAsia="楷体" w:cs="楷体"/>
          <w:b/>
          <w:bCs/>
          <w:color w:val="000000"/>
          <w:sz w:val="32"/>
          <w:szCs w:val="32"/>
          <w:lang w:eastAsia="zh-Hans"/>
        </w:rPr>
        <w:t>提升</w:t>
      </w:r>
      <w:r>
        <w:rPr>
          <w:rFonts w:ascii="楷体" w:hAnsi="楷体" w:eastAsia="楷体" w:cs="楷体"/>
          <w:b/>
          <w:bCs/>
          <w:color w:val="000000"/>
          <w:sz w:val="32"/>
          <w:szCs w:val="32"/>
          <w:lang w:eastAsia="zh-Hans"/>
        </w:rPr>
        <w:t>行政复议诉源治理</w:t>
      </w:r>
      <w:r>
        <w:rPr>
          <w:rFonts w:hint="eastAsia" w:ascii="楷体" w:hAnsi="楷体" w:eastAsia="楷体" w:cs="楷体"/>
          <w:b/>
          <w:bCs/>
          <w:color w:val="000000"/>
          <w:sz w:val="32"/>
          <w:szCs w:val="32"/>
          <w:lang w:eastAsia="zh-Hans"/>
        </w:rPr>
        <w:t>效能</w:t>
      </w:r>
      <w:r>
        <w:rPr>
          <w:rFonts w:ascii="楷体" w:hAnsi="楷体" w:eastAsia="楷体" w:cs="楷体"/>
          <w:b/>
          <w:bCs/>
          <w:color w:val="000000"/>
          <w:sz w:val="32"/>
          <w:szCs w:val="32"/>
          <w:lang w:eastAsia="zh-Hans"/>
        </w:rPr>
        <w:t>。</w:t>
      </w:r>
      <w:r>
        <w:rPr>
          <w:rFonts w:hint="eastAsia" w:eastAsia="仿宋_GB2312"/>
          <w:b/>
          <w:bCs/>
          <w:snapToGrid w:val="0"/>
          <w:color w:val="000000"/>
          <w:kern w:val="0"/>
          <w:sz w:val="32"/>
          <w:lang w:eastAsia="zh-Hans"/>
        </w:rPr>
        <w:t>一是</w:t>
      </w:r>
      <w:r>
        <w:rPr>
          <w:rFonts w:eastAsia="仿宋_GB2312"/>
          <w:b/>
          <w:bCs/>
          <w:snapToGrid w:val="0"/>
          <w:color w:val="000000"/>
          <w:kern w:val="0"/>
          <w:sz w:val="32"/>
          <w:lang w:eastAsia="zh-Hans"/>
        </w:rPr>
        <w:t>加大调解和释法力度，提升争议化解满意度。</w:t>
      </w:r>
      <w:r>
        <w:rPr>
          <w:rFonts w:hint="eastAsia" w:eastAsia="仿宋_GB2312"/>
          <w:snapToGrid w:val="0"/>
          <w:color w:val="000000"/>
          <w:kern w:val="0"/>
          <w:sz w:val="32"/>
          <w:lang w:eastAsia="zh-Hans"/>
        </w:rPr>
        <w:t>202</w:t>
      </w:r>
      <w:r>
        <w:rPr>
          <w:rFonts w:hint="default" w:eastAsia="仿宋_GB2312"/>
          <w:snapToGrid w:val="0"/>
          <w:color w:val="000000"/>
          <w:kern w:val="0"/>
          <w:sz w:val="32"/>
          <w:lang w:eastAsia="zh-Hans"/>
        </w:rPr>
        <w:t>3</w:t>
      </w:r>
      <w:r>
        <w:rPr>
          <w:rFonts w:hint="eastAsia" w:eastAsia="仿宋_GB2312"/>
          <w:snapToGrid w:val="0"/>
          <w:color w:val="000000"/>
          <w:kern w:val="0"/>
          <w:sz w:val="32"/>
          <w:lang w:eastAsia="zh-Hans"/>
        </w:rPr>
        <w:t>年，</w:t>
      </w:r>
      <w:r>
        <w:rPr>
          <w:rFonts w:hint="eastAsia" w:ascii="Times New Roman" w:hAnsi="Times New Roman" w:eastAsia="仿宋_GB2312"/>
          <w:snapToGrid w:val="0"/>
          <w:color w:val="000000"/>
          <w:kern w:val="0"/>
          <w:sz w:val="32"/>
          <w:lang w:val="en-US" w:eastAsia="zh-CN"/>
        </w:rPr>
        <w:t>已审结</w:t>
      </w:r>
      <w:r>
        <w:rPr>
          <w:rFonts w:hint="default" w:ascii="Times New Roman" w:hAnsi="Times New Roman" w:eastAsia="仿宋_GB2312"/>
          <w:snapToGrid w:val="0"/>
          <w:color w:val="000000"/>
          <w:kern w:val="0"/>
          <w:sz w:val="32"/>
          <w:lang w:eastAsia="zh-CN"/>
        </w:rPr>
        <w:t>135</w:t>
      </w:r>
      <w:r>
        <w:rPr>
          <w:rFonts w:hint="eastAsia" w:ascii="Times New Roman" w:hAnsi="Times New Roman" w:eastAsia="仿宋_GB2312"/>
          <w:snapToGrid w:val="0"/>
          <w:color w:val="000000"/>
          <w:kern w:val="0"/>
          <w:sz w:val="32"/>
          <w:lang w:val="en-US" w:eastAsia="zh-CN"/>
        </w:rPr>
        <w:t>宗</w:t>
      </w:r>
      <w:r>
        <w:rPr>
          <w:rFonts w:hint="default" w:ascii="Times New Roman" w:hAnsi="Times New Roman"/>
          <w:snapToGrid w:val="0"/>
          <w:color w:val="000000"/>
          <w:kern w:val="0"/>
          <w:sz w:val="32"/>
          <w:lang w:eastAsia="zh-CN"/>
        </w:rPr>
        <w:t>案件中，</w:t>
      </w:r>
      <w:r>
        <w:rPr>
          <w:rFonts w:hint="eastAsia" w:ascii="Times New Roman" w:hAnsi="Times New Roman" w:eastAsia="仿宋_GB2312"/>
          <w:snapToGrid w:val="0"/>
          <w:color w:val="000000"/>
          <w:kern w:val="0"/>
          <w:sz w:val="32"/>
          <w:lang w:val="en-US" w:eastAsia="zh-CN"/>
        </w:rPr>
        <w:t>通过</w:t>
      </w:r>
      <w:r>
        <w:rPr>
          <w:rFonts w:hint="eastAsia" w:ascii="Times New Roman" w:hAnsi="Times New Roman" w:eastAsia="仿宋_GB2312"/>
          <w:snapToGrid w:val="0"/>
          <w:color w:val="000000"/>
          <w:kern w:val="0"/>
          <w:sz w:val="32"/>
          <w:lang w:val="en-US" w:eastAsia="zh-Hans"/>
        </w:rPr>
        <w:t>调解</w:t>
      </w:r>
      <w:r>
        <w:rPr>
          <w:rFonts w:hint="eastAsia" w:ascii="Times New Roman" w:hAnsi="Times New Roman" w:eastAsia="仿宋_GB2312"/>
          <w:snapToGrid w:val="0"/>
          <w:color w:val="000000"/>
          <w:kern w:val="0"/>
          <w:sz w:val="32"/>
          <w:lang w:val="en-US" w:eastAsia="zh-CN"/>
        </w:rPr>
        <w:t>、</w:t>
      </w:r>
      <w:r>
        <w:rPr>
          <w:rFonts w:hint="eastAsia" w:ascii="Times New Roman" w:hAnsi="Times New Roman" w:eastAsia="仿宋_GB2312"/>
          <w:snapToGrid w:val="0"/>
          <w:color w:val="000000"/>
          <w:kern w:val="0"/>
          <w:sz w:val="32"/>
          <w:lang w:val="en-US" w:eastAsia="zh-Hans"/>
        </w:rPr>
        <w:t>和解</w:t>
      </w:r>
      <w:r>
        <w:rPr>
          <w:rFonts w:hint="eastAsia" w:ascii="Times New Roman" w:hAnsi="Times New Roman" w:eastAsia="仿宋_GB2312"/>
          <w:snapToGrid w:val="0"/>
          <w:color w:val="000000"/>
          <w:kern w:val="0"/>
          <w:sz w:val="32"/>
          <w:lang w:val="en-US" w:eastAsia="zh-CN"/>
        </w:rPr>
        <w:t>方式结案的有</w:t>
      </w:r>
      <w:r>
        <w:rPr>
          <w:rFonts w:hint="default" w:ascii="Times New Roman" w:hAnsi="Times New Roman" w:eastAsia="仿宋_GB2312"/>
          <w:snapToGrid w:val="0"/>
          <w:color w:val="000000"/>
          <w:kern w:val="0"/>
          <w:sz w:val="32"/>
          <w:lang w:eastAsia="zh-CN"/>
        </w:rPr>
        <w:t>34</w:t>
      </w:r>
      <w:r>
        <w:rPr>
          <w:rFonts w:hint="eastAsia" w:ascii="Times New Roman" w:hAnsi="Times New Roman" w:eastAsia="仿宋_GB2312"/>
          <w:snapToGrid w:val="0"/>
          <w:color w:val="000000"/>
          <w:kern w:val="0"/>
          <w:sz w:val="32"/>
          <w:lang w:val="en-US" w:eastAsia="zh-CN"/>
        </w:rPr>
        <w:t>宗，</w:t>
      </w:r>
      <w:r>
        <w:rPr>
          <w:rFonts w:hint="eastAsia" w:ascii="Times New Roman" w:hAnsi="Times New Roman" w:eastAsia="仿宋_GB2312" w:cs="Times New Roman"/>
          <w:snapToGrid w:val="0"/>
          <w:color w:val="000000"/>
          <w:kern w:val="0"/>
          <w:sz w:val="32"/>
          <w:lang w:val="en-US" w:eastAsia="zh-CN" w:bidi="ar-SA"/>
        </w:rPr>
        <w:t>多数行政争议止于复议阶段，</w:t>
      </w:r>
      <w:r>
        <w:rPr>
          <w:rFonts w:hint="default" w:ascii="Times New Roman" w:hAnsi="Times New Roman" w:eastAsia="仿宋_GB2312" w:cs="Times New Roman"/>
          <w:snapToGrid w:val="0"/>
          <w:color w:val="000000"/>
          <w:kern w:val="0"/>
          <w:sz w:val="32"/>
          <w:lang w:eastAsia="zh-CN" w:bidi="ar-SA"/>
        </w:rPr>
        <w:t>促进行政争议</w:t>
      </w:r>
      <w:r>
        <w:rPr>
          <w:rFonts w:hint="eastAsia" w:ascii="Times New Roman" w:hAnsi="Times New Roman" w:eastAsia="仿宋_GB2312" w:cs="Times New Roman"/>
          <w:snapToGrid w:val="0"/>
          <w:color w:val="000000"/>
          <w:kern w:val="0"/>
          <w:sz w:val="32"/>
          <w:lang w:val="en-US" w:eastAsia="zh-CN" w:bidi="ar-SA"/>
        </w:rPr>
        <w:t>的实质化解</w:t>
      </w:r>
      <w:r>
        <w:rPr>
          <w:rFonts w:eastAsia="仿宋_GB2312"/>
          <w:snapToGrid w:val="0"/>
          <w:color w:val="000000"/>
          <w:kern w:val="0"/>
          <w:sz w:val="32"/>
          <w:lang w:eastAsia="zh-Hans"/>
        </w:rPr>
        <w:t>。</w:t>
      </w:r>
      <w:r>
        <w:rPr>
          <w:rFonts w:hint="eastAsia" w:ascii="Times New Roman" w:hAnsi="Times New Roman" w:eastAsia="仿宋_GB2312"/>
          <w:b/>
          <w:bCs/>
          <w:snapToGrid w:val="0"/>
          <w:color w:val="000000"/>
          <w:kern w:val="0"/>
          <w:sz w:val="32"/>
          <w:lang w:val="en-US" w:eastAsia="zh-CN"/>
        </w:rPr>
        <w:t>二是穿透解决真实诉求。</w:t>
      </w:r>
      <w:r>
        <w:rPr>
          <w:rFonts w:hint="eastAsia" w:ascii="仿宋_GB2312" w:hAnsi="宋体" w:eastAsia="仿宋_GB2312" w:cs="仿宋_GB2312"/>
          <w:color w:val="000000"/>
          <w:kern w:val="0"/>
          <w:sz w:val="32"/>
          <w:szCs w:val="32"/>
          <w:lang w:val="en-US" w:eastAsia="zh-CN" w:bidi="ar-SA"/>
        </w:rPr>
        <w:t>落实“双调解”，在办理电梯加装、工伤认定等因民事权益纠纷引起的行政复议案件时，同步开展对行政争议和民事纠纷的“双调解”，达成行政、民事争议双化解，从源头上解决矛盾。</w:t>
      </w:r>
      <w:r>
        <w:rPr>
          <w:rFonts w:hint="eastAsia" w:ascii="仿宋_GB2312" w:hAnsi="宋体" w:eastAsia="仿宋_GB2312" w:cs="仿宋_GB2312"/>
          <w:b/>
          <w:bCs/>
          <w:color w:val="000000"/>
          <w:kern w:val="0"/>
          <w:sz w:val="32"/>
          <w:szCs w:val="32"/>
          <w:lang w:val="en-US" w:eastAsia="zh-CN" w:bidi="ar-SA"/>
        </w:rPr>
        <w:t>三是强化跟踪问效。</w:t>
      </w:r>
      <w:r>
        <w:rPr>
          <w:rFonts w:hint="eastAsia" w:ascii="仿宋_GB2312" w:hAnsi="宋体" w:eastAsia="仿宋_GB2312" w:cs="仿宋_GB2312"/>
          <w:color w:val="000000"/>
          <w:kern w:val="0"/>
          <w:sz w:val="32"/>
          <w:szCs w:val="32"/>
          <w:lang w:val="en-US" w:eastAsia="zh-CN" w:bidi="ar-SA"/>
        </w:rPr>
        <w:t>加大对复议文书履行的监督力度，确保各类文书得到及时全面履行</w:t>
      </w:r>
      <w:r>
        <w:rPr>
          <w:rFonts w:hint="default" w:ascii="仿宋_GB2312" w:hAnsi="宋体" w:eastAsia="仿宋_GB2312" w:cs="仿宋_GB2312"/>
          <w:color w:val="000000"/>
          <w:kern w:val="0"/>
          <w:sz w:val="32"/>
          <w:szCs w:val="32"/>
          <w:lang w:eastAsia="zh-CN" w:bidi="ar-SA"/>
        </w:rPr>
        <w:t>，</w:t>
      </w:r>
      <w:r>
        <w:rPr>
          <w:rFonts w:hint="eastAsia" w:ascii="Times New Roman" w:hAnsi="Times New Roman" w:eastAsia="仿宋_GB2312" w:cs="Times New Roman"/>
          <w:snapToGrid w:val="0"/>
          <w:color w:val="000000"/>
          <w:kern w:val="0"/>
          <w:sz w:val="32"/>
          <w:lang w:val="en-US" w:eastAsia="zh-CN"/>
        </w:rPr>
        <w:t>落实复议决定书、复议调解书、复议意见书、建议书执行跟踪机制，定期对相关文书的执行情况进行督促</w:t>
      </w:r>
    </w:p>
    <w:p>
      <w:pPr>
        <w:numPr>
          <w:ilvl w:val="0"/>
          <w:numId w:val="0"/>
        </w:numPr>
        <w:snapToGrid w:val="0"/>
        <w:spacing w:line="60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ascii="楷体" w:hAnsi="楷体" w:eastAsia="楷体" w:cs="楷体"/>
          <w:b/>
          <w:bCs/>
          <w:color w:val="000000"/>
          <w:sz w:val="32"/>
          <w:szCs w:val="32"/>
        </w:rPr>
        <w:t>（</w:t>
      </w:r>
      <w:r>
        <w:rPr>
          <w:rFonts w:hint="eastAsia" w:ascii="楷体" w:hAnsi="楷体" w:eastAsia="楷体" w:cs="楷体"/>
          <w:b/>
          <w:bCs/>
          <w:color w:val="000000"/>
          <w:sz w:val="32"/>
          <w:szCs w:val="32"/>
          <w:lang w:eastAsia="zh-Hans"/>
        </w:rPr>
        <w:t>二</w:t>
      </w:r>
      <w:r>
        <w:rPr>
          <w:rFonts w:ascii="楷体" w:hAnsi="楷体" w:eastAsia="楷体" w:cs="楷体"/>
          <w:b/>
          <w:bCs/>
          <w:color w:val="000000"/>
          <w:sz w:val="32"/>
          <w:szCs w:val="32"/>
          <w:lang w:eastAsia="zh-Hans"/>
        </w:rPr>
        <w:t>）</w:t>
      </w:r>
      <w:r>
        <w:rPr>
          <w:rFonts w:hint="eastAsia" w:ascii="仿宋_GB2312" w:hAnsi="仿宋_GB2312" w:eastAsia="仿宋_GB2312" w:cs="仿宋_GB2312"/>
          <w:b/>
          <w:bCs/>
          <w:color w:val="000000"/>
          <w:sz w:val="32"/>
          <w:szCs w:val="32"/>
          <w:lang w:val="en-US" w:eastAsia="zh-CN"/>
        </w:rPr>
        <w:t>开展行政复议质量提升年活动，</w:t>
      </w:r>
      <w:r>
        <w:rPr>
          <w:rFonts w:hint="eastAsia" w:ascii="仿宋_GB2312" w:eastAsia="仿宋_GB2312"/>
          <w:b/>
          <w:bCs/>
          <w:color w:val="000000"/>
          <w:sz w:val="32"/>
          <w:szCs w:val="32"/>
        </w:rPr>
        <w:t>提升行政复议办案质量</w:t>
      </w:r>
      <w:r>
        <w:rPr>
          <w:rFonts w:hint="default" w:ascii="仿宋_GB2312" w:eastAsia="仿宋_GB2312"/>
          <w:b/>
          <w:bCs/>
          <w:color w:val="000000"/>
          <w:sz w:val="32"/>
          <w:szCs w:val="32"/>
        </w:rPr>
        <w:t>。</w:t>
      </w:r>
      <w:r>
        <w:rPr>
          <w:rFonts w:hint="default" w:ascii="仿宋" w:hAnsi="仿宋" w:eastAsia="仿宋" w:cs="仿宋"/>
          <w:b/>
          <w:bCs/>
          <w:color w:val="000000"/>
          <w:sz w:val="32"/>
          <w:szCs w:val="32"/>
          <w:lang w:eastAsia="zh-CN"/>
        </w:rPr>
        <w:t>一</w:t>
      </w:r>
      <w:r>
        <w:rPr>
          <w:rFonts w:hint="eastAsia" w:ascii="仿宋" w:hAnsi="仿宋" w:eastAsia="仿宋" w:cs="仿宋"/>
          <w:b/>
          <w:bCs/>
          <w:color w:val="000000"/>
          <w:sz w:val="32"/>
          <w:szCs w:val="32"/>
          <w:lang w:val="en-US" w:eastAsia="zh-CN"/>
        </w:rPr>
        <w:t>是提升办案效能。</w:t>
      </w:r>
      <w:r>
        <w:rPr>
          <w:rFonts w:hint="eastAsia" w:ascii="仿宋_GB2312" w:hAnsi="仿宋_GB2312" w:eastAsia="仿宋_GB2312" w:cs="仿宋_GB2312"/>
          <w:b w:val="0"/>
          <w:bCs w:val="0"/>
          <w:color w:val="000000"/>
          <w:sz w:val="32"/>
          <w:szCs w:val="32"/>
          <w:lang w:val="en-US" w:eastAsia="zh-CN"/>
        </w:rPr>
        <w:t>建立复议案件工作台账，实时动态分析，监控办案流程。对同类型案件完善类案处理机制，提升办案效能。以行政复议质量提升年为契机，对行政复议工作开展全面复核和问题整改，建立工作台账和问题清单，明确改进措施，</w:t>
      </w:r>
      <w:r>
        <w:rPr>
          <w:rFonts w:hint="default" w:ascii="仿宋_GB2312" w:hAnsi="仿宋_GB2312" w:eastAsia="仿宋_GB2312" w:cs="仿宋_GB2312"/>
          <w:b w:val="0"/>
          <w:bCs w:val="0"/>
          <w:color w:val="000000"/>
          <w:sz w:val="32"/>
          <w:szCs w:val="32"/>
          <w:lang w:val="en-US" w:eastAsia="zh-CN"/>
        </w:rPr>
        <w:t>坚持立行立改</w:t>
      </w:r>
      <w:r>
        <w:rPr>
          <w:rFonts w:hint="eastAsia" w:ascii="仿宋_GB2312" w:hAnsi="仿宋_GB2312" w:eastAsia="仿宋_GB2312" w:cs="仿宋_GB2312"/>
          <w:b w:val="0"/>
          <w:bCs w:val="0"/>
          <w:color w:val="000000"/>
          <w:sz w:val="32"/>
          <w:szCs w:val="32"/>
          <w:lang w:val="en-US" w:eastAsia="zh-CN"/>
        </w:rPr>
        <w:t>，实行对账销号，不断提高办案质量。</w:t>
      </w:r>
      <w:r>
        <w:rPr>
          <w:rFonts w:hint="eastAsia" w:ascii="Times New Roman" w:hAnsi="Times New Roman" w:eastAsia="方正仿宋_GBK" w:cs="Times New Roman"/>
          <w:color w:val="000000"/>
          <w:sz w:val="32"/>
          <w:szCs w:val="32"/>
          <w:lang w:val="en-US" w:eastAsia="zh-CN"/>
        </w:rPr>
        <w:t>2023年，</w:t>
      </w:r>
      <w:r>
        <w:rPr>
          <w:rFonts w:hint="default" w:ascii="Times New Roman" w:hAnsi="Times New Roman" w:eastAsia="方正仿宋_GBK" w:cs="Times New Roman"/>
          <w:color w:val="000000"/>
          <w:sz w:val="32"/>
          <w:szCs w:val="32"/>
          <w:lang w:eastAsia="zh-CN"/>
        </w:rPr>
        <w:t>行政</w:t>
      </w:r>
      <w:r>
        <w:rPr>
          <w:rFonts w:hint="eastAsia" w:ascii="Times New Roman" w:hAnsi="Times New Roman" w:eastAsia="方正仿宋_GBK" w:cs="Times New Roman"/>
          <w:color w:val="000000"/>
          <w:sz w:val="32"/>
          <w:szCs w:val="32"/>
          <w:lang w:val="en-US" w:eastAsia="zh-CN"/>
        </w:rPr>
        <w:t>复议机</w:t>
      </w:r>
      <w:r>
        <w:rPr>
          <w:rFonts w:hint="default" w:ascii="Times New Roman" w:hAnsi="Times New Roman" w:eastAsia="方正仿宋_GBK" w:cs="Times New Roman"/>
          <w:color w:val="000000"/>
          <w:sz w:val="32"/>
          <w:szCs w:val="32"/>
          <w:lang w:eastAsia="zh-CN"/>
        </w:rPr>
        <w:t>构</w:t>
      </w:r>
      <w:r>
        <w:rPr>
          <w:rFonts w:hint="eastAsia" w:ascii="Times New Roman" w:hAnsi="Times New Roman" w:eastAsia="方正仿宋_GBK" w:cs="Times New Roman"/>
          <w:color w:val="000000"/>
          <w:sz w:val="32"/>
          <w:szCs w:val="32"/>
          <w:lang w:val="en-US" w:eastAsia="zh-CN"/>
        </w:rPr>
        <w:t>在质量提升年活动中共发现问题3个，已经整改3个，整改率达到100%。</w:t>
      </w:r>
      <w:r>
        <w:rPr>
          <w:rFonts w:hint="default" w:ascii="Times New Roman" w:hAnsi="Times New Roman" w:eastAsia="仿宋_GB2312" w:cs="Times New Roman"/>
          <w:b/>
          <w:bCs/>
          <w:color w:val="000000"/>
          <w:sz w:val="32"/>
          <w:szCs w:val="32"/>
          <w:lang w:eastAsia="zh-CN"/>
        </w:rPr>
        <w:t>二</w:t>
      </w:r>
      <w:r>
        <w:rPr>
          <w:rFonts w:hint="eastAsia" w:ascii="Times New Roman" w:hAnsi="Times New Roman" w:eastAsia="仿宋_GB2312" w:cs="Times New Roman"/>
          <w:b/>
          <w:bCs/>
          <w:color w:val="000000"/>
          <w:sz w:val="32"/>
          <w:szCs w:val="32"/>
          <w:lang w:eastAsia="zh-CN"/>
        </w:rPr>
        <w:t>是发挥外脑作用。</w:t>
      </w:r>
      <w:r>
        <w:rPr>
          <w:rFonts w:hint="eastAsia" w:ascii="宋体" w:hAnsi="宋体" w:eastAsia="仿宋_GB2312" w:cs="仿宋_GB2312"/>
          <w:b w:val="0"/>
          <w:bCs w:val="0"/>
          <w:color w:val="000000"/>
          <w:kern w:val="2"/>
          <w:sz w:val="32"/>
          <w:szCs w:val="32"/>
          <w:lang w:val="en-US" w:eastAsia="zh-CN" w:bidi="ar-SA"/>
        </w:rPr>
        <w:t>完善行政复议咨询委员会制度，协调政府法律顾问参与行政管理涉法领域，针对重大、复杂、疑难案件，由委员会、法律顾问提供专业意见，增加行政复议决定的合法性、科学性和实效性</w:t>
      </w:r>
      <w:r>
        <w:rPr>
          <w:rFonts w:hint="eastAsia" w:ascii="Times New Roman" w:hAnsi="Times New Roman" w:eastAsia="方正仿宋_GBK" w:cs="Times New Roman"/>
          <w:color w:val="000000"/>
          <w:sz w:val="32"/>
          <w:szCs w:val="32"/>
          <w:lang w:val="en-US" w:eastAsia="zh-CN"/>
        </w:rPr>
        <w:t>。2023年，</w:t>
      </w:r>
      <w:r>
        <w:rPr>
          <w:rFonts w:hint="default" w:ascii="Times New Roman" w:hAnsi="Times New Roman" w:eastAsia="方正仿宋_GBK" w:cs="Times New Roman"/>
          <w:color w:val="000000"/>
          <w:sz w:val="32"/>
          <w:szCs w:val="32"/>
          <w:lang w:eastAsia="zh-CN"/>
        </w:rPr>
        <w:t>全市</w:t>
      </w:r>
      <w:r>
        <w:rPr>
          <w:rFonts w:hint="default" w:ascii="仿宋_GB2312" w:hAnsi="仿宋_GB2312" w:eastAsia="仿宋_GB2312" w:cs="仿宋_GB2312"/>
          <w:b w:val="0"/>
          <w:bCs w:val="0"/>
          <w:color w:val="000000"/>
          <w:sz w:val="32"/>
          <w:szCs w:val="32"/>
          <w:lang w:eastAsia="zh-CN"/>
        </w:rPr>
        <w:t>行政</w:t>
      </w:r>
      <w:r>
        <w:rPr>
          <w:rFonts w:hint="eastAsia" w:ascii="仿宋_GB2312" w:hAnsi="仿宋_GB2312" w:eastAsia="仿宋_GB2312" w:cs="仿宋_GB2312"/>
          <w:b w:val="0"/>
          <w:bCs w:val="0"/>
          <w:color w:val="000000"/>
          <w:sz w:val="32"/>
          <w:szCs w:val="32"/>
          <w:lang w:val="en-US" w:eastAsia="zh-CN"/>
        </w:rPr>
        <w:t>复议机构共向行政复议委员会征求咨询意见65次。</w:t>
      </w:r>
    </w:p>
    <w:p>
      <w:pPr>
        <w:numPr>
          <w:ilvl w:val="0"/>
          <w:numId w:val="0"/>
        </w:numPr>
        <w:snapToGrid w:val="0"/>
        <w:spacing w:line="600" w:lineRule="exact"/>
        <w:ind w:firstLine="643" w:firstLineChars="200"/>
        <w:rPr>
          <w:rFonts w:hint="eastAsia" w:ascii="宋体" w:hAnsi="宋体" w:eastAsia="仿宋_GB2312" w:cs="仿宋_GB2312"/>
          <w:b w:val="0"/>
          <w:bCs w:val="0"/>
          <w:color w:val="000000"/>
          <w:kern w:val="2"/>
          <w:sz w:val="32"/>
          <w:szCs w:val="32"/>
          <w:lang w:val="en-US" w:eastAsia="zh-CN" w:bidi="ar-SA"/>
        </w:rPr>
      </w:pPr>
      <w:r>
        <w:rPr>
          <w:rFonts w:hint="default" w:ascii="宋体" w:hAnsi="宋体" w:eastAsia="仿宋_GB2312" w:cs="仿宋_GB2312"/>
          <w:b/>
          <w:bCs/>
          <w:color w:val="000000"/>
          <w:kern w:val="2"/>
          <w:sz w:val="32"/>
          <w:szCs w:val="32"/>
          <w:lang w:eastAsia="zh-CN" w:bidi="ar-SA"/>
        </w:rPr>
        <w:t>（三）</w:t>
      </w:r>
      <w:r>
        <w:rPr>
          <w:rFonts w:hint="default" w:ascii="宋体" w:hAnsi="宋体" w:eastAsia="仿宋_GB2312" w:cs="仿宋_GB2312"/>
          <w:b/>
          <w:bCs/>
          <w:color w:val="000000"/>
          <w:kern w:val="2"/>
          <w:sz w:val="32"/>
          <w:szCs w:val="32"/>
          <w:lang w:val="en-US" w:eastAsia="zh-CN" w:bidi="ar-SA"/>
        </w:rPr>
        <w:t>打造智慧行政复议</w:t>
      </w:r>
      <w:r>
        <w:rPr>
          <w:rFonts w:hint="default" w:ascii="宋体" w:hAnsi="宋体" w:eastAsia="仿宋_GB2312" w:cs="仿宋_GB2312"/>
          <w:b/>
          <w:bCs/>
          <w:color w:val="000000"/>
          <w:kern w:val="2"/>
          <w:sz w:val="32"/>
          <w:szCs w:val="32"/>
          <w:lang w:eastAsia="zh-CN" w:bidi="ar-SA"/>
        </w:rPr>
        <w:t>，提升</w:t>
      </w:r>
      <w:r>
        <w:rPr>
          <w:rFonts w:hint="eastAsia" w:ascii="宋体" w:hAnsi="宋体" w:eastAsia="仿宋_GB2312" w:cs="仿宋_GB2312"/>
          <w:b/>
          <w:bCs/>
          <w:color w:val="000000"/>
          <w:kern w:val="2"/>
          <w:sz w:val="32"/>
          <w:szCs w:val="32"/>
          <w:lang w:val="en-US" w:eastAsia="zh-CN" w:bidi="ar-SA"/>
        </w:rPr>
        <w:t>案件办理规范化水平。一是应收尽收，畅通复议渠道</w:t>
      </w:r>
      <w:r>
        <w:rPr>
          <w:rFonts w:hint="default" w:ascii="宋体" w:hAnsi="宋体" w:eastAsia="仿宋_GB2312" w:cs="仿宋_GB2312"/>
          <w:b/>
          <w:bCs/>
          <w:color w:val="000000"/>
          <w:kern w:val="2"/>
          <w:sz w:val="32"/>
          <w:szCs w:val="32"/>
          <w:lang w:val="en-US" w:eastAsia="zh-CN" w:bidi="ar-SA"/>
        </w:rPr>
        <w:t>。</w:t>
      </w:r>
      <w:r>
        <w:rPr>
          <w:rFonts w:hint="eastAsia" w:ascii="宋体" w:hAnsi="宋体" w:eastAsia="仿宋_GB2312" w:cs="仿宋_GB2312"/>
          <w:b w:val="0"/>
          <w:bCs w:val="0"/>
          <w:color w:val="000000"/>
          <w:kern w:val="2"/>
          <w:sz w:val="32"/>
          <w:szCs w:val="32"/>
          <w:lang w:val="en-US" w:eastAsia="zh-CN" w:bidi="ar-SA"/>
        </w:rPr>
        <w:t>力推掌上复议，群众可以通过“江门司法”微信公众号向两级复议机关提出复议申请。</w:t>
      </w:r>
      <w:r>
        <w:rPr>
          <w:rFonts w:hint="eastAsia" w:ascii="Times New Roman" w:hAnsi="Times New Roman" w:eastAsia="方正仿宋_GBK" w:cs="Times New Roman"/>
          <w:color w:val="000000"/>
          <w:sz w:val="32"/>
          <w:szCs w:val="32"/>
          <w:lang w:val="en-US" w:eastAsia="zh-CN"/>
        </w:rPr>
        <w:t>2023年，累计网上受理复议申请29</w:t>
      </w:r>
      <w:r>
        <w:rPr>
          <w:rFonts w:hint="eastAsia" w:ascii="宋体" w:hAnsi="宋体" w:eastAsia="仿宋_GB2312" w:cs="仿宋_GB2312"/>
          <w:b w:val="0"/>
          <w:bCs w:val="0"/>
          <w:color w:val="000000"/>
          <w:kern w:val="2"/>
          <w:sz w:val="32"/>
          <w:szCs w:val="32"/>
          <w:lang w:val="en-US" w:eastAsia="zh-CN" w:bidi="ar-SA"/>
        </w:rPr>
        <w:t>宗。</w:t>
      </w:r>
      <w:r>
        <w:rPr>
          <w:rFonts w:hint="default" w:ascii="宋体" w:hAnsi="宋体" w:eastAsia="仿宋_GB2312" w:cs="仿宋_GB2312"/>
          <w:b w:val="0"/>
          <w:bCs w:val="0"/>
          <w:color w:val="000000"/>
          <w:kern w:val="2"/>
          <w:sz w:val="32"/>
          <w:szCs w:val="32"/>
          <w:lang w:eastAsia="zh-CN" w:bidi="ar-SA"/>
        </w:rPr>
        <w:t>部分</w:t>
      </w:r>
      <w:r>
        <w:rPr>
          <w:rFonts w:hint="eastAsia" w:ascii="宋体" w:hAnsi="宋体" w:eastAsia="仿宋_GB2312" w:cs="仿宋_GB2312"/>
          <w:b w:val="0"/>
          <w:bCs w:val="0"/>
          <w:color w:val="000000"/>
          <w:kern w:val="2"/>
          <w:sz w:val="32"/>
          <w:szCs w:val="32"/>
          <w:lang w:val="en-US" w:eastAsia="zh-CN" w:bidi="ar-SA"/>
        </w:rPr>
        <w:t>辖区内</w:t>
      </w:r>
      <w:r>
        <w:rPr>
          <w:rFonts w:hint="default" w:ascii="宋体" w:hAnsi="宋体" w:eastAsia="仿宋_GB2312" w:cs="仿宋_GB2312"/>
          <w:b w:val="0"/>
          <w:bCs w:val="0"/>
          <w:color w:val="000000"/>
          <w:kern w:val="2"/>
          <w:sz w:val="32"/>
          <w:szCs w:val="32"/>
          <w:lang w:val="en-US" w:eastAsia="zh-CN" w:bidi="ar-SA"/>
        </w:rPr>
        <w:t>各复议受理点互联互通，</w:t>
      </w:r>
      <w:r>
        <w:rPr>
          <w:rFonts w:hint="eastAsia" w:ascii="宋体" w:hAnsi="宋体" w:eastAsia="仿宋_GB2312" w:cs="仿宋_GB2312"/>
          <w:b w:val="0"/>
          <w:bCs w:val="0"/>
          <w:color w:val="000000"/>
          <w:kern w:val="2"/>
          <w:sz w:val="32"/>
          <w:szCs w:val="32"/>
          <w:lang w:val="en-US" w:eastAsia="zh-CN" w:bidi="ar-SA"/>
        </w:rPr>
        <w:t>通过网络</w:t>
      </w:r>
      <w:r>
        <w:rPr>
          <w:rFonts w:hint="default" w:ascii="宋体" w:hAnsi="宋体" w:eastAsia="仿宋_GB2312" w:cs="仿宋_GB2312"/>
          <w:b w:val="0"/>
          <w:bCs w:val="0"/>
          <w:color w:val="000000"/>
          <w:kern w:val="2"/>
          <w:sz w:val="32"/>
          <w:szCs w:val="32"/>
          <w:lang w:val="en-US" w:eastAsia="zh-CN" w:bidi="ar-SA"/>
        </w:rPr>
        <w:t>庭审直播，实现</w:t>
      </w:r>
      <w:r>
        <w:rPr>
          <w:rFonts w:hint="eastAsia" w:ascii="宋体" w:hAnsi="宋体" w:eastAsia="仿宋_GB2312" w:cs="仿宋_GB2312"/>
          <w:b w:val="0"/>
          <w:bCs w:val="0"/>
          <w:color w:val="000000"/>
          <w:kern w:val="2"/>
          <w:sz w:val="32"/>
          <w:szCs w:val="32"/>
          <w:lang w:val="en-US" w:eastAsia="zh-CN" w:bidi="ar-SA"/>
        </w:rPr>
        <w:t>“</w:t>
      </w:r>
      <w:r>
        <w:rPr>
          <w:rFonts w:hint="default" w:ascii="宋体" w:hAnsi="宋体" w:eastAsia="仿宋_GB2312" w:cs="仿宋_GB2312"/>
          <w:b w:val="0"/>
          <w:bCs w:val="0"/>
          <w:color w:val="000000"/>
          <w:kern w:val="2"/>
          <w:sz w:val="32"/>
          <w:szCs w:val="32"/>
          <w:lang w:val="en-US" w:eastAsia="zh-CN" w:bidi="ar-SA"/>
        </w:rPr>
        <w:t>云上咨询</w:t>
      </w:r>
      <w:r>
        <w:rPr>
          <w:rFonts w:hint="eastAsia" w:ascii="宋体" w:hAnsi="宋体" w:eastAsia="仿宋_GB2312" w:cs="仿宋_GB2312"/>
          <w:b w:val="0"/>
          <w:bCs w:val="0"/>
          <w:color w:val="000000"/>
          <w:kern w:val="2"/>
          <w:sz w:val="32"/>
          <w:szCs w:val="32"/>
          <w:lang w:val="en-US" w:eastAsia="zh-CN" w:bidi="ar-SA"/>
        </w:rPr>
        <w:t>”“</w:t>
      </w:r>
      <w:r>
        <w:rPr>
          <w:rFonts w:hint="default" w:ascii="宋体" w:hAnsi="宋体" w:eastAsia="仿宋_GB2312" w:cs="仿宋_GB2312"/>
          <w:b w:val="0"/>
          <w:bCs w:val="0"/>
          <w:color w:val="000000"/>
          <w:kern w:val="2"/>
          <w:sz w:val="32"/>
          <w:szCs w:val="32"/>
          <w:lang w:val="en-US" w:eastAsia="zh-CN" w:bidi="ar-SA"/>
        </w:rPr>
        <w:t>云上开庭</w:t>
      </w:r>
      <w:r>
        <w:rPr>
          <w:rFonts w:hint="eastAsia" w:ascii="宋体" w:hAnsi="宋体" w:eastAsia="仿宋_GB2312" w:cs="仿宋_GB2312"/>
          <w:b w:val="0"/>
          <w:bCs w:val="0"/>
          <w:color w:val="000000"/>
          <w:kern w:val="2"/>
          <w:sz w:val="32"/>
          <w:szCs w:val="32"/>
          <w:lang w:val="en-US" w:eastAsia="zh-CN" w:bidi="ar-SA"/>
        </w:rPr>
        <w:t>”</w:t>
      </w:r>
      <w:r>
        <w:rPr>
          <w:rFonts w:hint="default" w:ascii="宋体" w:hAnsi="宋体" w:eastAsia="仿宋_GB2312" w:cs="仿宋_GB2312"/>
          <w:b w:val="0"/>
          <w:bCs w:val="0"/>
          <w:color w:val="000000"/>
          <w:kern w:val="2"/>
          <w:sz w:val="32"/>
          <w:szCs w:val="32"/>
          <w:lang w:val="en-US" w:eastAsia="zh-CN" w:bidi="ar-SA"/>
        </w:rPr>
        <w:t>。</w:t>
      </w:r>
      <w:r>
        <w:rPr>
          <w:rFonts w:hint="eastAsia" w:ascii="Times New Roman" w:hAnsi="Times New Roman" w:eastAsia="方正仿宋_GBK" w:cs="Times New Roman"/>
          <w:b/>
          <w:bCs/>
          <w:color w:val="000000"/>
          <w:sz w:val="32"/>
          <w:szCs w:val="32"/>
          <w:lang w:val="en-US" w:eastAsia="zh-CN"/>
        </w:rPr>
        <w:t>二是应调尽调，优化调解流程</w:t>
      </w:r>
      <w:r>
        <w:rPr>
          <w:rFonts w:hint="eastAsia" w:ascii="Times New Roman" w:hAnsi="Times New Roman" w:eastAsia="方正仿宋_GBK" w:cs="Times New Roman"/>
          <w:color w:val="000000"/>
          <w:sz w:val="32"/>
          <w:szCs w:val="32"/>
          <w:lang w:val="en-US" w:eastAsia="zh-CN"/>
        </w:rPr>
        <w:t>。</w:t>
      </w:r>
      <w:r>
        <w:rPr>
          <w:rFonts w:hint="eastAsia" w:ascii="宋体" w:hAnsi="宋体" w:eastAsia="仿宋_GB2312" w:cs="仿宋_GB2312"/>
          <w:b w:val="0"/>
          <w:bCs w:val="0"/>
          <w:color w:val="000000"/>
          <w:kern w:val="2"/>
          <w:sz w:val="32"/>
          <w:szCs w:val="32"/>
          <w:lang w:val="en-US" w:eastAsia="zh-CN" w:bidi="ar-SA"/>
        </w:rPr>
        <w:t>加大调解工作力度，在办案过程中坚持案前引导、案中调解、案后释明，将调解贯穿行政复议受理及审理全过程。依托人民调解员、特邀听证员等全流程参与争议化解，增强行政复议案件办理的透明度，提高行政复议调解公信力。</w:t>
      </w:r>
      <w:r>
        <w:rPr>
          <w:rFonts w:hint="eastAsia" w:ascii="Times New Roman" w:hAnsi="Times New Roman" w:eastAsia="方正仿宋_GBK"/>
          <w:b/>
          <w:bCs/>
          <w:color w:val="000000"/>
          <w:sz w:val="32"/>
          <w:szCs w:val="32"/>
          <w:lang w:eastAsia="zh-CN"/>
        </w:rPr>
        <w:t>三</w:t>
      </w:r>
      <w:r>
        <w:rPr>
          <w:rFonts w:hint="eastAsia" w:ascii="Times New Roman" w:hAnsi="Times New Roman" w:eastAsia="方正仿宋_GBK" w:cs="Times New Roman"/>
          <w:b/>
          <w:bCs/>
          <w:color w:val="000000"/>
          <w:sz w:val="32"/>
          <w:szCs w:val="32"/>
          <w:lang w:val="en-US" w:eastAsia="zh-CN"/>
        </w:rPr>
        <w:t>是应纠尽纠，及时反馈问题。</w:t>
      </w:r>
      <w:r>
        <w:rPr>
          <w:rFonts w:hint="eastAsia" w:ascii="宋体" w:hAnsi="宋体" w:eastAsia="仿宋_GB2312" w:cs="仿宋_GB2312"/>
          <w:b w:val="0"/>
          <w:bCs w:val="0"/>
          <w:color w:val="000000"/>
          <w:kern w:val="2"/>
          <w:sz w:val="32"/>
          <w:szCs w:val="32"/>
          <w:lang w:val="en-US" w:eastAsia="zh-CN" w:bidi="ar-SA"/>
        </w:rPr>
        <w:t>复议审查重点关注事实查明、证据采信、法律适用和执法程序问题，从实体和程序上对执法行为进行“全面体检”，纠正不合理、不合法、不规范的执法行为。</w:t>
      </w:r>
      <w:r>
        <w:rPr>
          <w:rFonts w:hint="eastAsia" w:ascii="Times New Roman" w:hAnsi="Times New Roman" w:eastAsia="方正仿宋_GBK" w:cs="Times New Roman"/>
          <w:b/>
          <w:bCs/>
          <w:color w:val="000000"/>
          <w:sz w:val="32"/>
          <w:szCs w:val="32"/>
          <w:lang w:val="en-US" w:eastAsia="zh-CN"/>
        </w:rPr>
        <w:t>四是应改尽改，</w:t>
      </w:r>
      <w:r>
        <w:rPr>
          <w:rFonts w:hint="eastAsia" w:ascii="仿宋" w:hAnsi="仿宋" w:eastAsia="仿宋" w:cs="仿宋"/>
          <w:b/>
          <w:bCs/>
          <w:color w:val="000000"/>
          <w:sz w:val="32"/>
          <w:szCs w:val="32"/>
          <w:lang w:val="en-US" w:eastAsia="zh-CN"/>
        </w:rPr>
        <w:t>强化监督指导。</w:t>
      </w:r>
      <w:r>
        <w:rPr>
          <w:rFonts w:hint="eastAsia" w:ascii="仿宋" w:hAnsi="仿宋" w:eastAsia="仿宋" w:cs="仿宋"/>
          <w:b w:val="0"/>
          <w:bCs w:val="0"/>
          <w:color w:val="000000"/>
          <w:sz w:val="32"/>
          <w:szCs w:val="32"/>
          <w:lang w:val="en-US" w:eastAsia="zh-CN"/>
        </w:rPr>
        <w:t>综</w:t>
      </w:r>
      <w:r>
        <w:rPr>
          <w:rFonts w:hint="eastAsia" w:ascii="宋体" w:hAnsi="宋体" w:eastAsia="仿宋_GB2312" w:cs="仿宋_GB2312"/>
          <w:b w:val="0"/>
          <w:bCs w:val="0"/>
          <w:color w:val="000000"/>
          <w:kern w:val="2"/>
          <w:sz w:val="32"/>
          <w:szCs w:val="32"/>
          <w:lang w:val="en-US" w:eastAsia="zh-CN" w:bidi="ar-SA"/>
        </w:rPr>
        <w:t>合运用复议决定书、意见书、建议书等形式及时反馈行政机关执法中存在的问题，并提出整改方向。针对道路交通安全和运输执法领域，开展专项整治工作，通过“复议+监督”方式，梳理问题清单，压实整治责任，督促行政机关内部纠查，主动化解行政争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eastAsia="zh-CN" w:bidi="ar-SA"/>
        </w:rPr>
      </w:pPr>
      <w:r>
        <w:rPr>
          <w:rFonts w:hint="default" w:ascii="宋体" w:hAnsi="宋体" w:eastAsia="仿宋_GB2312" w:cs="仿宋_GB2312"/>
          <w:b/>
          <w:bCs/>
          <w:color w:val="000000"/>
          <w:kern w:val="2"/>
          <w:sz w:val="32"/>
          <w:szCs w:val="32"/>
          <w:lang w:eastAsia="zh-CN" w:bidi="ar-SA"/>
        </w:rPr>
        <w:t>（四）</w:t>
      </w:r>
      <w:r>
        <w:rPr>
          <w:rFonts w:hint="eastAsia" w:ascii="黑体" w:hAnsi="黑体" w:eastAsia="黑体" w:cs="仿宋_GB2312"/>
          <w:color w:val="000000"/>
          <w:sz w:val="32"/>
          <w:szCs w:val="32"/>
        </w:rPr>
        <w:t>发挥监督制约效能</w:t>
      </w:r>
      <w:r>
        <w:rPr>
          <w:rFonts w:hint="default" w:ascii="黑体" w:hAnsi="黑体" w:eastAsia="黑体" w:cs="仿宋_GB2312"/>
          <w:color w:val="000000"/>
          <w:sz w:val="32"/>
          <w:szCs w:val="32"/>
        </w:rPr>
        <w:t>，促进</w:t>
      </w:r>
      <w:r>
        <w:rPr>
          <w:rFonts w:hint="eastAsia" w:ascii="黑体" w:hAnsi="黑体" w:eastAsia="黑体" w:cs="仿宋_GB2312"/>
          <w:color w:val="000000"/>
          <w:sz w:val="32"/>
          <w:szCs w:val="32"/>
          <w:lang w:eastAsia="zh-CN"/>
        </w:rPr>
        <w:t>建设法治政府</w:t>
      </w:r>
      <w:r>
        <w:rPr>
          <w:rFonts w:hint="default" w:ascii="黑体" w:hAnsi="黑体" w:eastAsia="黑体" w:cs="仿宋_GB2312"/>
          <w:color w:val="000000"/>
          <w:sz w:val="32"/>
          <w:szCs w:val="32"/>
          <w:lang w:eastAsia="zh-CN"/>
        </w:rPr>
        <w:t>建设</w:t>
      </w:r>
      <w:r>
        <w:rPr>
          <w:rFonts w:hint="eastAsia" w:ascii="黑体" w:hAnsi="黑体" w:eastAsia="黑体" w:cs="仿宋_GB2312"/>
          <w:color w:val="000000"/>
          <w:sz w:val="32"/>
          <w:szCs w:val="32"/>
          <w:lang w:eastAsia="zh-CN"/>
        </w:rPr>
        <w:t>。</w:t>
      </w:r>
      <w:r>
        <w:rPr>
          <w:rFonts w:hint="default" w:ascii="黑体" w:hAnsi="黑体" w:eastAsia="黑体" w:cs="仿宋_GB2312"/>
          <w:color w:val="000000"/>
          <w:sz w:val="32"/>
          <w:szCs w:val="32"/>
          <w:lang w:eastAsia="zh-CN"/>
        </w:rPr>
        <w:t>一是</w:t>
      </w:r>
      <w:r>
        <w:rPr>
          <w:rFonts w:hint="eastAsia" w:ascii="方正仿宋_GBK" w:hAnsi="方正仿宋_GBK" w:eastAsia="方正仿宋_GBK" w:cs="方正仿宋_GBK"/>
          <w:b/>
          <w:bCs/>
          <w:color w:val="000000"/>
          <w:sz w:val="32"/>
          <w:szCs w:val="32"/>
        </w:rPr>
        <w:t>监督纠正不合法行政行为</w:t>
      </w:r>
      <w:r>
        <w:rPr>
          <w:rFonts w:hint="default" w:ascii="方正仿宋_GBK" w:hAnsi="方正仿宋_GBK" w:eastAsia="方正仿宋_GBK" w:cs="方正仿宋_GBK"/>
          <w:b/>
          <w:bCs/>
          <w:color w:val="000000"/>
          <w:sz w:val="32"/>
          <w:szCs w:val="32"/>
        </w:rPr>
        <w:t>。</w:t>
      </w:r>
      <w:r>
        <w:rPr>
          <w:rFonts w:hint="eastAsia" w:ascii="Times New Roman" w:hAnsi="Times New Roman" w:eastAsia="仿宋_GB2312" w:cs="Times New Roman"/>
          <w:snapToGrid w:val="0"/>
          <w:color w:val="000000"/>
          <w:kern w:val="0"/>
          <w:sz w:val="32"/>
          <w:lang w:val="en-US" w:eastAsia="zh-CN"/>
        </w:rPr>
        <w:t>2023年，江门市两级复议机关办理的复议案件中，直接纠错案件64宗，其中撤销25宗、变更1宗、确认违法36宗、责令履行2宗。</w:t>
      </w:r>
      <w:r>
        <w:rPr>
          <w:rFonts w:hint="default" w:ascii="Times New Roman" w:hAnsi="Times New Roman" w:eastAsia="仿宋_GB2312" w:cs="Times New Roman"/>
          <w:snapToGrid w:val="0"/>
          <w:color w:val="000000"/>
          <w:kern w:val="0"/>
          <w:sz w:val="32"/>
          <w:lang w:eastAsia="zh-CN"/>
        </w:rPr>
        <w:t>二</w:t>
      </w:r>
      <w:r>
        <w:rPr>
          <w:rFonts w:hint="eastAsia" w:eastAsia="仿宋_GB2312"/>
          <w:b/>
          <w:bCs/>
          <w:snapToGrid w:val="0"/>
          <w:color w:val="000000"/>
          <w:kern w:val="0"/>
          <w:sz w:val="32"/>
          <w:szCs w:val="22"/>
          <w:lang w:eastAsia="zh-Hans"/>
        </w:rPr>
        <w:t>是</w:t>
      </w:r>
      <w:r>
        <w:rPr>
          <w:rFonts w:eastAsia="仿宋_GB2312"/>
          <w:snapToGrid w:val="0"/>
          <w:color w:val="000000"/>
          <w:kern w:val="0"/>
          <w:sz w:val="32"/>
          <w:lang w:eastAsia="zh-Hans"/>
        </w:rPr>
        <w:t>落实</w:t>
      </w:r>
      <w:r>
        <w:rPr>
          <w:rFonts w:hint="eastAsia" w:eastAsia="仿宋_GB2312"/>
          <w:snapToGrid w:val="0"/>
          <w:color w:val="000000"/>
          <w:kern w:val="0"/>
          <w:sz w:val="32"/>
          <w:lang w:eastAsia="zh-Hans"/>
        </w:rPr>
        <w:t>“</w:t>
      </w:r>
      <w:r>
        <w:rPr>
          <w:rFonts w:eastAsia="仿宋_GB2312"/>
          <w:snapToGrid w:val="0"/>
          <w:color w:val="000000"/>
          <w:kern w:val="0"/>
          <w:sz w:val="32"/>
          <w:lang w:eastAsia="zh-Hans"/>
        </w:rPr>
        <w:t>双报告</w:t>
      </w:r>
      <w:r>
        <w:rPr>
          <w:rFonts w:hint="eastAsia" w:eastAsia="仿宋_GB2312"/>
          <w:snapToGrid w:val="0"/>
          <w:color w:val="000000"/>
          <w:kern w:val="0"/>
          <w:sz w:val="32"/>
          <w:lang w:eastAsia="zh-Hans"/>
        </w:rPr>
        <w:t>”</w:t>
      </w:r>
      <w:r>
        <w:rPr>
          <w:rFonts w:eastAsia="仿宋_GB2312"/>
          <w:snapToGrid w:val="0"/>
          <w:color w:val="000000"/>
          <w:kern w:val="0"/>
          <w:sz w:val="32"/>
          <w:lang w:eastAsia="zh-Hans"/>
        </w:rPr>
        <w:t>制度，发挥监督反馈作用。落实</w:t>
      </w:r>
      <w:r>
        <w:rPr>
          <w:rFonts w:hint="eastAsia" w:eastAsia="仿宋_GB2312"/>
          <w:snapToGrid w:val="0"/>
          <w:color w:val="000000"/>
          <w:kern w:val="0"/>
          <w:sz w:val="32"/>
          <w:lang w:eastAsia="zh-Hans"/>
        </w:rPr>
        <w:t>江门市败诉行政案件和行政机关负责人出庭应诉年度报告制度</w:t>
      </w:r>
      <w:r>
        <w:rPr>
          <w:rFonts w:eastAsia="仿宋_GB2312"/>
          <w:snapToGrid w:val="0"/>
          <w:color w:val="000000"/>
          <w:kern w:val="0"/>
          <w:sz w:val="32"/>
          <w:lang w:eastAsia="zh-Hans"/>
        </w:rPr>
        <w:t>，</w:t>
      </w:r>
      <w:r>
        <w:rPr>
          <w:rFonts w:hint="eastAsia" w:ascii="Times New Roman" w:hAnsi="Times New Roman" w:eastAsia="仿宋_GB2312" w:cs="Times New Roman"/>
          <w:color w:val="000000"/>
          <w:kern w:val="2"/>
          <w:sz w:val="32"/>
          <w:szCs w:val="32"/>
          <w:lang w:eastAsia="zh-CN" w:bidi="ar-SA"/>
        </w:rPr>
        <w:t>202</w:t>
      </w:r>
      <w:r>
        <w:rPr>
          <w:rFonts w:hint="default" w:ascii="Times New Roman" w:hAnsi="Times New Roman" w:eastAsia="仿宋_GB2312" w:cs="Times New Roman"/>
          <w:color w:val="000000"/>
          <w:kern w:val="2"/>
          <w:sz w:val="32"/>
          <w:szCs w:val="32"/>
          <w:lang w:eastAsia="zh-CN" w:bidi="ar-SA"/>
        </w:rPr>
        <w:t>3</w:t>
      </w:r>
      <w:r>
        <w:rPr>
          <w:rFonts w:hint="eastAsia" w:ascii="Times New Roman" w:hAnsi="Times New Roman" w:eastAsia="仿宋_GB2312" w:cs="Times New Roman"/>
          <w:color w:val="000000"/>
          <w:kern w:val="2"/>
          <w:sz w:val="32"/>
          <w:szCs w:val="32"/>
          <w:lang w:eastAsia="zh-CN" w:bidi="ar-SA"/>
        </w:rPr>
        <w:t>年行政案件开庭数（含一、二审）</w:t>
      </w:r>
      <w:r>
        <w:rPr>
          <w:rFonts w:hint="default" w:ascii="Times New Roman" w:hAnsi="Times New Roman" w:eastAsia="仿宋_GB2312" w:cs="Times New Roman"/>
          <w:color w:val="000000"/>
          <w:kern w:val="2"/>
          <w:sz w:val="32"/>
          <w:szCs w:val="32"/>
          <w:lang w:eastAsia="zh-CN" w:bidi="ar-SA"/>
        </w:rPr>
        <w:t>1169</w:t>
      </w:r>
      <w:r>
        <w:rPr>
          <w:rFonts w:hint="eastAsia" w:ascii="Times New Roman" w:hAnsi="Times New Roman" w:eastAsia="仿宋_GB2312" w:cs="Times New Roman"/>
          <w:color w:val="000000"/>
          <w:kern w:val="2"/>
          <w:sz w:val="32"/>
          <w:szCs w:val="32"/>
          <w:lang w:eastAsia="zh-CN" w:bidi="ar-SA"/>
        </w:rPr>
        <w:t xml:space="preserve"> 件，行政机关负责人出庭数</w:t>
      </w:r>
      <w:r>
        <w:rPr>
          <w:rFonts w:hint="default" w:ascii="Times New Roman" w:hAnsi="Times New Roman" w:eastAsia="仿宋_GB2312" w:cs="Times New Roman"/>
          <w:color w:val="000000"/>
          <w:kern w:val="2"/>
          <w:sz w:val="32"/>
          <w:szCs w:val="32"/>
          <w:lang w:eastAsia="zh-CN" w:bidi="ar-SA"/>
        </w:rPr>
        <w:t>1161</w:t>
      </w:r>
      <w:r>
        <w:rPr>
          <w:rFonts w:hint="eastAsia" w:ascii="Times New Roman" w:hAnsi="Times New Roman" w:eastAsia="仿宋_GB2312" w:cs="Times New Roman"/>
          <w:color w:val="000000"/>
          <w:kern w:val="2"/>
          <w:sz w:val="32"/>
          <w:szCs w:val="32"/>
          <w:lang w:eastAsia="zh-CN" w:bidi="ar-SA"/>
        </w:rPr>
        <w:t>件，出庭应诉率</w:t>
      </w:r>
      <w:r>
        <w:rPr>
          <w:rFonts w:hint="default" w:ascii="Times New Roman" w:hAnsi="Times New Roman" w:eastAsia="仿宋_GB2312" w:cs="Times New Roman"/>
          <w:color w:val="000000"/>
          <w:kern w:val="2"/>
          <w:sz w:val="32"/>
          <w:szCs w:val="32"/>
          <w:lang w:eastAsia="zh-CN" w:bidi="ar-SA"/>
        </w:rPr>
        <w:t>99.32</w:t>
      </w:r>
      <w:r>
        <w:rPr>
          <w:rFonts w:hint="eastAsia"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eastAsia="zh-CN" w:bidi="ar-SA"/>
        </w:rPr>
        <w:t>2023</w:t>
      </w:r>
      <w:r>
        <w:rPr>
          <w:rFonts w:hint="eastAsia" w:ascii="Times New Roman" w:hAnsi="Times New Roman" w:eastAsia="仿宋_GB2312" w:cs="Times New Roman"/>
          <w:color w:val="000000"/>
          <w:kern w:val="2"/>
          <w:sz w:val="32"/>
          <w:szCs w:val="32"/>
          <w:lang w:eastAsia="zh-CN" w:bidi="ar-SA"/>
        </w:rPr>
        <w:t>年行政机关负责人出庭率</w:t>
      </w:r>
      <w:r>
        <w:rPr>
          <w:rFonts w:hint="default" w:ascii="Times New Roman" w:hAnsi="Times New Roman" w:eastAsia="仿宋_GB2312" w:cs="Times New Roman"/>
          <w:color w:val="000000"/>
          <w:kern w:val="2"/>
          <w:sz w:val="32"/>
          <w:szCs w:val="32"/>
          <w:lang w:eastAsia="zh-CN" w:bidi="ar-SA"/>
        </w:rPr>
        <w:t>再创新高</w:t>
      </w:r>
      <w:r>
        <w:rPr>
          <w:rFonts w:hint="eastAsia" w:ascii="Times New Roman" w:hAnsi="Times New Roman" w:eastAsia="仿宋_GB2312" w:cs="Times New Roman"/>
          <w:color w:val="000000"/>
          <w:kern w:val="2"/>
          <w:sz w:val="32"/>
          <w:szCs w:val="32"/>
          <w:lang w:eastAsia="zh-CN" w:bidi="ar-SA"/>
        </w:rPr>
        <w:t>。</w:t>
      </w:r>
    </w:p>
    <w:p>
      <w:pPr>
        <w:widowControl/>
        <w:numPr>
          <w:ilvl w:val="0"/>
          <w:numId w:val="0"/>
        </w:numPr>
        <w:spacing w:line="240" w:lineRule="auto"/>
        <w:ind w:firstLine="643" w:firstLineChars="200"/>
        <w:outlineLvl w:val="9"/>
        <w:rPr>
          <w:rFonts w:hint="eastAsia" w:ascii="Times New Roman" w:hAnsi="Times New Roman" w:eastAsia="仿宋_GB2312"/>
          <w:color w:val="000000"/>
          <w:sz w:val="32"/>
          <w:szCs w:val="32"/>
          <w:lang w:eastAsia="zh-CN"/>
        </w:rPr>
      </w:pPr>
      <w:r>
        <w:rPr>
          <w:rFonts w:ascii="楷体" w:hAnsi="楷体" w:eastAsia="楷体" w:cs="楷体"/>
          <w:b/>
          <w:bCs/>
          <w:color w:val="000000"/>
          <w:sz w:val="32"/>
          <w:szCs w:val="32"/>
          <w:lang w:eastAsia="zh-Hans"/>
        </w:rPr>
        <w:t>（五）</w:t>
      </w:r>
      <w:r>
        <w:rPr>
          <w:rFonts w:hint="eastAsia" w:ascii="Times New Roman" w:hAnsi="Times New Roman" w:eastAsia="仿宋_GB2312"/>
          <w:b/>
          <w:bCs/>
          <w:color w:val="000000"/>
          <w:sz w:val="32"/>
          <w:szCs w:val="32"/>
        </w:rPr>
        <w:t>优化营商环境</w:t>
      </w:r>
      <w:r>
        <w:rPr>
          <w:rFonts w:hint="eastAsia" w:ascii="Times New Roman" w:hAnsi="Times New Roman" w:eastAsia="仿宋_GB2312"/>
          <w:b/>
          <w:bCs/>
          <w:color w:val="000000"/>
          <w:sz w:val="32"/>
          <w:szCs w:val="32"/>
          <w:lang w:eastAsia="zh-CN"/>
        </w:rPr>
        <w:t>，提升涉企服务水平。</w:t>
      </w:r>
      <w:r>
        <w:rPr>
          <w:rFonts w:hint="default" w:ascii="Times New Roman" w:hAnsi="Times New Roman" w:eastAsia="仿宋_GB2312"/>
          <w:color w:val="000000"/>
          <w:sz w:val="32"/>
          <w:szCs w:val="32"/>
          <w:lang w:eastAsia="zh-CN"/>
        </w:rPr>
        <w:t>一是</w:t>
      </w:r>
      <w:r>
        <w:rPr>
          <w:rFonts w:hint="eastAsia" w:ascii="Times New Roman" w:hAnsi="Times New Roman" w:eastAsia="仿宋_GB2312"/>
          <w:color w:val="000000"/>
          <w:sz w:val="32"/>
          <w:szCs w:val="32"/>
          <w:lang w:eastAsia="zh-CN"/>
        </w:rPr>
        <w:t>前置矛盾化解工作，涉企案件办案人员进入企业、园区开展现场调查、听取意见，减轻企业诉累。</w:t>
      </w:r>
      <w:r>
        <w:rPr>
          <w:rFonts w:hint="default" w:ascii="Times New Roman" w:hAnsi="Times New Roman" w:eastAsia="仿宋_GB2312"/>
          <w:color w:val="000000"/>
          <w:sz w:val="32"/>
          <w:szCs w:val="32"/>
          <w:lang w:eastAsia="zh-CN"/>
        </w:rPr>
        <w:t>二是</w:t>
      </w:r>
      <w:r>
        <w:rPr>
          <w:rFonts w:hint="eastAsia" w:ascii="Times New Roman" w:hAnsi="Times New Roman" w:eastAsia="仿宋_GB2312"/>
          <w:color w:val="000000"/>
          <w:sz w:val="32"/>
          <w:szCs w:val="32"/>
          <w:lang w:eastAsia="zh-CN"/>
        </w:rPr>
        <w:t>在案件审理阶段对涉企经济影响进行评估，指导行政机关适时改变行政强制措施，减少企业经营风险。</w:t>
      </w:r>
      <w:r>
        <w:rPr>
          <w:rFonts w:hint="default" w:ascii="Times New Roman" w:hAnsi="Times New Roman" w:eastAsia="仿宋_GB2312"/>
          <w:color w:val="000000"/>
          <w:sz w:val="32"/>
          <w:szCs w:val="32"/>
          <w:lang w:eastAsia="zh-CN"/>
        </w:rPr>
        <w:t>三是</w:t>
      </w:r>
      <w:r>
        <w:rPr>
          <w:rFonts w:hint="eastAsia" w:ascii="Times New Roman" w:hAnsi="Times New Roman" w:eastAsia="仿宋_GB2312"/>
          <w:color w:val="000000"/>
          <w:sz w:val="32"/>
          <w:szCs w:val="32"/>
          <w:lang w:eastAsia="zh-CN"/>
        </w:rPr>
        <w:t>贯彻坚持处罚与教育相结合的原则，对于主动履行复议决定书或复议调解书的当事人，要求行政机关及时移出失信名单，解除企业经营限制。</w:t>
      </w:r>
      <w:r>
        <w:rPr>
          <w:rFonts w:hint="eastAsia" w:ascii="Times New Roman" w:hAnsi="Times New Roman" w:eastAsia="仿宋_GB2312"/>
          <w:color w:val="000000"/>
          <w:sz w:val="32"/>
          <w:szCs w:val="32"/>
          <w:lang w:val="en-US" w:eastAsia="zh-CN"/>
        </w:rPr>
        <w:t>2023年，全市受理</w:t>
      </w:r>
      <w:r>
        <w:rPr>
          <w:rFonts w:hint="eastAsia" w:ascii="Times New Roman" w:hAnsi="Times New Roman" w:eastAsia="仿宋_GB2312"/>
          <w:color w:val="000000"/>
          <w:sz w:val="32"/>
          <w:szCs w:val="32"/>
        </w:rPr>
        <w:t>涉企复议申请（含市场监管、职业打假投诉、工伤认定、生态环境、交通运输等</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220</w:t>
      </w:r>
      <w:r>
        <w:rPr>
          <w:rFonts w:hint="eastAsia" w:ascii="Times New Roman" w:hAnsi="Times New Roman" w:eastAsia="仿宋_GB2312"/>
          <w:color w:val="000000"/>
          <w:sz w:val="32"/>
          <w:szCs w:val="32"/>
        </w:rPr>
        <w:t>宗，</w:t>
      </w:r>
      <w:r>
        <w:rPr>
          <w:rFonts w:hint="eastAsia" w:ascii="Times New Roman" w:hAnsi="Times New Roman" w:eastAsia="仿宋_GB2312"/>
          <w:color w:val="000000"/>
          <w:sz w:val="32"/>
          <w:szCs w:val="32"/>
          <w:lang w:eastAsia="zh-CN"/>
        </w:rPr>
        <w:t>通过直接纠错、调解、和解等方式</w:t>
      </w:r>
      <w:r>
        <w:rPr>
          <w:rFonts w:hint="eastAsia" w:ascii="Times New Roman" w:hAnsi="Times New Roman" w:eastAsia="仿宋_GB2312"/>
          <w:color w:val="000000"/>
          <w:sz w:val="32"/>
          <w:szCs w:val="32"/>
        </w:rPr>
        <w:t>为企业</w:t>
      </w:r>
      <w:r>
        <w:rPr>
          <w:rFonts w:hint="eastAsia" w:ascii="Times New Roman" w:hAnsi="Times New Roman" w:eastAsia="仿宋_GB2312"/>
          <w:color w:val="000000"/>
          <w:sz w:val="32"/>
          <w:szCs w:val="32"/>
          <w:lang w:eastAsia="zh-CN"/>
        </w:rPr>
        <w:t>减轻经济损失的金额达</w:t>
      </w:r>
      <w:r>
        <w:rPr>
          <w:rFonts w:hint="eastAsia" w:ascii="Times New Roman" w:hAnsi="Times New Roman" w:eastAsia="仿宋_GB2312"/>
          <w:color w:val="000000"/>
          <w:sz w:val="32"/>
          <w:szCs w:val="32"/>
          <w:lang w:val="en-US" w:eastAsia="zh-CN"/>
        </w:rPr>
        <w:t>258.5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帮助企业纾困解难，护航企业稳步发展。</w:t>
      </w:r>
    </w:p>
    <w:p>
      <w:pPr>
        <w:ind w:firstLine="643" w:firstLineChars="200"/>
        <w:rPr>
          <w:rFonts w:ascii="仿宋_GB2312" w:eastAsia="仿宋_GB2312"/>
          <w:b/>
          <w:bCs/>
          <w:sz w:val="32"/>
          <w:szCs w:val="32"/>
        </w:rPr>
      </w:pPr>
      <w:r>
        <w:rPr>
          <w:rFonts w:hint="eastAsia" w:ascii="仿宋_GB2312" w:eastAsia="仿宋_GB2312"/>
          <w:b/>
          <w:bCs/>
          <w:sz w:val="32"/>
          <w:szCs w:val="32"/>
        </w:rPr>
        <w:t>五、存在问题及建议</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Times New Roman" w:eastAsia="仿宋_GB2312" w:cs="Times New Roman"/>
          <w:sz w:val="32"/>
          <w:szCs w:val="32"/>
        </w:rPr>
        <w:t>我市在202</w:t>
      </w:r>
      <w:r>
        <w:rPr>
          <w:rFonts w:hint="default" w:ascii="仿宋_GB2312" w:eastAsia="仿宋_GB2312" w:cs="Times New Roman"/>
          <w:sz w:val="32"/>
          <w:szCs w:val="32"/>
          <w:lang w:val="en-US"/>
        </w:rPr>
        <w:t>2</w:t>
      </w:r>
      <w:r>
        <w:rPr>
          <w:rFonts w:hint="eastAsia" w:ascii="仿宋_GB2312" w:hAnsi="Times New Roman" w:eastAsia="仿宋_GB2312" w:cs="Times New Roman"/>
          <w:sz w:val="32"/>
          <w:szCs w:val="32"/>
        </w:rPr>
        <w:t>年度法治广东建设考评中，以珠三角地区第三名、历年最佳的成绩连续</w:t>
      </w:r>
      <w:r>
        <w:rPr>
          <w:rFonts w:hint="eastAsia" w:ascii="仿宋_GB2312" w:eastAsia="仿宋_GB2312" w:cs="Times New Roman"/>
          <w:sz w:val="32"/>
          <w:szCs w:val="32"/>
          <w:lang w:eastAsia="zh-CN"/>
        </w:rPr>
        <w:t>五</w:t>
      </w:r>
      <w:r>
        <w:rPr>
          <w:rFonts w:hint="eastAsia" w:ascii="仿宋_GB2312" w:hAnsi="Times New Roman" w:eastAsia="仿宋_GB2312" w:cs="Times New Roman"/>
          <w:sz w:val="32"/>
          <w:szCs w:val="32"/>
        </w:rPr>
        <w:t>年获评优秀等次，在统</w:t>
      </w:r>
      <w:r>
        <w:rPr>
          <w:rFonts w:hint="eastAsia" w:ascii="仿宋_GB2312" w:eastAsia="仿宋_GB2312"/>
          <w:sz w:val="32"/>
          <w:szCs w:val="32"/>
        </w:rPr>
        <w:t>筹推进法治政府建设上取得一定成效，</w:t>
      </w:r>
      <w:r>
        <w:rPr>
          <w:rFonts w:hint="eastAsia" w:ascii="仿宋_GB2312" w:hAnsi="仿宋_GB2312" w:eastAsia="仿宋_GB2312" w:cs="仿宋_GB2312"/>
          <w:kern w:val="0"/>
          <w:sz w:val="32"/>
          <w:szCs w:val="32"/>
        </w:rPr>
        <w:t>但财政资金绩效评价方面仍需进一步完善绩效评价体系，加强监督检查和考核工作。接下来将进一步探索完善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w:t>
      </w:r>
    </w:p>
    <w:p>
      <w:pPr>
        <w:pStyle w:val="9"/>
        <w:spacing w:line="580" w:lineRule="exact"/>
        <w:ind w:firstLine="640" w:firstLineChars="200"/>
        <w:outlineLvl w:val="0"/>
        <w:rPr>
          <w:rFonts w:hint="eastAsia" w:eastAsia="仿宋_GB2312"/>
          <w:lang w:val="en-US" w:eastAsia="zh-CN"/>
        </w:rPr>
      </w:pPr>
      <w:r>
        <w:rPr>
          <w:rFonts w:hint="eastAsia" w:ascii="仿宋_GB2312" w:hAnsi="仿宋_GB2312" w:cs="仿宋_GB2312"/>
          <w:kern w:val="0"/>
          <w:sz w:val="32"/>
          <w:szCs w:val="32"/>
          <w:lang w:val="en-US" w:eastAsia="zh-CN"/>
        </w:rPr>
        <w:t>（一）</w:t>
      </w:r>
      <w:r>
        <w:rPr>
          <w:rFonts w:hint="eastAsia" w:ascii="仿宋_GB2312" w:hAnsi="仿宋_GB2312" w:eastAsia="仿宋_GB2312" w:cs="仿宋_GB2312"/>
          <w:kern w:val="0"/>
          <w:sz w:val="32"/>
          <w:szCs w:val="32"/>
          <w:lang w:val="en-US" w:eastAsia="zh-CN"/>
        </w:rPr>
        <w:t>行政复议工作：</w:t>
      </w:r>
      <w:r>
        <w:rPr>
          <w:rFonts w:hint="default" w:ascii="仿宋_GB2312"/>
          <w:color w:val="000000"/>
          <w:szCs w:val="32"/>
          <w:shd w:val="clear" w:color="auto" w:fill="FFFFFF"/>
        </w:rPr>
        <w:t>新的行政复议法实施</w:t>
      </w:r>
      <w:r>
        <w:rPr>
          <w:rFonts w:hint="eastAsia" w:ascii="仿宋_GB2312"/>
          <w:color w:val="000000"/>
          <w:szCs w:val="32"/>
          <w:shd w:val="clear" w:color="auto" w:fill="FFFFFF"/>
        </w:rPr>
        <w:t>后，</w:t>
      </w:r>
      <w:r>
        <w:rPr>
          <w:rFonts w:hint="default" w:ascii="仿宋_GB2312"/>
          <w:color w:val="000000"/>
          <w:szCs w:val="32"/>
          <w:shd w:val="clear" w:color="auto" w:fill="FFFFFF"/>
        </w:rPr>
        <w:t>预计</w:t>
      </w:r>
      <w:r>
        <w:rPr>
          <w:rFonts w:hint="eastAsia" w:ascii="仿宋_GB2312"/>
          <w:color w:val="000000"/>
          <w:szCs w:val="32"/>
          <w:shd w:val="clear" w:color="auto" w:fill="FFFFFF"/>
        </w:rPr>
        <w:t>市、县（市、区）两级政府收受行政复议应诉数量</w:t>
      </w:r>
      <w:r>
        <w:rPr>
          <w:rFonts w:hint="default" w:ascii="仿宋_GB2312"/>
          <w:color w:val="000000"/>
          <w:szCs w:val="32"/>
          <w:shd w:val="clear" w:color="auto" w:fill="FFFFFF"/>
        </w:rPr>
        <w:t>将会</w:t>
      </w:r>
      <w:r>
        <w:rPr>
          <w:rFonts w:hint="eastAsia" w:ascii="仿宋_GB2312"/>
          <w:color w:val="000000"/>
          <w:szCs w:val="32"/>
          <w:shd w:val="clear" w:color="auto" w:fill="FFFFFF"/>
        </w:rPr>
        <w:t>出现大幅度增长，而行政复议改革后的新增编制人员尚未全部到位，人少案多的客观困难可能长期存在。</w:t>
      </w:r>
      <w:r>
        <w:rPr>
          <w:rFonts w:hint="eastAsia" w:ascii="仿宋_GB2312"/>
          <w:color w:val="000000"/>
          <w:szCs w:val="32"/>
          <w:shd w:val="clear" w:color="auto" w:fill="FFFFFF"/>
          <w:lang w:eastAsia="zh-CN"/>
        </w:rPr>
        <w:t>复议机构配套设施、人员配置上仍有不足。复议经费投入较少，制约了复议功能的有效发挥。</w:t>
      </w:r>
    </w:p>
    <w:p>
      <w:pPr>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（二）规范性文件审核工作：</w:t>
      </w:r>
      <w:r>
        <w:rPr>
          <w:rFonts w:hint="eastAsia" w:ascii="仿宋_GB2312" w:eastAsia="仿宋_GB2312"/>
          <w:sz w:val="32"/>
          <w:szCs w:val="32"/>
          <w:lang w:eastAsia="zh-CN"/>
        </w:rPr>
        <w:t>一是部分起草单位责任落实不到位，管理统筹规范性文件能力仍需加强，主要表现为内部法制机构疏于对文件起草科室的指导，导致信息沟通不畅，文件制发效率较低下；二是规范性文件制发的系统性、科学性有待提高，存在层层发文及“炒冷饭”等现象；三是县（市、区）级政府规范性文件监管链不够完善，日常监管、发布阶段的监管不够到位。</w:t>
      </w:r>
    </w:p>
    <w:p>
      <w:pPr>
        <w:pStyle w:val="6"/>
        <w:ind w:left="0" w:leftChars="0" w:firstLine="640" w:firstLineChars="200"/>
        <w:rPr>
          <w:rFonts w:hint="eastAsia"/>
          <w:lang w:eastAsia="zh-CN"/>
        </w:rPr>
      </w:pPr>
      <w:r>
        <w:rPr>
          <w:rFonts w:hint="eastAsia" w:ascii="仿宋_GB2312" w:hAnsi="仿宋_GB2312" w:eastAsia="仿宋_GB2312" w:cs="仿宋_GB2312"/>
          <w:kern w:val="2"/>
          <w:sz w:val="32"/>
          <w:szCs w:val="32"/>
          <w:lang w:val="en-US" w:eastAsia="zh-CN" w:bidi="ar-SA"/>
        </w:rPr>
        <w:t>（三）按财政要求，为落实党政机关“习惯过紧日子”精神，厉行节约，按规定调减该项目支出，压减后该项预算指标金额为</w:t>
      </w:r>
      <w:r>
        <w:rPr>
          <w:rFonts w:hint="default" w:ascii="仿宋_GB2312" w:hAnsi="仿宋_GB2312" w:eastAsia="仿宋_GB2312" w:cs="仿宋_GB2312"/>
          <w:kern w:val="2"/>
          <w:sz w:val="32"/>
          <w:szCs w:val="32"/>
          <w:lang w:val="en-US" w:eastAsia="zh-CN" w:bidi="ar-SA"/>
        </w:rPr>
        <w:t>93.79</w:t>
      </w:r>
      <w:r>
        <w:rPr>
          <w:rFonts w:hint="eastAsia" w:ascii="仿宋_GB2312" w:hAnsi="仿宋_GB2312" w:eastAsia="仿宋_GB2312" w:cs="仿宋_GB2312"/>
          <w:kern w:val="2"/>
          <w:sz w:val="32"/>
          <w:szCs w:val="32"/>
          <w:lang w:val="en-US" w:eastAsia="zh-CN" w:bidi="ar-SA"/>
        </w:rPr>
        <w:t>万元，全年实际支出</w:t>
      </w:r>
      <w:r>
        <w:rPr>
          <w:rFonts w:hint="default" w:ascii="仿宋_GB2312" w:hAnsi="仿宋_GB2312" w:eastAsia="仿宋_GB2312" w:cs="仿宋_GB2312"/>
          <w:kern w:val="2"/>
          <w:sz w:val="32"/>
          <w:szCs w:val="32"/>
          <w:lang w:val="en-US" w:eastAsia="zh-CN" w:bidi="ar-SA"/>
        </w:rPr>
        <w:t>93.79</w:t>
      </w:r>
      <w:r>
        <w:rPr>
          <w:rFonts w:hint="eastAsia" w:ascii="仿宋_GB2312" w:hAnsi="仿宋_GB2312" w:eastAsia="仿宋_GB2312" w:cs="仿宋_GB2312"/>
          <w:kern w:val="2"/>
          <w:sz w:val="32"/>
          <w:szCs w:val="32"/>
          <w:lang w:val="en-US" w:eastAsia="zh-CN" w:bidi="ar-SA"/>
        </w:rPr>
        <w:t>万元，按压减后的预算指标计算支出率为</w:t>
      </w:r>
      <w:r>
        <w:rPr>
          <w:rFonts w:hint="default" w:ascii="仿宋_GB2312" w:hAnsi="仿宋_GB2312" w:eastAsia="仿宋_GB2312" w:cs="仿宋_GB2312"/>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我们将继续深化统筹管理，不断优化工作机制，加强与市府办双向联动，提高规范性文件效能，同时全面加强能力建设，促进业务能力和监管水平双提升。</w:t>
      </w:r>
    </w:p>
    <w:p>
      <w:pPr>
        <w:pStyle w:val="6"/>
      </w:pP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六、项目自评结论及得分</w:t>
      </w:r>
    </w:p>
    <w:p>
      <w:pPr>
        <w:ind w:firstLine="640" w:firstLineChars="200"/>
        <w:jc w:val="left"/>
        <w:rPr>
          <w:rFonts w:ascii="仿宋_GB2312" w:eastAsia="仿宋_GB2312"/>
          <w:sz w:val="32"/>
          <w:szCs w:val="32"/>
        </w:rPr>
      </w:pPr>
      <w:r>
        <w:rPr>
          <w:rFonts w:hint="eastAsia" w:ascii="仿宋_GB2312" w:eastAsia="仿宋_GB2312"/>
          <w:sz w:val="32"/>
          <w:szCs w:val="32"/>
        </w:rPr>
        <w:t>根据项目绩效自评指标评分标准，该项目自评得分为98分，具体自评情况见附表。</w:t>
      </w:r>
    </w:p>
    <w:p>
      <w:pPr>
        <w:ind w:left="420" w:leftChars="200"/>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FangSong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85"/>
    <w:rsid w:val="000259F4"/>
    <w:rsid w:val="00036540"/>
    <w:rsid w:val="000F0856"/>
    <w:rsid w:val="000F27B5"/>
    <w:rsid w:val="000F7D15"/>
    <w:rsid w:val="00112823"/>
    <w:rsid w:val="0016372C"/>
    <w:rsid w:val="001F6FDF"/>
    <w:rsid w:val="00212105"/>
    <w:rsid w:val="002504EE"/>
    <w:rsid w:val="00280656"/>
    <w:rsid w:val="002A4187"/>
    <w:rsid w:val="002E144D"/>
    <w:rsid w:val="0038142C"/>
    <w:rsid w:val="00421FF4"/>
    <w:rsid w:val="00443F62"/>
    <w:rsid w:val="00462F79"/>
    <w:rsid w:val="004A6976"/>
    <w:rsid w:val="004C51C6"/>
    <w:rsid w:val="0050024C"/>
    <w:rsid w:val="00501EAE"/>
    <w:rsid w:val="00507990"/>
    <w:rsid w:val="00635135"/>
    <w:rsid w:val="00651F26"/>
    <w:rsid w:val="00684204"/>
    <w:rsid w:val="006F2E9C"/>
    <w:rsid w:val="0070789D"/>
    <w:rsid w:val="007D6707"/>
    <w:rsid w:val="00826BAE"/>
    <w:rsid w:val="008324F9"/>
    <w:rsid w:val="00866B49"/>
    <w:rsid w:val="00875F85"/>
    <w:rsid w:val="00900C1C"/>
    <w:rsid w:val="00901FCE"/>
    <w:rsid w:val="009258BE"/>
    <w:rsid w:val="009A75A9"/>
    <w:rsid w:val="00A04D5C"/>
    <w:rsid w:val="00A328B3"/>
    <w:rsid w:val="00AE5158"/>
    <w:rsid w:val="00B223A5"/>
    <w:rsid w:val="00C35FD8"/>
    <w:rsid w:val="00C82655"/>
    <w:rsid w:val="00CB6D51"/>
    <w:rsid w:val="00D247CF"/>
    <w:rsid w:val="00D520CA"/>
    <w:rsid w:val="00D53C69"/>
    <w:rsid w:val="00DB0C85"/>
    <w:rsid w:val="00DE020A"/>
    <w:rsid w:val="00DF09EA"/>
    <w:rsid w:val="00E4000C"/>
    <w:rsid w:val="00E54D36"/>
    <w:rsid w:val="00EA6539"/>
    <w:rsid w:val="00F04121"/>
    <w:rsid w:val="00F132F1"/>
    <w:rsid w:val="00F54FF2"/>
    <w:rsid w:val="00F61ADD"/>
    <w:rsid w:val="00F774CD"/>
    <w:rsid w:val="00FA42CD"/>
    <w:rsid w:val="061E1FF4"/>
    <w:rsid w:val="07687E25"/>
    <w:rsid w:val="07C17C89"/>
    <w:rsid w:val="0A4748BF"/>
    <w:rsid w:val="1587363E"/>
    <w:rsid w:val="16435FF0"/>
    <w:rsid w:val="190C454A"/>
    <w:rsid w:val="19F86250"/>
    <w:rsid w:val="1C4909F3"/>
    <w:rsid w:val="1F4A75D8"/>
    <w:rsid w:val="201712F4"/>
    <w:rsid w:val="22647CE1"/>
    <w:rsid w:val="23171130"/>
    <w:rsid w:val="235227AB"/>
    <w:rsid w:val="27982EB8"/>
    <w:rsid w:val="309A7CDF"/>
    <w:rsid w:val="315B20EC"/>
    <w:rsid w:val="32D76F2C"/>
    <w:rsid w:val="337815F1"/>
    <w:rsid w:val="34242587"/>
    <w:rsid w:val="38217862"/>
    <w:rsid w:val="3D897A84"/>
    <w:rsid w:val="40963DAC"/>
    <w:rsid w:val="42C2463D"/>
    <w:rsid w:val="43E022F1"/>
    <w:rsid w:val="44336EF6"/>
    <w:rsid w:val="466324D8"/>
    <w:rsid w:val="4732267D"/>
    <w:rsid w:val="47740ED1"/>
    <w:rsid w:val="574F2E09"/>
    <w:rsid w:val="599B73FF"/>
    <w:rsid w:val="5C074BAF"/>
    <w:rsid w:val="60EB19A5"/>
    <w:rsid w:val="64900595"/>
    <w:rsid w:val="65635996"/>
    <w:rsid w:val="6AF32B04"/>
    <w:rsid w:val="6B2D5157"/>
    <w:rsid w:val="6C736DDC"/>
    <w:rsid w:val="72163504"/>
    <w:rsid w:val="72750940"/>
    <w:rsid w:val="73C1363E"/>
    <w:rsid w:val="793629FE"/>
    <w:rsid w:val="7EA57816"/>
    <w:rsid w:val="7EF525D8"/>
    <w:rsid w:val="7F34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toc 2"/>
    <w:basedOn w:val="1"/>
    <w:next w:val="1"/>
    <w:qFormat/>
    <w:uiPriority w:val="0"/>
    <w:pPr>
      <w:ind w:left="42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qFormat/>
    <w:uiPriority w:val="10"/>
    <w:pPr>
      <w:spacing w:line="600" w:lineRule="exact"/>
      <w:jc w:val="center"/>
      <w:outlineLvl w:val="0"/>
    </w:pPr>
    <w:rPr>
      <w:rFonts w:ascii="Times New Roman" w:hAnsi="Times New Roman" w:eastAsia="方正小标宋简体"/>
      <w:b/>
      <w:bCs/>
      <w:sz w:val="44"/>
      <w:szCs w:val="32"/>
    </w:rPr>
  </w:style>
  <w:style w:type="paragraph" w:styleId="9">
    <w:name w:val="Body Text First Indent"/>
    <w:basedOn w:val="1"/>
    <w:qFormat/>
    <w:uiPriority w:val="0"/>
    <w:pPr>
      <w:ind w:firstLine="420" w:firstLineChars="100"/>
    </w:pPr>
    <w:rPr>
      <w:rFonts w:ascii="Times New Roman" w:hAnsi="Times New Roman" w:eastAsia="仿宋_GB2312"/>
      <w:sz w:val="32"/>
      <w:szCs w:val="24"/>
    </w:rPr>
  </w:style>
  <w:style w:type="character" w:customStyle="1" w:styleId="12">
    <w:name w:val="页眉 Char"/>
    <w:basedOn w:val="11"/>
    <w:link w:val="3"/>
    <w:qFormat/>
    <w:uiPriority w:val="99"/>
    <w:rPr>
      <w:rFonts w:ascii="Times New Roman" w:hAnsi="Times New Roman" w:eastAsia="宋体" w:cs="Times New Roman"/>
      <w:sz w:val="18"/>
      <w:szCs w:val="18"/>
    </w:rPr>
  </w:style>
  <w:style w:type="character" w:customStyle="1" w:styleId="13">
    <w:name w:val="页脚 Char"/>
    <w:basedOn w:val="11"/>
    <w:link w:val="5"/>
    <w:qFormat/>
    <w:uiPriority w:val="99"/>
    <w:rPr>
      <w:rFonts w:ascii="Times New Roman" w:hAnsi="Times New Roman" w:eastAsia="宋体" w:cs="Times New Roman"/>
      <w:sz w:val="18"/>
      <w:szCs w:val="18"/>
    </w:rPr>
  </w:style>
  <w:style w:type="character" w:customStyle="1" w:styleId="14">
    <w:name w:val="批注框文本 Char"/>
    <w:basedOn w:val="11"/>
    <w:link w:val="4"/>
    <w:semiHidden/>
    <w:qFormat/>
    <w:uiPriority w:val="99"/>
    <w:rPr>
      <w:rFonts w:ascii="Times New Roman" w:hAnsi="Times New Roman" w:eastAsia="宋体" w:cs="Times New Roman"/>
      <w:sz w:val="18"/>
      <w:szCs w:val="18"/>
    </w:rPr>
  </w:style>
  <w:style w:type="paragraph" w:customStyle="1" w:styleId="1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16">
    <w:name w:val="BodyText"/>
    <w:basedOn w:val="1"/>
    <w:next w:val="8"/>
    <w:qFormat/>
    <w:uiPriority w:val="0"/>
    <w:pPr>
      <w:spacing w:after="120"/>
      <w:textAlignment w:val="baseline"/>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642</Words>
  <Characters>3660</Characters>
  <Lines>30</Lines>
  <Paragraphs>8</Paragraphs>
  <TotalTime>0</TotalTime>
  <ScaleCrop>false</ScaleCrop>
  <LinksUpToDate>false</LinksUpToDate>
  <CharactersWithSpaces>4294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陈志成</cp:lastModifiedBy>
  <dcterms:modified xsi:type="dcterms:W3CDTF">2024-05-08T10:35:54Z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5E7494D0CF8E4E99BE11C473DC9CD1F5</vt:lpwstr>
  </property>
</Properties>
</file>