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jc w:val="both"/>
        <w:textAlignment w:val="auto"/>
        <w:rPr>
          <w:rFonts w:hint="eastAsia" w:ascii="黑体" w:hAnsi="黑体" w:eastAsia="黑体" w:cs="黑体"/>
          <w:lang w:val="en-US" w:eastAsia="zh-CN"/>
        </w:rPr>
      </w:pPr>
    </w:p>
    <w:p>
      <w:pPr>
        <w:keepNext w:val="0"/>
        <w:keepLines w:val="0"/>
        <w:pageBreakBefore w:val="0"/>
        <w:widowControl w:val="0"/>
        <w:kinsoku/>
        <w:wordWrap/>
        <w:overflowPunct/>
        <w:topLinePunct w:val="0"/>
        <w:autoSpaceDE/>
        <w:autoSpaceDN/>
        <w:bidi w:val="0"/>
        <w:spacing w:line="600" w:lineRule="exact"/>
        <w:jc w:val="both"/>
        <w:textAlignment w:val="auto"/>
        <w:rPr>
          <w:rFonts w:hint="default" w:ascii="黑体" w:hAnsi="黑体" w:eastAsia="黑体" w:cs="黑体"/>
          <w:lang w:val="en-US" w:eastAsia="zh-CN"/>
        </w:rPr>
      </w:pPr>
      <w:r>
        <w:rPr>
          <w:rFonts w:hint="eastAsia" w:ascii="黑体" w:hAnsi="黑体" w:eastAsia="黑体" w:cs="黑体"/>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cs="仿宋_GB2312"/>
          <w:u w:val="none"/>
          <w:lang w:val="en-US" w:eastAsia="zh-CN"/>
        </w:rPr>
      </w:pPr>
    </w:p>
    <w:p>
      <w:pPr>
        <w:jc w:val="center"/>
        <w:rPr>
          <w:rFonts w:hint="eastAsia" w:ascii="仿宋_GB2312" w:hAnsi="Times New Roman" w:eastAsia="仿宋_GB2312" w:cs="宋体"/>
          <w:b/>
          <w:bCs/>
          <w:color w:val="000000"/>
          <w:kern w:val="0"/>
          <w:sz w:val="44"/>
          <w:szCs w:val="44"/>
          <w:lang w:val="en-US" w:eastAsia="zh-CN"/>
        </w:rPr>
      </w:pPr>
      <w:r>
        <w:rPr>
          <w:rFonts w:hint="eastAsia" w:ascii="仿宋_GB2312" w:hAnsi="Times New Roman" w:eastAsia="仿宋_GB2312" w:cs="宋体"/>
          <w:b/>
          <w:bCs/>
          <w:color w:val="000000"/>
          <w:kern w:val="0"/>
          <w:sz w:val="44"/>
          <w:szCs w:val="44"/>
          <w:lang w:val="en-US" w:eastAsia="zh-CN"/>
        </w:rPr>
        <w:t>江门市农业农村局</w:t>
      </w:r>
      <w:r>
        <w:rPr>
          <w:rFonts w:hint="eastAsia" w:ascii="仿宋_GB2312" w:hAnsi="Times New Roman" w:cs="宋体"/>
          <w:b/>
          <w:bCs/>
          <w:color w:val="000000"/>
          <w:kern w:val="0"/>
          <w:sz w:val="44"/>
          <w:szCs w:val="44"/>
          <w:lang w:val="en-US" w:eastAsia="zh-CN"/>
        </w:rPr>
        <w:t>2024年</w:t>
      </w:r>
      <w:r>
        <w:rPr>
          <w:rFonts w:hint="eastAsia" w:ascii="仿宋_GB2312" w:hAnsi="Times New Roman" w:eastAsia="仿宋_GB2312" w:cs="宋体"/>
          <w:b/>
          <w:bCs/>
          <w:color w:val="000000"/>
          <w:kern w:val="0"/>
          <w:sz w:val="44"/>
          <w:szCs w:val="44"/>
          <w:lang w:val="en-US" w:eastAsia="zh-CN"/>
        </w:rPr>
        <w:t>渔业资源</w:t>
      </w:r>
      <w:r>
        <w:rPr>
          <w:rFonts w:hint="eastAsia" w:ascii="仿宋_GB2312" w:hAnsi="Times New Roman" w:cs="宋体"/>
          <w:b/>
          <w:bCs/>
          <w:color w:val="000000"/>
          <w:kern w:val="0"/>
          <w:sz w:val="44"/>
          <w:szCs w:val="44"/>
          <w:lang w:val="en-US" w:eastAsia="zh-CN"/>
        </w:rPr>
        <w:t>（海水）</w:t>
      </w:r>
    </w:p>
    <w:p>
      <w:pPr>
        <w:jc w:val="center"/>
        <w:rPr>
          <w:rFonts w:hint="eastAsia" w:ascii="仿宋_GB2312" w:hAnsi="Times New Roman" w:eastAsia="仿宋_GB2312" w:cs="宋体"/>
          <w:b/>
          <w:bCs/>
          <w:color w:val="000000"/>
          <w:kern w:val="0"/>
          <w:sz w:val="44"/>
          <w:szCs w:val="44"/>
          <w:lang w:val="en-US" w:eastAsia="zh-CN"/>
        </w:rPr>
      </w:pPr>
      <w:r>
        <w:rPr>
          <w:rFonts w:hint="eastAsia" w:ascii="仿宋_GB2312" w:hAnsi="Times New Roman" w:eastAsia="仿宋_GB2312" w:cs="宋体"/>
          <w:b/>
          <w:bCs/>
          <w:color w:val="000000"/>
          <w:kern w:val="0"/>
          <w:sz w:val="44"/>
          <w:szCs w:val="44"/>
          <w:lang w:val="en-US" w:eastAsia="zh-CN"/>
        </w:rPr>
        <w:t>增殖放流采购项目技术要求</w:t>
      </w:r>
    </w:p>
    <w:p>
      <w:pPr>
        <w:jc w:val="center"/>
        <w:rPr>
          <w:rFonts w:hint="eastAsia" w:ascii="仿宋_GB2312" w:hAnsi="Times New Roman" w:eastAsia="仿宋_GB2312" w:cs="宋体"/>
          <w:b/>
          <w:bCs/>
          <w:color w:val="000000"/>
          <w:kern w:val="0"/>
          <w:sz w:val="44"/>
          <w:szCs w:val="44"/>
          <w:lang w:val="en-US" w:eastAsia="zh-CN"/>
        </w:rPr>
      </w:pPr>
    </w:p>
    <w:p>
      <w:pPr>
        <w:ind w:firstLine="64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一、供应商苗种场必须具</w:t>
      </w:r>
      <w:r>
        <w:rPr>
          <w:rFonts w:hint="eastAsia" w:ascii="仿宋_GB2312" w:hAnsi="仿宋_GB2312" w:eastAsia="仿宋_GB2312" w:cs="仿宋_GB2312"/>
          <w:color w:val="000000" w:themeColor="text1"/>
          <w:sz w:val="32"/>
          <w:szCs w:val="32"/>
          <w:highlight w:val="none"/>
          <w14:textFill>
            <w14:solidFill>
              <w14:schemeClr w14:val="tx1"/>
            </w14:solidFill>
          </w14:textFill>
        </w:rPr>
        <w:t>有</w:t>
      </w:r>
      <w:r>
        <w:rPr>
          <w:rFonts w:hint="eastAsia" w:ascii="仿宋_GB2312" w:hAnsi="仿宋_GB2312" w:cs="仿宋_GB2312"/>
          <w:color w:val="000000" w:themeColor="text1"/>
          <w:sz w:val="32"/>
          <w:szCs w:val="32"/>
          <w:highlight w:val="none"/>
          <w:lang w:eastAsia="zh-CN"/>
          <w14:textFill>
            <w14:solidFill>
              <w14:schemeClr w14:val="tx1"/>
            </w14:solidFill>
          </w14:textFill>
        </w:rPr>
        <w:t>黄鳍鲷、斑节对虾</w:t>
      </w:r>
      <w:r>
        <w:rPr>
          <w:rFonts w:hint="eastAsia" w:ascii="仿宋_GB2312" w:hAnsi="仿宋_GB2312" w:eastAsia="仿宋_GB2312" w:cs="仿宋_GB2312"/>
          <w:color w:val="000000" w:themeColor="text1"/>
          <w:sz w:val="32"/>
          <w:szCs w:val="32"/>
          <w14:textFill>
            <w14:solidFill>
              <w14:schemeClr w14:val="tx1"/>
            </w14:solidFill>
          </w14:textFill>
        </w:rPr>
        <w:t>孵化培育的生产设施和技术能力</w:t>
      </w:r>
      <w:r>
        <w:rPr>
          <w:rFonts w:hint="eastAsia" w:ascii="仿宋_GB2312" w:hAnsi="仿宋_GB2312" w:eastAsia="仿宋_GB2312" w:cs="仿宋_GB2312"/>
          <w:sz w:val="32"/>
          <w:szCs w:val="32"/>
          <w:lang w:eastAsia="zh-CN"/>
        </w:rPr>
        <w:t>，持有《水产苗种生产许可证》</w:t>
      </w:r>
      <w:r>
        <w:rPr>
          <w:rFonts w:hint="eastAsia" w:ascii="仿宋_GB2312" w:hAnsi="仿宋_GB2312" w:eastAsia="仿宋_GB2312" w:cs="仿宋_GB2312"/>
          <w:color w:val="000000" w:themeColor="text1"/>
          <w:sz w:val="32"/>
          <w:szCs w:val="32"/>
          <w14:textFill>
            <w14:solidFill>
              <w14:schemeClr w14:val="tx1"/>
            </w14:solidFill>
          </w14:textFill>
        </w:rPr>
        <w:t>。</w:t>
      </w:r>
    </w:p>
    <w:p>
      <w:pPr>
        <w:ind w:firstLine="640"/>
        <w:rPr>
          <w:rFonts w:hint="default" w:ascii="仿宋_GB2312" w:hAnsi="仿宋_GB2312" w:eastAsia="仿宋_GB2312" w:cs="仿宋_GB2312"/>
          <w:color w:val="000000" w:themeColor="text1"/>
          <w:sz w:val="32"/>
          <w:szCs w:val="32"/>
          <w:highlight w:val="none"/>
          <w:shd w:val="clear"/>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根据农业部《水生生物增殖放流管理规定》第十条，“用于增殖放流的新体、苗种等水生生物应当是本地种，苗种应当是本地种的原种或了一代，确需放流其他苗种的，应当通过省级以上渔业行政主管部门组织的专家论证。”的规</w:t>
      </w:r>
      <w:r>
        <w:rPr>
          <w:rFonts w:hint="eastAsia" w:ascii="仿宋_GB2312" w:hAnsi="仿宋_GB2312" w:eastAsia="仿宋_GB2312" w:cs="仿宋_GB2312"/>
          <w:color w:val="000000" w:themeColor="text1"/>
          <w:sz w:val="32"/>
          <w:szCs w:val="32"/>
          <w:shd w:val="clear"/>
          <w14:textFill>
            <w14:solidFill>
              <w14:schemeClr w14:val="tx1"/>
            </w14:solidFill>
          </w14:textFill>
        </w:rPr>
        <w:t>定，</w:t>
      </w:r>
      <w:r>
        <w:rPr>
          <w:rFonts w:hint="eastAsia" w:ascii="仿宋_GB2312" w:hAnsi="仿宋_GB2312" w:eastAsia="仿宋_GB2312" w:cs="仿宋_GB2312"/>
          <w:color w:val="000000" w:themeColor="text1"/>
          <w:sz w:val="32"/>
          <w:szCs w:val="32"/>
          <w:highlight w:val="none"/>
          <w:shd w:val="clear"/>
          <w14:textFill>
            <w14:solidFill>
              <w14:schemeClr w14:val="tx1"/>
            </w14:solidFill>
          </w14:textFill>
        </w:rPr>
        <w:t>用于孵化苗种的</w:t>
      </w:r>
      <w:r>
        <w:rPr>
          <w:rFonts w:hint="eastAsia" w:ascii="仿宋_GB2312" w:hAnsi="仿宋_GB2312" w:cs="仿宋_GB2312"/>
          <w:color w:val="000000" w:themeColor="text1"/>
          <w:sz w:val="32"/>
          <w:szCs w:val="32"/>
          <w:highlight w:val="none"/>
          <w:shd w:val="clear"/>
          <w:lang w:eastAsia="zh-CN"/>
          <w14:textFill>
            <w14:solidFill>
              <w14:schemeClr w14:val="tx1"/>
            </w14:solidFill>
          </w14:textFill>
        </w:rPr>
        <w:t>海水鱼</w:t>
      </w:r>
      <w:r>
        <w:rPr>
          <w:rFonts w:hint="eastAsia" w:ascii="仿宋_GB2312" w:hAnsi="仿宋_GB2312" w:eastAsia="仿宋_GB2312" w:cs="仿宋_GB2312"/>
          <w:color w:val="000000" w:themeColor="text1"/>
          <w:sz w:val="32"/>
          <w:szCs w:val="32"/>
          <w:highlight w:val="none"/>
          <w:shd w:val="clear"/>
          <w14:textFill>
            <w14:solidFill>
              <w14:schemeClr w14:val="tx1"/>
            </w14:solidFill>
          </w14:textFill>
        </w:rPr>
        <w:t>类亲鱼要来源于本地自然生长和主要原生鱼类养殖亲体，</w:t>
      </w:r>
      <w:r>
        <w:rPr>
          <w:rFonts w:hint="eastAsia" w:ascii="仿宋_GB2312" w:hAnsi="仿宋_GB2312" w:cs="仿宋_GB2312"/>
          <w:color w:val="000000" w:themeColor="text1"/>
          <w:sz w:val="32"/>
          <w:szCs w:val="32"/>
          <w:highlight w:val="none"/>
          <w:shd w:val="clear"/>
          <w:lang w:eastAsia="zh-CN"/>
          <w14:textFill>
            <w14:solidFill>
              <w14:schemeClr w14:val="tx1"/>
            </w14:solidFill>
          </w14:textFill>
        </w:rPr>
        <w:t>黄鳍鲷</w:t>
      </w:r>
      <w:r>
        <w:rPr>
          <w:rFonts w:hint="eastAsia" w:ascii="仿宋_GB2312" w:hAnsi="仿宋_GB2312" w:eastAsia="仿宋_GB2312" w:cs="仿宋_GB2312"/>
          <w:color w:val="000000" w:themeColor="text1"/>
          <w:sz w:val="32"/>
          <w:szCs w:val="32"/>
          <w:highlight w:val="none"/>
          <w:shd w:val="clear"/>
          <w14:textFill>
            <w14:solidFill>
              <w14:schemeClr w14:val="tx1"/>
            </w14:solidFill>
          </w14:textFill>
        </w:rPr>
        <w:t>苗种生产方式为全人工孵化幼苗再经土池培育到体长</w:t>
      </w:r>
      <w:r>
        <w:rPr>
          <w:rFonts w:hint="eastAsia" w:ascii="仿宋_GB2312" w:hAnsi="仿宋_GB2312" w:cs="仿宋_GB2312"/>
          <w:color w:val="000000" w:themeColor="text1"/>
          <w:sz w:val="32"/>
          <w:szCs w:val="32"/>
          <w:highlight w:val="none"/>
          <w:shd w:val="clear"/>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shd w:val="clear"/>
          <w14:textFill>
            <w14:solidFill>
              <w14:schemeClr w14:val="tx1"/>
            </w14:solidFill>
          </w14:textFill>
        </w:rPr>
        <w:t>厘米</w:t>
      </w:r>
      <w:r>
        <w:rPr>
          <w:rFonts w:hint="eastAsia" w:ascii="仿宋_GB2312" w:hAnsi="仿宋_GB2312" w:cs="仿宋_GB2312"/>
          <w:color w:val="000000" w:themeColor="text1"/>
          <w:sz w:val="32"/>
          <w:szCs w:val="32"/>
          <w:highlight w:val="none"/>
          <w:shd w:val="clear"/>
          <w:lang w:eastAsia="zh-CN"/>
          <w14:textFill>
            <w14:solidFill>
              <w14:schemeClr w14:val="tx1"/>
            </w14:solidFill>
          </w14:textFill>
        </w:rPr>
        <w:t>（含）</w:t>
      </w:r>
      <w:r>
        <w:rPr>
          <w:rFonts w:hint="eastAsia" w:ascii="仿宋_GB2312" w:hAnsi="仿宋_GB2312" w:eastAsia="仿宋_GB2312" w:cs="仿宋_GB2312"/>
          <w:color w:val="000000" w:themeColor="text1"/>
          <w:sz w:val="32"/>
          <w:szCs w:val="32"/>
          <w:highlight w:val="none"/>
          <w:shd w:val="clear"/>
          <w14:textFill>
            <w14:solidFill>
              <w14:schemeClr w14:val="tx1"/>
            </w14:solidFill>
          </w14:textFill>
        </w:rPr>
        <w:t>以上。</w:t>
      </w:r>
      <w:r>
        <w:rPr>
          <w:rFonts w:hint="eastAsia" w:ascii="仿宋_GB2312" w:hAnsi="仿宋_GB2312" w:cs="仿宋_GB2312"/>
          <w:color w:val="000000" w:themeColor="text1"/>
          <w:sz w:val="32"/>
          <w:szCs w:val="32"/>
          <w:highlight w:val="none"/>
          <w:shd w:val="clear"/>
          <w:lang w:eastAsia="zh-CN"/>
          <w14:textFill>
            <w14:solidFill>
              <w14:schemeClr w14:val="tx1"/>
            </w14:solidFill>
          </w14:textFill>
        </w:rPr>
        <w:t>斑节对虾</w:t>
      </w:r>
      <w:r>
        <w:rPr>
          <w:rFonts w:hint="eastAsia" w:ascii="仿宋_GB2312" w:hAnsi="仿宋_GB2312" w:eastAsia="仿宋_GB2312" w:cs="仿宋_GB2312"/>
          <w:color w:val="000000" w:themeColor="text1"/>
          <w:sz w:val="32"/>
          <w:szCs w:val="32"/>
          <w:highlight w:val="none"/>
          <w:shd w:val="clear"/>
          <w14:textFill>
            <w14:solidFill>
              <w14:schemeClr w14:val="tx1"/>
            </w14:solidFill>
          </w14:textFill>
        </w:rPr>
        <w:t>苗种生产方式为全人工孵化幼苗再培育到体长</w:t>
      </w:r>
      <w:r>
        <w:rPr>
          <w:rFonts w:hint="eastAsia" w:ascii="仿宋_GB2312" w:hAnsi="仿宋_GB2312" w:cs="仿宋_GB2312"/>
          <w:color w:val="000000" w:themeColor="text1"/>
          <w:sz w:val="32"/>
          <w:szCs w:val="32"/>
          <w:highlight w:val="none"/>
          <w:shd w:val="clear"/>
          <w:lang w:val="en-US" w:eastAsia="zh-CN"/>
          <w14:textFill>
            <w14:solidFill>
              <w14:schemeClr w14:val="tx1"/>
            </w14:solidFill>
          </w14:textFill>
        </w:rPr>
        <w:t>1.5-2.0厘米。</w:t>
      </w:r>
    </w:p>
    <w:p>
      <w:pPr>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三、苗种质量要求规格整齐、活力强、外观完整、体表光洁；规格合格率≥85%，死亡率、体色异常率、挂脏率之和&lt;5%。</w:t>
      </w:r>
    </w:p>
    <w:p>
      <w:pPr>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根据《农业部办公厅关于开展增殖放流经济水产苗种质量安全检验的通知》（农办渔﹝2009﹞52号）要求，对供应的种苗进行质量检验，并提供相应检测报告，并应提供由渔业技术部门出具的“动物检疫合格证明”。</w:t>
      </w:r>
    </w:p>
    <w:p>
      <w:pPr>
        <w:ind w:firstLine="640"/>
        <w:rPr>
          <w:rFonts w:hint="eastAsia"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五、苗种在放流前按照农业部《水生生物增殖放流持术规程》的要求做好相关工作</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cs="仿宋_GB2312"/>
          <w:color w:val="000000" w:themeColor="text1"/>
          <w:sz w:val="32"/>
          <w:szCs w:val="32"/>
          <w:highlight w:val="none"/>
          <w:lang w:eastAsia="zh-CN"/>
          <w14:textFill>
            <w14:solidFill>
              <w14:schemeClr w14:val="tx1"/>
            </w14:solidFill>
          </w14:textFill>
        </w:rPr>
        <w:t>苗</w:t>
      </w:r>
      <w:r>
        <w:rPr>
          <w:rFonts w:hint="eastAsia" w:ascii="仿宋_GB2312" w:hAnsi="仿宋_GB2312" w:eastAsia="仿宋_GB2312" w:cs="仿宋_GB2312"/>
          <w:color w:val="000000" w:themeColor="text1"/>
          <w:sz w:val="32"/>
          <w:szCs w:val="32"/>
          <w:highlight w:val="none"/>
          <w14:textFill>
            <w14:solidFill>
              <w14:schemeClr w14:val="tx1"/>
            </w14:solidFill>
          </w14:textFill>
        </w:rPr>
        <w:t>种在放流前</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至</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天应停食。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28"/>
          <w:szCs w:val="28"/>
        </w:rPr>
      </w:pPr>
      <w:r>
        <w:rPr>
          <w:rFonts w:hint="eastAsia" w:ascii="仿宋_GB2312" w:hAnsi="仿宋_GB2312" w:cs="仿宋_GB2312"/>
          <w:b w:val="0"/>
          <w:bCs w:val="0"/>
          <w:u w:val="none"/>
          <w:lang w:val="en-US" w:eastAsia="zh-CN"/>
        </w:rPr>
        <w:t>六、</w:t>
      </w:r>
      <w:r>
        <w:rPr>
          <w:rFonts w:hint="eastAsia" w:ascii="仿宋_GB2312" w:hAnsi="仿宋_GB2312" w:eastAsia="仿宋_GB2312" w:cs="仿宋_GB2312"/>
          <w:b w:val="0"/>
          <w:bCs w:val="0"/>
          <w:u w:val="none"/>
          <w:lang w:val="en-US" w:eastAsia="zh-CN"/>
        </w:rPr>
        <w:t>供应商应根据招标单位指定的交货时间和地点选择合适的运输工具、运输方法和运输时间，避免运输过程中剧烈颠簸、阳光暴晒和雨淋，运输成活率达到90%以上。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u w:val="none"/>
          <w:lang w:val="en-US" w:eastAsia="zh-CN"/>
        </w:rPr>
      </w:pPr>
      <w:r>
        <w:rPr>
          <w:rFonts w:hint="eastAsia" w:ascii="仿宋_GB2312" w:hAnsi="仿宋_GB2312" w:cs="仿宋_GB2312"/>
          <w:b w:val="0"/>
          <w:bCs w:val="0"/>
          <w:u w:val="none"/>
          <w:lang w:val="en-US" w:eastAsia="zh-CN"/>
        </w:rPr>
        <w:t>七、</w:t>
      </w:r>
      <w:r>
        <w:rPr>
          <w:rFonts w:hint="eastAsia" w:ascii="仿宋_GB2312" w:hAnsi="仿宋_GB2312" w:eastAsia="仿宋_GB2312" w:cs="仿宋_GB2312"/>
          <w:b w:val="0"/>
          <w:bCs w:val="0"/>
          <w:u w:val="none"/>
          <w:lang w:val="en-US" w:eastAsia="zh-CN"/>
        </w:rPr>
        <w:t>增殖放流物种</w:t>
      </w:r>
      <w:r>
        <w:rPr>
          <w:rFonts w:hint="eastAsia" w:ascii="仿宋_GB2312" w:hAnsi="仿宋_GB2312" w:cs="仿宋_GB2312"/>
          <w:b w:val="0"/>
          <w:bCs w:val="0"/>
          <w:u w:val="none"/>
          <w:lang w:val="en-US" w:eastAsia="zh-CN"/>
        </w:rPr>
        <w:t>计数采用抽样重量法。将每计量批次放流生物全部均匀装入容具后，通过随机抽样，对抽样容具中样品沥水至不连续滴水后称重，根据随机抽样计算单位重量的个体数量折算出平均每具容器的生物数量，进而求得本计量批次增殖放流生物总数量。计算单位重量生物数量时，大规格生物抽样重量（精度5g）不低于生物总重量的0.1%。</w:t>
      </w:r>
    </w:p>
    <w:p>
      <w:pPr>
        <w:jc w:val="center"/>
        <w:rPr>
          <w:rFonts w:hint="eastAsia" w:ascii="仿宋_GB2312" w:hAnsi="仿宋_GB2312" w:eastAsia="仿宋_GB2312" w:cs="仿宋_GB2312"/>
          <w:b/>
          <w:bCs/>
          <w:color w:val="000000"/>
          <w:kern w:val="0"/>
          <w:sz w:val="44"/>
          <w:szCs w:val="44"/>
          <w:lang w:val="en-US" w:eastAsia="zh-CN"/>
        </w:rPr>
      </w:pPr>
    </w:p>
    <w:p>
      <w:pPr>
        <w:jc w:val="center"/>
        <w:rPr>
          <w:rFonts w:hint="eastAsia" w:ascii="仿宋_GB2312" w:hAnsi="仿宋_GB2312" w:eastAsia="仿宋_GB2312" w:cs="仿宋_GB2312"/>
          <w:b/>
          <w:bCs/>
          <w:color w:val="000000"/>
          <w:kern w:val="0"/>
          <w:sz w:val="44"/>
          <w:szCs w:val="44"/>
          <w:lang w:val="en-US" w:eastAsia="zh-CN"/>
        </w:rPr>
      </w:pPr>
    </w:p>
    <w:p>
      <w:pPr>
        <w:jc w:val="center"/>
        <w:rPr>
          <w:rFonts w:hint="eastAsia" w:ascii="仿宋_GB2312" w:hAnsi="仿宋_GB2312" w:eastAsia="仿宋_GB2312" w:cs="仿宋_GB2312"/>
          <w:b/>
          <w:bCs/>
          <w:color w:val="000000"/>
          <w:kern w:val="0"/>
          <w:sz w:val="44"/>
          <w:szCs w:val="44"/>
          <w:lang w:val="en-US" w:eastAsia="zh-CN"/>
        </w:rPr>
      </w:pPr>
    </w:p>
    <w:p>
      <w:pPr>
        <w:jc w:val="center"/>
        <w:rPr>
          <w:rFonts w:hint="eastAsia" w:ascii="仿宋_GB2312" w:hAnsi="仿宋_GB2312" w:eastAsia="仿宋_GB2312" w:cs="仿宋_GB2312"/>
          <w:b/>
          <w:bCs/>
          <w:color w:val="000000"/>
          <w:kern w:val="0"/>
          <w:sz w:val="44"/>
          <w:szCs w:val="44"/>
          <w:lang w:val="en-US" w:eastAsia="zh-CN"/>
        </w:rPr>
      </w:pPr>
    </w:p>
    <w:p>
      <w:pPr>
        <w:jc w:val="center"/>
        <w:rPr>
          <w:rFonts w:hint="eastAsia" w:ascii="仿宋_GB2312" w:hAnsi="仿宋_GB2312" w:eastAsia="仿宋_GB2312" w:cs="仿宋_GB2312"/>
          <w:b/>
          <w:bCs/>
          <w:color w:val="000000"/>
          <w:kern w:val="0"/>
          <w:sz w:val="44"/>
          <w:szCs w:val="44"/>
          <w:lang w:val="en-US" w:eastAsia="zh-CN"/>
        </w:rPr>
      </w:pPr>
    </w:p>
    <w:p>
      <w:pPr>
        <w:jc w:val="center"/>
        <w:rPr>
          <w:rFonts w:hint="eastAsia" w:ascii="仿宋_GB2312" w:hAnsi="仿宋_GB2312" w:eastAsia="仿宋_GB2312" w:cs="仿宋_GB2312"/>
          <w:b/>
          <w:bCs/>
          <w:color w:val="000000"/>
          <w:kern w:val="0"/>
          <w:sz w:val="44"/>
          <w:szCs w:val="44"/>
          <w:lang w:val="en-US" w:eastAsia="zh-CN"/>
        </w:rPr>
      </w:pPr>
    </w:p>
    <w:p>
      <w:pPr>
        <w:jc w:val="center"/>
        <w:rPr>
          <w:rFonts w:hint="eastAsia" w:ascii="仿宋_GB2312" w:hAnsi="仿宋_GB2312" w:eastAsia="仿宋_GB2312" w:cs="仿宋_GB2312"/>
          <w:b/>
          <w:bCs/>
          <w:color w:val="000000"/>
          <w:kern w:val="0"/>
          <w:sz w:val="44"/>
          <w:szCs w:val="44"/>
          <w:lang w:val="en-US" w:eastAsia="zh-CN"/>
        </w:rPr>
      </w:pPr>
    </w:p>
    <w:p>
      <w:pPr>
        <w:jc w:val="center"/>
        <w:rPr>
          <w:rFonts w:hint="eastAsia" w:ascii="仿宋_GB2312" w:hAnsi="仿宋_GB2312" w:eastAsia="仿宋_GB2312" w:cs="仿宋_GB2312"/>
          <w:b/>
          <w:bCs/>
          <w:color w:val="000000"/>
          <w:kern w:val="0"/>
          <w:sz w:val="44"/>
          <w:szCs w:val="44"/>
          <w:lang w:val="en-US" w:eastAsia="zh-CN"/>
        </w:rPr>
      </w:pPr>
    </w:p>
    <w:p>
      <w:pPr>
        <w:jc w:val="center"/>
        <w:rPr>
          <w:rFonts w:hint="eastAsia" w:ascii="仿宋_GB2312" w:hAnsi="仿宋_GB2312" w:eastAsia="仿宋_GB2312" w:cs="仿宋_GB2312"/>
          <w:b/>
          <w:bCs/>
          <w:color w:val="000000"/>
          <w:kern w:val="0"/>
          <w:sz w:val="44"/>
          <w:szCs w:val="44"/>
          <w:lang w:val="en-US" w:eastAsia="zh-CN"/>
        </w:rPr>
      </w:pPr>
    </w:p>
    <w:p>
      <w:pPr>
        <w:jc w:val="both"/>
        <w:rPr>
          <w:rFonts w:hint="eastAsia" w:ascii="仿宋_GB2312" w:hAnsi="仿宋_GB2312" w:eastAsia="仿宋_GB2312" w:cs="仿宋_GB2312"/>
          <w:b/>
          <w:bCs/>
          <w:color w:val="000000"/>
          <w:kern w:val="0"/>
          <w:sz w:val="44"/>
          <w:szCs w:val="44"/>
          <w:lang w:val="en-US" w:eastAsia="zh-CN"/>
        </w:rPr>
      </w:pPr>
    </w:p>
    <w:p>
      <w:pPr>
        <w:keepNext w:val="0"/>
        <w:keepLines w:val="0"/>
        <w:pageBreakBefore w:val="0"/>
        <w:widowControl w:val="0"/>
        <w:tabs>
          <w:tab w:val="left" w:pos="1155"/>
        </w:tabs>
        <w:kinsoku/>
        <w:wordWrap/>
        <w:overflowPunct/>
        <w:topLinePunct w:val="0"/>
        <w:autoSpaceDE/>
        <w:autoSpaceDN/>
        <w:bidi w:val="0"/>
        <w:adjustRightInd/>
        <w:snapToGrid/>
        <w:spacing w:line="600" w:lineRule="exact"/>
        <w:textAlignment w:val="auto"/>
        <w:rPr>
          <w:rFonts w:hint="default" w:ascii="FangSong_GB2312" w:eastAsia="FangSong_GB2312" w:cs="FangSong_GB2312"/>
          <w:sz w:val="32"/>
          <w:szCs w:val="32"/>
          <w:lang w:val="en-US" w:eastAsia="zh-CN"/>
        </w:rPr>
      </w:pPr>
      <w:bookmarkStart w:id="0" w:name="_GoBack"/>
      <w:bookmarkEnd w:id="0"/>
    </w:p>
    <w:sectPr>
      <w:pgSz w:w="11906" w:h="16838"/>
      <w:pgMar w:top="1417"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694536-BAD4-4242-AEDC-5B7B70E329D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AED4BC9C-945E-4C37-A541-E17F32894A1D}"/>
  </w:font>
  <w:font w:name="方正小标宋简体">
    <w:panose1 w:val="02000000000000000000"/>
    <w:charset w:val="86"/>
    <w:family w:val="auto"/>
    <w:pitch w:val="default"/>
    <w:sig w:usb0="00000001" w:usb1="08000000" w:usb2="00000000" w:usb3="00000000" w:csb0="00040000" w:csb1="00000000"/>
  </w:font>
  <w:font w:name="FangSong_GB2312">
    <w:altName w:val="仿宋_GB2312"/>
    <w:panose1 w:val="02010609060101010101"/>
    <w:charset w:val="86"/>
    <w:family w:val="modern"/>
    <w:pitch w:val="default"/>
    <w:sig w:usb0="00000000" w:usb1="00000000" w:usb2="00000016" w:usb3="00000000" w:csb0="00040001" w:csb1="00000000"/>
    <w:embedRegular r:id="rId3" w:fontKey="{C5F398D3-82DE-4434-92D7-1BA23B90C50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hZjcxODlmMzQ4MGJjZDMwMzY1YTllNzUyNWUwN2YifQ=="/>
  </w:docVars>
  <w:rsids>
    <w:rsidRoot w:val="00000000"/>
    <w:rsid w:val="002410F1"/>
    <w:rsid w:val="00A66F18"/>
    <w:rsid w:val="00A8087D"/>
    <w:rsid w:val="00FB7E71"/>
    <w:rsid w:val="011924CD"/>
    <w:rsid w:val="01FB0577"/>
    <w:rsid w:val="02424648"/>
    <w:rsid w:val="03DB0081"/>
    <w:rsid w:val="048C5B87"/>
    <w:rsid w:val="06B01930"/>
    <w:rsid w:val="06E52997"/>
    <w:rsid w:val="06ED1CC6"/>
    <w:rsid w:val="071C5933"/>
    <w:rsid w:val="076C043D"/>
    <w:rsid w:val="08667319"/>
    <w:rsid w:val="093F6F9B"/>
    <w:rsid w:val="09A83C44"/>
    <w:rsid w:val="09AF5ECF"/>
    <w:rsid w:val="09FF69A5"/>
    <w:rsid w:val="0A50670C"/>
    <w:rsid w:val="0B683182"/>
    <w:rsid w:val="0BBD1BFE"/>
    <w:rsid w:val="0C7415FE"/>
    <w:rsid w:val="0D490AEC"/>
    <w:rsid w:val="0EA0672E"/>
    <w:rsid w:val="0F165CB6"/>
    <w:rsid w:val="0F565E85"/>
    <w:rsid w:val="0F61353A"/>
    <w:rsid w:val="0F886342"/>
    <w:rsid w:val="109951E3"/>
    <w:rsid w:val="10D0497D"/>
    <w:rsid w:val="12FC65A0"/>
    <w:rsid w:val="13233B5E"/>
    <w:rsid w:val="171D7580"/>
    <w:rsid w:val="1833416F"/>
    <w:rsid w:val="18A27832"/>
    <w:rsid w:val="18A3607E"/>
    <w:rsid w:val="18B25700"/>
    <w:rsid w:val="19627E1A"/>
    <w:rsid w:val="1A646862"/>
    <w:rsid w:val="1C28421C"/>
    <w:rsid w:val="1CE7157E"/>
    <w:rsid w:val="1DAF3ECA"/>
    <w:rsid w:val="1E1A1B46"/>
    <w:rsid w:val="1E3649B9"/>
    <w:rsid w:val="24AC7783"/>
    <w:rsid w:val="25B4568F"/>
    <w:rsid w:val="25FF09F0"/>
    <w:rsid w:val="260E275D"/>
    <w:rsid w:val="267905A6"/>
    <w:rsid w:val="26B0469C"/>
    <w:rsid w:val="26B66138"/>
    <w:rsid w:val="26CA3EF0"/>
    <w:rsid w:val="274F14ED"/>
    <w:rsid w:val="279B0D8E"/>
    <w:rsid w:val="28A602E4"/>
    <w:rsid w:val="28B74948"/>
    <w:rsid w:val="290646EF"/>
    <w:rsid w:val="29CF181E"/>
    <w:rsid w:val="2C697D08"/>
    <w:rsid w:val="2C73612F"/>
    <w:rsid w:val="312F3CB3"/>
    <w:rsid w:val="340C7950"/>
    <w:rsid w:val="341E3ACD"/>
    <w:rsid w:val="34340F3E"/>
    <w:rsid w:val="383C6B2E"/>
    <w:rsid w:val="388A3950"/>
    <w:rsid w:val="39E160B5"/>
    <w:rsid w:val="3AB67E2D"/>
    <w:rsid w:val="3D67558A"/>
    <w:rsid w:val="3D6F4728"/>
    <w:rsid w:val="3E9F580B"/>
    <w:rsid w:val="3EF868D2"/>
    <w:rsid w:val="403E177F"/>
    <w:rsid w:val="431762B8"/>
    <w:rsid w:val="43601B0C"/>
    <w:rsid w:val="44242A3A"/>
    <w:rsid w:val="48AB2166"/>
    <w:rsid w:val="4A172C70"/>
    <w:rsid w:val="4AF24312"/>
    <w:rsid w:val="4B3A45EB"/>
    <w:rsid w:val="4BD72A88"/>
    <w:rsid w:val="4BF35197"/>
    <w:rsid w:val="4C0644AF"/>
    <w:rsid w:val="4CD40D75"/>
    <w:rsid w:val="4CE54D31"/>
    <w:rsid w:val="4D025DA2"/>
    <w:rsid w:val="4D4617E1"/>
    <w:rsid w:val="4DEB5094"/>
    <w:rsid w:val="4FE37C4D"/>
    <w:rsid w:val="52B269C3"/>
    <w:rsid w:val="5404674D"/>
    <w:rsid w:val="59235335"/>
    <w:rsid w:val="59B61F2F"/>
    <w:rsid w:val="5BA16C3E"/>
    <w:rsid w:val="5BD20B76"/>
    <w:rsid w:val="5C135779"/>
    <w:rsid w:val="5DFA32E2"/>
    <w:rsid w:val="5E4577F6"/>
    <w:rsid w:val="5FBB1081"/>
    <w:rsid w:val="615B01E8"/>
    <w:rsid w:val="61782598"/>
    <w:rsid w:val="61B5304C"/>
    <w:rsid w:val="640058F4"/>
    <w:rsid w:val="641A130C"/>
    <w:rsid w:val="66E07DB3"/>
    <w:rsid w:val="68167157"/>
    <w:rsid w:val="68210AB5"/>
    <w:rsid w:val="68D756E5"/>
    <w:rsid w:val="69D871E5"/>
    <w:rsid w:val="6A54060D"/>
    <w:rsid w:val="6B312E4F"/>
    <w:rsid w:val="6B7D4F9A"/>
    <w:rsid w:val="6BBA53B1"/>
    <w:rsid w:val="6BC647DD"/>
    <w:rsid w:val="6C5531CA"/>
    <w:rsid w:val="6D1E3C1B"/>
    <w:rsid w:val="6D2B6AB5"/>
    <w:rsid w:val="6DDD3AD6"/>
    <w:rsid w:val="6E0C76AD"/>
    <w:rsid w:val="6F192E89"/>
    <w:rsid w:val="6F2250C0"/>
    <w:rsid w:val="6F417EAA"/>
    <w:rsid w:val="6FFA7830"/>
    <w:rsid w:val="701B6B38"/>
    <w:rsid w:val="706608DC"/>
    <w:rsid w:val="7383644B"/>
    <w:rsid w:val="74131833"/>
    <w:rsid w:val="755D72AA"/>
    <w:rsid w:val="77140899"/>
    <w:rsid w:val="77316C41"/>
    <w:rsid w:val="77C6382D"/>
    <w:rsid w:val="78670096"/>
    <w:rsid w:val="7A1833CE"/>
    <w:rsid w:val="7A246F0E"/>
    <w:rsid w:val="7B1D4B83"/>
    <w:rsid w:val="7B1E6840"/>
    <w:rsid w:val="7BBA2E1B"/>
    <w:rsid w:val="7C833A9B"/>
    <w:rsid w:val="7EA30274"/>
    <w:rsid w:val="7FDC0EF6"/>
    <w:rsid w:val="7FE37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32"/>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header"/>
    <w:basedOn w:val="1"/>
    <w:autoRedefine/>
    <w:semiHidden/>
    <w:qFormat/>
    <w:uiPriority w:val="0"/>
    <w:pPr>
      <w:pBdr>
        <w:bottom w:val="single" w:color="auto" w:sz="6" w:space="1"/>
      </w:pBdr>
      <w:tabs>
        <w:tab w:val="center" w:pos="4153"/>
        <w:tab w:val="right" w:pos="8306"/>
      </w:tabs>
      <w:snapToGrid w:val="0"/>
      <w:jc w:val="center"/>
    </w:pPr>
    <w:rPr>
      <w:rFonts w:cs="Times New Roman"/>
      <w:kern w:val="0"/>
      <w:sz w:val="18"/>
      <w:szCs w:val="18"/>
    </w:rPr>
  </w:style>
  <w:style w:type="paragraph" w:styleId="3">
    <w:name w:val="Body Text Indent 3"/>
    <w:basedOn w:val="1"/>
    <w:autoRedefine/>
    <w:qFormat/>
    <w:uiPriority w:val="0"/>
    <w:pPr>
      <w:snapToGrid w:val="0"/>
      <w:ind w:firstLine="480" w:firstLineChars="200"/>
      <w:jc w:val="left"/>
    </w:pPr>
    <w:rPr>
      <w:rFonts w:ascii="仿宋_GB2312" w:hAnsi="宋体" w:eastAsia="仿宋_GB2312"/>
      <w:color w:val="000000"/>
      <w:sz w:val="24"/>
    </w:rPr>
  </w:style>
  <w:style w:type="table" w:styleId="5">
    <w:name w:val="Table Grid"/>
    <w:basedOn w:val="4"/>
    <w:autoRedefine/>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autoRedefine/>
    <w:qFormat/>
    <w:uiPriority w:val="34"/>
    <w:pPr>
      <w:ind w:firstLine="420" w:firstLineChars="200"/>
    </w:pPr>
    <w:rPr>
      <w:rFonts w:ascii="Calibri" w:hAnsi="Calibri" w:eastAsia="黑体" w:cs="Times New Roman"/>
      <w:bCs/>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4048</Words>
  <Characters>4376</Characters>
  <Lines>0</Lines>
  <Paragraphs>0</Paragraphs>
  <TotalTime>1</TotalTime>
  <ScaleCrop>false</ScaleCrop>
  <LinksUpToDate>false</LinksUpToDate>
  <CharactersWithSpaces>4496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2022-04-29T01:30:00Z</dcterms:created>
  <dc:creator>Administrator</dc:creator>
  <cp:lastModifiedBy>Administrator</cp:lastModifiedBy>
  <cp:lastPrinted>2024-06-11T01:38:00Z</cp:lastPrinted>
  <dcterms:modified xsi:type="dcterms:W3CDTF">2024-06-17T07:10:50Z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119352D3326D4B619BF0BFD96DC0E218_13</vt:lpwstr>
  </property>
</Properties>
</file>