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ascii="Times New Roman" w:cs="Times New Roman"/>
          <w:color w:val="auto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</w:rPr>
        <w:t>4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年广东省科普讲解大赛江门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  <w:t>选拔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赛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实施方案</w:t>
      </w:r>
    </w:p>
    <w:p>
      <w:pPr>
        <w:spacing w:line="58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一、大赛主题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弘扬科学精神，激发创新活力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二、大赛时间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比赛时间：202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年6月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 xml:space="preserve">    三、大赛形式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组织选手及评委开展现场讲解和评审。经评委打分，共产生9名选手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（成人组6名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中小学生组3名）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进入江门代表队参加省决赛。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（一）成人组通过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zh-CN"/>
        </w:rPr>
        <w:t>个人展示、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自主命题讲解和评委问答的形式开展比赛。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（二）中小学生组通过自主命题讲解和评委问答的形式开展比赛。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四、比赛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（一）个人展示：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限时1分30秒，由选手结合个人与科普的关联进行讲述展示。展示时，选手可采用多种形式，突出特色和创意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以提高公众对科普的关注度、兴趣度和参与度。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（二）自主命题讲解：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限时4分钟，由选手自行确定一个科普命题进行讲解。讲解时，选手可借助多媒体等手段辅助进行讲解，以丰富科普舞台效果。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（三）评委问答：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由评委就选手的讲解展示内容或科学素质进行提问，选手回答时间限时1分钟。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（四）多媒体技术要求：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比赛现场提供耳麦、遥控器、用于播放视频或PPT的电脑，要求佩戴耳麦，持遥控器，全程自行播放PPT不得由他人协助。大赛指定使用WPS进行演示，建议使用WPS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制作，在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PPT嵌入或关联视频文件请使用WMV格式，视频页面播放方式选择自动播放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PPT仅限本人操作，请勿设置单击播放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）。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个性化字体请嵌入PPT并提供字体文件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云端字体可能存在兼容性异常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。若播放文件为视频，格式请使用MP4，视频编码要求H.264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为避免兼容性异常导致播放卡顿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请勿保存为H.265格式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），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视频声音请采用双声道立体声，请勿将音轨配置到单一声道，分辨率使用 1920*1080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五、比赛规则及评分标准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（一）出场顺序。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主办单位和承办单位成立专门抽签小组，在监督人员监督下统一为选手抽签确定选手比赛当日上场顺序，选手无需到现场抽签。抽签结果由江门市科学技术局、江门市教育局、江门市科学技术协会分别通知各自推荐的选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（二）比赛安排。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比赛分组进行，选手配带号码牌上场，依次进行讲解。讲解时必须使用普通话，要求全程自行操作PPT或视频，可使用自备的道具，讲解过程只能一人讲解，不得由他人协助。PPT或视频内，需标注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年广东省科普讲解大赛江门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选拔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成人组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报名选手较多，则根据选手报名视频中的表现及内容，筛选不超过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名选手参加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日的正式比赛。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（三）评分规则。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zh-CN"/>
        </w:rPr>
        <w:t>专家评委组根据选手每次参赛台上表现，从内容陈述、表达技巧效果以及整体形象进行评分，总分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100分。选手讲解内容须具备科学性和普及性，包含科学知识、科学方法、科学思想或科学精神。各项要求如下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eastAsia="方正仿宋_GBK" w:cs="Times New Roman"/>
          <w:b/>
          <w:bCs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1.</w:t>
      </w:r>
      <w:r>
        <w:rPr>
          <w:rFonts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评分标准</w:t>
      </w:r>
      <w:r>
        <w:rPr>
          <w:rFonts w:hint="eastAsia"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（100分）。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（1）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内容陈述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60分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主题鲜明、导向正确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科学严谨、题材新颖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层次分明，重点突出。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（2）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表达效果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35分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发音标准、语言流畅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通俗易、逻辑清晰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形式生动、感染力强。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（3）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整体形象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5分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举止大方、精神饱满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衣着得体、自然协调。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eastAsia="方正仿宋_GBK" w:cs="Times New Roman"/>
          <w:b/>
          <w:bCs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2.</w:t>
      </w:r>
      <w:r>
        <w:rPr>
          <w:rFonts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限时与扣分</w:t>
      </w:r>
      <w:r>
        <w:rPr>
          <w:rFonts w:hint="eastAsia" w:ascii="Times New Roman" w:eastAsia="方正仿宋_GBK" w:cs="Times New Roman"/>
          <w:b/>
          <w:bCs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（1）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个人展示环节限时1分30秒，评委问答环节限时1分钟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，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超时 10秒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含10秒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后终止展示和回答，不扣分。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（2）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自主命题讲解环节限时4分钟，不足3分钟扣1分，超时10秒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含10秒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后讲解终止并扣1分。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（3）</w:t>
      </w:r>
      <w:r>
        <w:rPr>
          <w:rFonts w:ascii="Times New Roman" w:eastAsia="方正仿宋_GBK" w:cs="Times New Roman"/>
          <w:sz w:val="32"/>
          <w:szCs w:val="32"/>
          <w:highlight w:val="none"/>
          <w:lang w:val="zh-CN"/>
        </w:rPr>
        <w:t>用时扣分情况由工作人员记录，并同步现场公布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  <w:t>（四）评审规则。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比赛设5名专家评委，共同对选手讲解及问答情况进行综合评分。选手的评委评分按去掉一个最高分和一个最低分后分值的平均计算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总分。评委打分到小数点后一位，选手总分保留到小数点后二位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选手的扣分情况由计分人员进行扣分记录。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将选手的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zh-CN"/>
        </w:rPr>
        <w:t>总分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及扣分分数相加，得出该选手的最终分数。若遇选手总分数相同的情况，则在去掉一个最高分和一个最低分后的有效分值中，按同分选手第一个最高分高低决定名次，若第一个最高分相同则按第二个最高分高低决定名次，以此类推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若有效分值的每个评分均相同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则在监督人员的监督下抽签决定名次。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>六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大赛当天下午安排颁奖环节颁发个人奖和集体奖。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  <w:t>（一）个人奖。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1.成人组和中小学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组各设一等奖2名、二等奖3名、三等奖4名。比赛另设优秀奖若干名。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往届一等奖选手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且年满18周岁的，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不参与本次奖项评分排名。本届比赛中，成人组成绩排名前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6名与中小学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val="zh-CN"/>
        </w:rPr>
        <w:t>成绩排名前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3名的选手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代表江门市参加广东省科普讲解大赛决赛。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2.凡获奖者均获得江门市科学技术局、江门市教育局、江门市科学技术协会联合授予的奖杯或证书。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3.按照比赛分数高低，由主办方及评委商议，从成人组和中小学生组中各选出1名参与省赛的候补选手。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  <w:highlight w:val="none"/>
        </w:rPr>
        <w:t>（二）集体奖。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设“优秀组织奖”若干，奖励本次比赛的优秀组织单位。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02A0"/>
    <w:rsid w:val="0D5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2024-05-31T01:23:00Z</dcterms:created>
  <dc:creator>莫奔华</dc:creator>
  <cp:lastModifiedBy>莫奔华</cp:lastModifiedBy>
  <dcterms:modified xsi:type="dcterms:W3CDTF">2024-05-31T01:23:57Z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