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方正仿宋_GBK" w:hAnsi="方正仿宋_GBK" w:eastAsia="方正仿宋_GBK" w:cs="方正仿宋_GBK"/>
          <w:bCs/>
          <w:sz w:val="44"/>
          <w:szCs w:val="44"/>
        </w:rPr>
      </w:pPr>
      <w:r>
        <w:rPr>
          <w:rFonts w:hint="eastAsia" w:ascii="方正仿宋_GBK" w:hAnsi="方正仿宋_GBK" w:eastAsia="方正仿宋_GBK" w:cs="方正仿宋_GBK"/>
          <w:sz w:val="32"/>
          <w:szCs w:val="32"/>
        </w:rPr>
        <w:t>附件1</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eastAsia="仿宋_GB2312"/>
          <w:sz w:val="32"/>
          <w:szCs w:val="32"/>
        </w:rPr>
      </w:pPr>
      <w:bookmarkStart w:id="0" w:name="_GoBack"/>
      <w:bookmarkEnd w:id="0"/>
      <w:r>
        <w:rPr>
          <w:rFonts w:hint="eastAsia" w:ascii="方正公文小标宋" w:hAnsi="方正公文小标宋" w:eastAsia="方正公文小标宋" w:cs="方正公文小标宋"/>
          <w:bCs/>
          <w:sz w:val="44"/>
          <w:szCs w:val="44"/>
        </w:rPr>
        <w:t>项目择优比选评分标准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09"/>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209"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678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2209" w:type="dxa"/>
            <w:vAlign w:val="center"/>
          </w:tcPr>
          <w:p>
            <w:pPr>
              <w:spacing w:line="4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具有独立承担民事责任的能力</w:t>
            </w:r>
          </w:p>
        </w:tc>
        <w:tc>
          <w:tcPr>
            <w:tcW w:w="6783" w:type="dxa"/>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提供在中华人民共和国境内注册的法人或其他组织</w:t>
            </w:r>
            <w:r>
              <w:rPr>
                <w:rFonts w:hint="default" w:ascii="Times New Roman" w:hAnsi="Times New Roman" w:eastAsia="方正仿宋_GBK" w:cs="Times New Roman"/>
                <w:spacing w:val="1"/>
                <w:sz w:val="28"/>
                <w:szCs w:val="28"/>
              </w:rPr>
              <w:t>的营业执照或事业单位法人证书或社会团体法人登记证书复印件，如投标人为自然</w:t>
            </w:r>
            <w:r>
              <w:rPr>
                <w:rFonts w:hint="default" w:ascii="Times New Roman" w:hAnsi="Times New Roman" w:eastAsia="方正仿宋_GBK" w:cs="Times New Roman"/>
                <w:spacing w:val="-3"/>
                <w:sz w:val="28"/>
                <w:szCs w:val="28"/>
              </w:rPr>
              <w:t>人的提供自然人身份证明复印件；</w:t>
            </w:r>
            <w:r>
              <w:rPr>
                <w:rFonts w:hint="default" w:ascii="Times New Roman" w:hAnsi="Times New Roman" w:eastAsia="方正仿宋_GBK" w:cs="Times New Roman"/>
                <w:spacing w:val="76"/>
                <w:sz w:val="28"/>
                <w:szCs w:val="28"/>
              </w:rPr>
              <w:t xml:space="preserve"> </w:t>
            </w:r>
            <w:r>
              <w:rPr>
                <w:rFonts w:hint="default" w:ascii="Times New Roman" w:hAnsi="Times New Roman" w:eastAsia="方正仿宋_GBK" w:cs="Times New Roman"/>
                <w:spacing w:val="-3"/>
                <w:sz w:val="28"/>
                <w:szCs w:val="28"/>
              </w:rPr>
              <w:t>如国家另有规定的，则从其规定。（分支机构投</w:t>
            </w:r>
            <w:r>
              <w:rPr>
                <w:rFonts w:hint="default" w:ascii="Times New Roman" w:hAnsi="Times New Roman" w:eastAsia="方正仿宋_GBK" w:cs="Times New Roman"/>
                <w:spacing w:val="-2"/>
                <w:sz w:val="28"/>
                <w:szCs w:val="28"/>
              </w:rPr>
              <w:t>标，须取得具有法人资格的总公司（总所）出具给分支机构的授权书，并提供总公</w:t>
            </w:r>
            <w:r>
              <w:rPr>
                <w:rFonts w:hint="default" w:ascii="Times New Roman" w:hAnsi="Times New Roman" w:eastAsia="方正仿宋_GBK" w:cs="Times New Roman"/>
                <w:spacing w:val="-6"/>
                <w:sz w:val="28"/>
                <w:szCs w:val="28"/>
              </w:rPr>
              <w:t>司（总所）和分支机构的营业执照（执业许可证）复印件。已由总公司（总所）授</w:t>
            </w:r>
            <w:r>
              <w:rPr>
                <w:rFonts w:hint="default" w:ascii="Times New Roman" w:hAnsi="Times New Roman" w:eastAsia="方正仿宋_GBK" w:cs="Times New Roman"/>
                <w:spacing w:val="-1"/>
                <w:sz w:val="28"/>
                <w:szCs w:val="28"/>
              </w:rPr>
              <w:t>权的，总公司（总所）取得的相关资质证书对分支机构有效，法律法规或者行业另</w:t>
            </w:r>
            <w:r>
              <w:rPr>
                <w:rFonts w:hint="default" w:ascii="Times New Roman" w:hAnsi="Times New Roman" w:eastAsia="方正仿宋_GBK" w:cs="Times New Roman"/>
                <w:sz w:val="28"/>
                <w:szCs w:val="28"/>
              </w:rPr>
              <w:t>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2" w:type="dxa"/>
            <w:vAlign w:val="center"/>
          </w:tcPr>
          <w:p>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2209" w:type="dxa"/>
            <w:vAlign w:val="center"/>
          </w:tcPr>
          <w:p>
            <w:pPr>
              <w:spacing w:line="4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有依法缴纳税收和社会保障</w:t>
            </w:r>
            <w:r>
              <w:rPr>
                <w:rFonts w:hint="default" w:ascii="Times New Roman" w:hAnsi="Times New Roman" w:eastAsia="方正仿宋_GBK" w:cs="Times New Roman"/>
                <w:spacing w:val="-1"/>
                <w:sz w:val="28"/>
                <w:szCs w:val="28"/>
              </w:rPr>
              <w:t>资金的良好记录</w:t>
            </w:r>
          </w:p>
        </w:tc>
        <w:tc>
          <w:tcPr>
            <w:tcW w:w="6783"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提供202</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年1月至今任意1个月的依法缴纳税收和社会保障资金的相关材料复印件；如依法免税或不需要缴纳社会保障资金的，应当提供相应证明文件复印件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62" w:type="dxa"/>
            <w:vAlign w:val="center"/>
          </w:tcPr>
          <w:p>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2209" w:type="dxa"/>
            <w:vAlign w:val="center"/>
          </w:tcPr>
          <w:p>
            <w:pPr>
              <w:spacing w:line="4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具有良好的商业信誉和健全的财务会计制度</w:t>
            </w:r>
          </w:p>
        </w:tc>
        <w:tc>
          <w:tcPr>
            <w:tcW w:w="6783"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提供2023年度或2023年1月至今任意1个月的财务状况报告或银行出具的资信证明复印件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2" w:type="dxa"/>
            <w:vAlign w:val="center"/>
          </w:tcPr>
          <w:p>
            <w:pPr>
              <w:spacing w:line="460" w:lineRule="exact"/>
              <w:jc w:val="center"/>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4</w:t>
            </w:r>
          </w:p>
        </w:tc>
        <w:tc>
          <w:tcPr>
            <w:tcW w:w="2209" w:type="dxa"/>
            <w:vAlign w:val="center"/>
          </w:tcPr>
          <w:p>
            <w:pPr>
              <w:spacing w:line="460" w:lineRule="exact"/>
              <w:jc w:val="both"/>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履行合同所必须的设备和专业技术能力</w:t>
            </w:r>
          </w:p>
        </w:tc>
        <w:tc>
          <w:tcPr>
            <w:tcW w:w="6783"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提供</w:t>
            </w:r>
            <w:r>
              <w:rPr>
                <w:rFonts w:hint="default" w:ascii="Times New Roman" w:hAnsi="Times New Roman" w:eastAsia="方正仿宋_GBK" w:cs="Times New Roman"/>
                <w:spacing w:val="-2"/>
                <w:sz w:val="28"/>
                <w:szCs w:val="28"/>
              </w:rPr>
              <w:t>《关于供应商资格的声明函》</w:t>
            </w:r>
            <w:r>
              <w:rPr>
                <w:rFonts w:hint="default" w:ascii="Times New Roman" w:hAnsi="Times New Roman" w:eastAsia="方正仿宋_GBK" w:cs="Times New Roman"/>
                <w:sz w:val="28"/>
                <w:szCs w:val="28"/>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2209"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参加采购活动前3年内在经</w:t>
            </w:r>
            <w:r>
              <w:rPr>
                <w:rFonts w:hint="default" w:ascii="Times New Roman" w:hAnsi="Times New Roman" w:eastAsia="方正仿宋_GBK" w:cs="Times New Roman"/>
                <w:sz w:val="28"/>
                <w:szCs w:val="28"/>
              </w:rPr>
              <w:t>营活动中没有重大违法记录</w:t>
            </w:r>
          </w:p>
        </w:tc>
        <w:tc>
          <w:tcPr>
            <w:tcW w:w="6783"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在参加采购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hint="default" w:ascii="Times New Roman" w:hAnsi="Times New Roman" w:eastAsia="方正仿宋_GBK" w:cs="Times New Roman"/>
                <w:spacing w:val="-2"/>
                <w:sz w:val="28"/>
                <w:szCs w:val="28"/>
              </w:rPr>
              <w:t>提供《关于供应商资格的声明函》。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2209" w:type="dxa"/>
            <w:vAlign w:val="center"/>
          </w:tcPr>
          <w:p>
            <w:pPr>
              <w:spacing w:line="4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
                <w:sz w:val="28"/>
                <w:szCs w:val="28"/>
              </w:rPr>
              <w:t>信用记录</w:t>
            </w:r>
          </w:p>
        </w:tc>
        <w:tc>
          <w:tcPr>
            <w:tcW w:w="6783" w:type="dxa"/>
          </w:tcPr>
          <w:p>
            <w:pPr>
              <w:wordWrap w:val="0"/>
              <w:spacing w:line="460" w:lineRule="exact"/>
              <w:ind w:left="102"/>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3"/>
                <w:sz w:val="28"/>
                <w:szCs w:val="28"/>
              </w:rPr>
              <w:t>供应商未被列入“信用中国”网站(www.creditchina.gov.cn)“记录失信被执行人或</w:t>
            </w:r>
            <w:r>
              <w:rPr>
                <w:rFonts w:hint="default" w:ascii="Times New Roman" w:hAnsi="Times New Roman" w:eastAsia="方正仿宋_GBK" w:cs="Times New Roman"/>
                <w:sz w:val="28"/>
                <w:szCs w:val="28"/>
              </w:rPr>
              <w:t>重大税收违法失信主体</w:t>
            </w:r>
            <w:r>
              <w:rPr>
                <w:rFonts w:hint="default" w:ascii="Times New Roman" w:hAnsi="Times New Roman" w:eastAsia="方正仿宋_GBK" w:cs="Times New Roman"/>
                <w:spacing w:val="-1"/>
                <w:sz w:val="28"/>
                <w:szCs w:val="28"/>
              </w:rPr>
              <w:t>”记录名单；不处于中国政府采购网(www.ccgp.gov.cn)“政府采购严重违法失信行为信息记录”中的禁止参加政府采购活动期间。（</w:t>
            </w:r>
            <w:r>
              <w:rPr>
                <w:rFonts w:hint="default" w:ascii="Times New Roman" w:hAnsi="Times New Roman" w:eastAsia="方正仿宋_GBK" w:cs="Times New Roman"/>
                <w:spacing w:val="1"/>
                <w:sz w:val="28"/>
                <w:szCs w:val="28"/>
              </w:rPr>
              <w:t>以采购人于响应截止当日在“信用中国”网站（www.creditchi</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pacing w:val="-1"/>
                <w:sz w:val="28"/>
                <w:szCs w:val="28"/>
              </w:rPr>
              <w:t>na.gov.cn）及中国政府采购网（</w:t>
            </w:r>
            <w:r>
              <w:rPr>
                <w:rFonts w:hint="default" w:ascii="Times New Roman" w:hAnsi="Times New Roman" w:eastAsia="方正仿宋_GBK" w:cs="Times New Roman"/>
                <w:spacing w:val="-49"/>
                <w:sz w:val="28"/>
                <w:szCs w:val="28"/>
              </w:rPr>
              <w:t xml:space="preserve"> </w:t>
            </w:r>
            <w:r>
              <w:rPr>
                <w:rFonts w:hint="default" w:ascii="Times New Roman" w:hAnsi="Times New Roman" w:eastAsia="方正仿宋_GBK" w:cs="Times New Roman"/>
                <w:spacing w:val="-1"/>
                <w:sz w:val="28"/>
                <w:szCs w:val="28"/>
              </w:rPr>
              <w:t>http://www.ccgp.gov.cn/）</w:t>
            </w:r>
            <w:r>
              <w:rPr>
                <w:rFonts w:hint="default" w:ascii="Times New Roman" w:hAnsi="Times New Roman" w:eastAsia="方正仿宋_GBK" w:cs="Times New Roman"/>
                <w:spacing w:val="-24"/>
                <w:sz w:val="28"/>
                <w:szCs w:val="28"/>
              </w:rPr>
              <w:t xml:space="preserve"> </w:t>
            </w:r>
            <w:r>
              <w:rPr>
                <w:rFonts w:hint="default" w:ascii="Times New Roman" w:hAnsi="Times New Roman" w:eastAsia="方正仿宋_GBK" w:cs="Times New Roman"/>
                <w:spacing w:val="-1"/>
                <w:sz w:val="28"/>
                <w:szCs w:val="28"/>
              </w:rPr>
              <w:t>查询结果为准，</w:t>
            </w:r>
            <w:r>
              <w:rPr>
                <w:rFonts w:hint="default" w:ascii="Times New Roman" w:hAnsi="Times New Roman" w:eastAsia="方正仿宋_GBK" w:cs="Times New Roman"/>
                <w:spacing w:val="-3"/>
                <w:sz w:val="28"/>
                <w:szCs w:val="28"/>
              </w:rPr>
              <w:t>如相关失信记录已失效，供应商需提供相关证明资料）。</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二、评分标准</w:t>
      </w:r>
    </w:p>
    <w:tbl>
      <w:tblPr>
        <w:tblStyle w:val="1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976"/>
        <w:gridCol w:w="750"/>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92"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75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663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exact"/>
          <w:jc w:val="center"/>
        </w:trPr>
        <w:tc>
          <w:tcPr>
            <w:tcW w:w="56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技术部分（</w:t>
            </w:r>
            <w:r>
              <w:rPr>
                <w:rFonts w:hint="default" w:ascii="Times New Roman" w:hAnsi="Times New Roman" w:eastAsia="方正仿宋_GBK" w:cs="Times New Roman"/>
                <w:sz w:val="30"/>
                <w:szCs w:val="30"/>
                <w:lang w:val="en-US" w:eastAsia="zh-CN"/>
              </w:rPr>
              <w:t>50</w:t>
            </w:r>
            <w:r>
              <w:rPr>
                <w:rFonts w:hint="default" w:ascii="Times New Roman" w:hAnsi="Times New Roman" w:eastAsia="方正仿宋_GBK" w:cs="Times New Roman"/>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2</w:t>
            </w:r>
            <w:r>
              <w:rPr>
                <w:rFonts w:hint="default" w:ascii="Times New Roman" w:hAnsi="Times New Roman" w:eastAsia="方正仿宋_GBK" w:cs="Times New Roman"/>
                <w:sz w:val="30"/>
                <w:szCs w:val="30"/>
                <w:lang w:val="en-US" w:eastAsia="zh-CN"/>
              </w:rPr>
              <w:t>0</w:t>
            </w:r>
          </w:p>
        </w:tc>
        <w:tc>
          <w:tcPr>
            <w:tcW w:w="6638"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rPr>
              <w:t>根据供应商针对本项目制定的项目策划执行方案进行评审，包括方案是否科学、完整、切实可行，内容是否详细、有效、清晰，是否详细阐述各阶段的工作等。方案内容包括以下</w:t>
            </w:r>
            <w:r>
              <w:rPr>
                <w:rFonts w:hint="default" w:ascii="Times New Roman" w:hAnsi="Times New Roman" w:eastAsia="方正仿宋_GBK" w:cs="Times New Roman"/>
                <w:spacing w:val="-1"/>
                <w:sz w:val="28"/>
                <w:szCs w:val="28"/>
                <w:lang w:val="en-US" w:eastAsia="zh-CN"/>
              </w:rPr>
              <w:t>2</w:t>
            </w:r>
            <w:r>
              <w:rPr>
                <w:rFonts w:hint="default" w:ascii="Times New Roman" w:hAnsi="Times New Roman" w:eastAsia="方正仿宋_GBK" w:cs="Times New Roman"/>
                <w:spacing w:val="-1"/>
                <w:sz w:val="28"/>
                <w:szCs w:val="28"/>
              </w:rPr>
              <w:t>个子方案：①第六届“中国创翼”创业创新大赛江门市选拔赛方案；②“开展历届“乐业五邑”创业创新大赛获奖企业（项目）跟踪服务方案</w:t>
            </w:r>
            <w:r>
              <w:rPr>
                <w:rFonts w:hint="default" w:ascii="Times New Roman" w:hAnsi="Times New Roman" w:eastAsia="方正仿宋_GBK" w:cs="Times New Roman"/>
                <w:spacing w:val="-1"/>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1</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 xml:space="preserve">执行方案全面合理、针对性强，切实可行，措施具体、成熟、操作性强，总体评价优，得20分； </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2</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 xml:space="preserve">执行方案不够全面、合理，可行性一般，措施、操作性不够具体、成熟，总体评价一般，得12分； </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3</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 xml:space="preserve">执行方案简单、针对性较差，可行性差，措施、操作性不足，总体评价差，得5分； </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
                <w:sz w:val="28"/>
                <w:szCs w:val="28"/>
              </w:rPr>
              <w:t>注：未提供相关方案的不得分。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6"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976"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75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1</w:t>
            </w:r>
            <w:r>
              <w:rPr>
                <w:rFonts w:eastAsia="方正仿宋_GBK"/>
                <w:sz w:val="30"/>
                <w:szCs w:val="30"/>
              </w:rPr>
              <w:t>0</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根据供应商的工作方案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w:t>
            </w:r>
            <w:r>
              <w:rPr>
                <w:rFonts w:hint="eastAsia" w:eastAsia="方正仿宋_GBK" w:cs="Times New Roman"/>
                <w:spacing w:val="-1"/>
                <w:sz w:val="28"/>
                <w:szCs w:val="28"/>
                <w:lang w:eastAsia="zh-CN"/>
              </w:rPr>
              <w:t>，</w:t>
            </w:r>
            <w:r>
              <w:rPr>
                <w:rFonts w:hint="default" w:ascii="Times New Roman" w:hAnsi="Times New Roman" w:eastAsia="方正仿宋_GBK" w:cs="Times New Roman"/>
                <w:spacing w:val="-1"/>
                <w:sz w:val="28"/>
                <w:szCs w:val="28"/>
              </w:rPr>
              <w:t>合理化建议可采纳情况进行评审：</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1.工作方案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的合理化程度高，合理化建议高效的，得10分。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2.工作方案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的合理化程度较高，合理化建议较为合理的，得8分。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3.工作方案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的合理化程度一般，合理化建议一般的，得6分。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4.工作方案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的合理化程度一般，合理化建议一般的，得4分。</w:t>
            </w:r>
          </w:p>
          <w:p>
            <w:pPr>
              <w:wordWrap w:val="0"/>
              <w:spacing w:line="360" w:lineRule="exact"/>
              <w:ind w:left="102"/>
              <w:jc w:val="left"/>
              <w:rPr>
                <w:rFonts w:eastAsia="方正仿宋_GBK"/>
                <w:sz w:val="30"/>
                <w:szCs w:val="30"/>
              </w:rPr>
            </w:pPr>
            <w:r>
              <w:rPr>
                <w:rFonts w:hint="default" w:ascii="Times New Roman" w:hAnsi="Times New Roman" w:eastAsia="方正仿宋_GBK" w:cs="Times New Roman"/>
                <w:spacing w:val="-1"/>
                <w:sz w:val="28"/>
                <w:szCs w:val="28"/>
              </w:rPr>
              <w:t>5</w:t>
            </w:r>
            <w:r>
              <w:rPr>
                <w:rFonts w:hint="eastAsia"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工作方案</w:t>
            </w:r>
            <w:r>
              <w:rPr>
                <w:rFonts w:hint="eastAsia" w:eastAsia="方正仿宋_GBK" w:cs="Times New Roman"/>
                <w:spacing w:val="-1"/>
                <w:sz w:val="28"/>
                <w:szCs w:val="28"/>
                <w:lang w:val="en-US" w:eastAsia="zh-CN"/>
              </w:rPr>
              <w:t>进度规划、</w:t>
            </w:r>
            <w:r>
              <w:rPr>
                <w:rFonts w:hint="default" w:ascii="Times New Roman" w:hAnsi="Times New Roman" w:eastAsia="方正仿宋_GBK" w:cs="Times New Roman"/>
                <w:spacing w:val="-1"/>
                <w:sz w:val="28"/>
                <w:szCs w:val="28"/>
              </w:rPr>
              <w:t>人员安排、</w:t>
            </w:r>
            <w:r>
              <w:rPr>
                <w:rFonts w:hint="eastAsia" w:eastAsia="方正仿宋_GBK" w:cs="Times New Roman"/>
                <w:spacing w:val="-1"/>
                <w:sz w:val="28"/>
                <w:szCs w:val="28"/>
                <w:lang w:val="en-US" w:eastAsia="zh-CN"/>
              </w:rPr>
              <w:t>活动场地安排、食宿安排、设备设施配备</w:t>
            </w:r>
            <w:r>
              <w:rPr>
                <w:rFonts w:hint="default" w:ascii="Times New Roman" w:hAnsi="Times New Roman" w:eastAsia="方正仿宋_GBK" w:cs="Times New Roman"/>
                <w:spacing w:val="-1"/>
                <w:sz w:val="28"/>
                <w:szCs w:val="28"/>
              </w:rPr>
              <w:t>的合理化程度较差，合理化建议不适用的，得1分。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3</w:t>
            </w:r>
          </w:p>
        </w:tc>
        <w:tc>
          <w:tcPr>
            <w:tcW w:w="816"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976"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rPr>
              <w:t>创业服务资源对接支撑</w:t>
            </w:r>
            <w:r>
              <w:rPr>
                <w:rFonts w:hint="eastAsia" w:eastAsia="方正仿宋_GBK"/>
                <w:sz w:val="30"/>
                <w:szCs w:val="30"/>
                <w:lang w:val="en-US" w:eastAsia="zh-CN"/>
              </w:rPr>
              <w:t>能力</w:t>
            </w:r>
          </w:p>
        </w:tc>
        <w:tc>
          <w:tcPr>
            <w:tcW w:w="750" w:type="dxa"/>
            <w:vAlign w:val="center"/>
          </w:tcPr>
          <w:p>
            <w:pPr>
              <w:autoSpaceDE w:val="0"/>
              <w:autoSpaceDN w:val="0"/>
              <w:adjustRightInd w:val="0"/>
              <w:snapToGrid w:val="0"/>
              <w:spacing w:line="300" w:lineRule="exact"/>
              <w:jc w:val="center"/>
              <w:rPr>
                <w:rFonts w:hint="default" w:eastAsia="方正仿宋_GBK"/>
                <w:sz w:val="30"/>
                <w:szCs w:val="30"/>
                <w:lang w:val="en-US" w:eastAsia="zh-CN"/>
              </w:rPr>
            </w:pPr>
            <w:r>
              <w:rPr>
                <w:rFonts w:hint="eastAsia" w:eastAsia="方正仿宋_GBK"/>
                <w:sz w:val="30"/>
                <w:szCs w:val="30"/>
                <w:lang w:val="en-US" w:eastAsia="zh-CN"/>
              </w:rPr>
              <w:t>10</w:t>
            </w:r>
          </w:p>
        </w:tc>
        <w:tc>
          <w:tcPr>
            <w:tcW w:w="6638" w:type="dxa"/>
            <w:vAlign w:val="center"/>
          </w:tcPr>
          <w:p>
            <w:pPr>
              <w:wordWrap w:val="0"/>
              <w:spacing w:line="360" w:lineRule="exact"/>
              <w:ind w:left="102"/>
              <w:jc w:val="left"/>
              <w:rPr>
                <w:rFonts w:ascii="方正仿宋_GBK" w:hAnsi="方正仿宋_GBK" w:eastAsia="方正仿宋_GBK" w:cs="方正仿宋_GBK"/>
                <w:spacing w:val="-1"/>
                <w:sz w:val="28"/>
                <w:szCs w:val="28"/>
              </w:rPr>
            </w:pPr>
            <w:r>
              <w:rPr>
                <w:rFonts w:hint="default" w:ascii="Times New Roman" w:hAnsi="Times New Roman" w:eastAsia="方正仿宋_GBK" w:cs="Times New Roman"/>
                <w:spacing w:val="-1"/>
                <w:sz w:val="28"/>
                <w:szCs w:val="28"/>
              </w:rPr>
              <w:t>供应商具有可统筹协调的创业投资机构、创业孵化基地、创业服务机构、创业导师等资源，每提供1个机构</w:t>
            </w:r>
            <w:r>
              <w:rPr>
                <w:rFonts w:hint="default" w:ascii="Times New Roman" w:hAnsi="Times New Roman" w:eastAsia="方正仿宋_GBK" w:cs="Times New Roman"/>
                <w:spacing w:val="-1"/>
                <w:sz w:val="28"/>
                <w:szCs w:val="28"/>
                <w:lang w:val="en-US" w:eastAsia="zh-CN"/>
              </w:rPr>
              <w:t>或基地</w:t>
            </w:r>
            <w:r>
              <w:rPr>
                <w:rFonts w:hint="default" w:ascii="Times New Roman" w:hAnsi="Times New Roman" w:eastAsia="方正仿宋_GBK" w:cs="Times New Roman"/>
                <w:spacing w:val="-1"/>
                <w:sz w:val="28"/>
                <w:szCs w:val="28"/>
              </w:rPr>
              <w:t>得2分，每提供1个导师得1分，本项最高得10分。 注：提供机构</w:t>
            </w:r>
            <w:r>
              <w:rPr>
                <w:rFonts w:hint="default" w:ascii="Times New Roman" w:hAnsi="Times New Roman" w:eastAsia="方正仿宋_GBK" w:cs="Times New Roman"/>
                <w:spacing w:val="-1"/>
                <w:sz w:val="28"/>
                <w:szCs w:val="28"/>
                <w:lang w:val="en-US" w:eastAsia="zh-CN"/>
              </w:rPr>
              <w:t>或基地</w:t>
            </w:r>
            <w:r>
              <w:rPr>
                <w:rFonts w:hint="default" w:ascii="Times New Roman" w:hAnsi="Times New Roman" w:eastAsia="方正仿宋_GBK" w:cs="Times New Roman"/>
                <w:spacing w:val="-1"/>
                <w:sz w:val="28"/>
                <w:szCs w:val="28"/>
              </w:rPr>
              <w:t>的须提供相关合作协议、资源简介；提供导师的须提供聘书复印件、资源简介，未按要求提供证明材料的不得分。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56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eastAsia="方正仿宋_GBK" w:cs="Times New Roman"/>
                <w:sz w:val="30"/>
                <w:szCs w:val="30"/>
                <w:lang w:val="en-US" w:eastAsia="zh-CN"/>
              </w:rPr>
              <w:t>4</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突发事件应急响应方案</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10</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1</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突发事件应急处理和资源调配方案详细具体，可以充分满足项目需求，得10分；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2</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 xml:space="preserve">突发事件应急处理和资源调配方案较简单，基本满足项目需求，得5分； </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3</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不满足项目需求、不提供突发事件应急处理或资源调配方案不得分。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5</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商务部分（4</w:t>
            </w:r>
            <w:r>
              <w:rPr>
                <w:rFonts w:hint="default" w:ascii="Times New Roman" w:hAnsi="Times New Roman" w:eastAsia="方正仿宋_GBK" w:cs="Times New Roman"/>
                <w:sz w:val="30"/>
                <w:szCs w:val="30"/>
                <w:lang w:val="en-US" w:eastAsia="zh-CN"/>
              </w:rPr>
              <w:t>0</w:t>
            </w:r>
            <w:r>
              <w:rPr>
                <w:rFonts w:hint="default" w:ascii="Times New Roman" w:hAnsi="Times New Roman" w:eastAsia="方正仿宋_GBK" w:cs="Times New Roman"/>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服务内容响应情况</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5</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对采购需求内容的响应情况进行评审。</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响应为“正偏离”或“无偏离”的，该项得5分，响应为“负偏离”的，该项不得分。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6</w:t>
            </w:r>
          </w:p>
        </w:tc>
        <w:tc>
          <w:tcPr>
            <w:tcW w:w="816" w:type="dxa"/>
            <w:vMerge w:val="continue"/>
            <w:vAlign w:val="center"/>
          </w:tcPr>
          <w:p>
            <w:pPr>
              <w:autoSpaceDE w:val="0"/>
              <w:autoSpaceDN w:val="0"/>
              <w:adjustRightInd w:val="0"/>
              <w:snapToGrid w:val="0"/>
              <w:spacing w:line="400" w:lineRule="exact"/>
              <w:jc w:val="center"/>
              <w:rPr>
                <w:rFonts w:hint="default" w:ascii="Times New Roman" w:hAnsi="Times New Roman" w:eastAsia="方正仿宋_GBK" w:cs="Times New Roman"/>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同类业绩</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12</w:t>
            </w:r>
          </w:p>
        </w:tc>
        <w:tc>
          <w:tcPr>
            <w:tcW w:w="6638" w:type="dxa"/>
            <w:vAlign w:val="center"/>
          </w:tcPr>
          <w:p>
            <w:pPr>
              <w:wordWrap w:val="0"/>
              <w:spacing w:line="360" w:lineRule="exact"/>
              <w:ind w:left="10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
                <w:sz w:val="28"/>
                <w:szCs w:val="28"/>
              </w:rPr>
              <w:t>供应商2020年1月1日以来（以合同签订日期为准）承办过市级及以上创业创新大赛等相关活动的业绩进行评审。每提供1个得3分，本项最高得分为12分。 需提供项目合同关键页复印件，并加盖供应商单位公章。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7</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企业信誉情况</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供应商2020年1月1日以来获得用户正面评价（包括优秀、优良、良好、满意、80分及以上、或按要求完成服务）的：每个正面评价得2分；其他或没有的不得分。本项最高得分为8分，注：需提供客户评价证明等相关证明文件复印件或网站截图及网址，并加盖供应商单位公章。正面评价同一业主不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3" w:hRule="atLeast"/>
          <w:jc w:val="center"/>
        </w:trPr>
        <w:tc>
          <w:tcPr>
            <w:tcW w:w="560"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8</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团队服务能力</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lang w:val="en-US" w:eastAsia="zh-CN"/>
              </w:rPr>
              <w:t>5</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1</w:t>
            </w:r>
            <w:r>
              <w:rPr>
                <w:rFonts w:hint="eastAsia"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服务团队成员（除服务团队负责人）为供应商全职工作人员，可随时根据采购方需求调配。每提供一名得1分，最高得9分。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注：需提供团队人员配置清单及工作经历证明及上述人员在投标截止时间前3个月（2024年2</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4月）任意一个月在投标单位购买的社保证明复印件或个税证明复印件，并加盖供应商单位公章，没有提供材料不得分。</w:t>
            </w:r>
          </w:p>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2</w:t>
            </w:r>
            <w:r>
              <w:rPr>
                <w:rFonts w:hint="eastAsia"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项目负责人需为供应商的全职人员，且具备大型活动、会议服务</w:t>
            </w:r>
            <w:r>
              <w:rPr>
                <w:rFonts w:hint="default"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lang w:val="en-US" w:eastAsia="zh-CN"/>
              </w:rPr>
              <w:t>调研</w:t>
            </w:r>
            <w:r>
              <w:rPr>
                <w:rFonts w:hint="default" w:ascii="Times New Roman" w:hAnsi="Times New Roman" w:eastAsia="方正仿宋_GBK" w:cs="Times New Roman"/>
                <w:spacing w:val="-1"/>
                <w:sz w:val="28"/>
                <w:szCs w:val="28"/>
              </w:rPr>
              <w:t>管理等工作经验，每具有一个合作项目得2分，无相关经验不得分，本项最高得6分。</w:t>
            </w:r>
          </w:p>
          <w:p>
            <w:pPr>
              <w:wordWrap w:val="0"/>
              <w:spacing w:line="360" w:lineRule="exact"/>
              <w:ind w:left="102"/>
              <w:jc w:val="left"/>
              <w:rPr>
                <w:rFonts w:hint="default" w:ascii="Times New Roman" w:hAnsi="Times New Roman" w:cs="Times New Roman"/>
              </w:rPr>
            </w:pPr>
            <w:r>
              <w:rPr>
                <w:rFonts w:hint="default" w:ascii="Times New Roman" w:hAnsi="Times New Roman" w:eastAsia="方正仿宋_GBK" w:cs="Times New Roman"/>
                <w:spacing w:val="-1"/>
                <w:sz w:val="28"/>
                <w:szCs w:val="28"/>
              </w:rPr>
              <w:t>注：需提供项目负责人在投标截止时间前3个月（2024年2</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4月）任意一个月在投标单位购买的社保证明复印件，签署合作合同的关键页或提供项目需求方出具的证明材料或现场照片（均需加盖供应商单位公章），没有提供材料不得分。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6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eastAsia="方正仿宋_GBK" w:cs="Times New Roman"/>
                <w:sz w:val="30"/>
                <w:szCs w:val="30"/>
                <w:lang w:val="en-US" w:eastAsia="zh-CN"/>
              </w:rPr>
              <w:t>9</w:t>
            </w:r>
          </w:p>
        </w:tc>
        <w:tc>
          <w:tcPr>
            <w:tcW w:w="1792" w:type="dxa"/>
            <w:gridSpan w:val="2"/>
            <w:vAlign w:val="center"/>
          </w:tcPr>
          <w:p>
            <w:pPr>
              <w:autoSpaceDE w:val="0"/>
              <w:autoSpaceDN w:val="0"/>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价格评分（10分）</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w:t>
            </w:r>
          </w:p>
        </w:tc>
        <w:tc>
          <w:tcPr>
            <w:tcW w:w="6638" w:type="dxa"/>
            <w:vAlign w:val="center"/>
          </w:tcPr>
          <w:p>
            <w:pPr>
              <w:wordWrap w:val="0"/>
              <w:spacing w:line="360" w:lineRule="exact"/>
              <w:ind w:left="102"/>
              <w:jc w:val="left"/>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计算价格评分统一采用低价优先法计算，各有效投标人的评标价中，取最低价为评标基准价，其价格为满分，其他投标人的价格分统一按照下列公式计算：价格评分=（评分基准价/评标价）×10分</w:t>
            </w:r>
          </w:p>
          <w:p>
            <w:pPr>
              <w:wordWrap w:val="0"/>
              <w:spacing w:line="360" w:lineRule="exact"/>
              <w:ind w:left="10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
                <w:sz w:val="28"/>
                <w:szCs w:val="28"/>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3C5D"/>
    <w:rsid w:val="03DA48E8"/>
    <w:rsid w:val="0659586C"/>
    <w:rsid w:val="07F916A8"/>
    <w:rsid w:val="09C54508"/>
    <w:rsid w:val="106519DD"/>
    <w:rsid w:val="114928EB"/>
    <w:rsid w:val="11F33019"/>
    <w:rsid w:val="130305CB"/>
    <w:rsid w:val="16811788"/>
    <w:rsid w:val="17103D25"/>
    <w:rsid w:val="1B707E8E"/>
    <w:rsid w:val="1C626DD1"/>
    <w:rsid w:val="1FE60110"/>
    <w:rsid w:val="21E43400"/>
    <w:rsid w:val="27C45CD8"/>
    <w:rsid w:val="2E045F3A"/>
    <w:rsid w:val="2EFE3E38"/>
    <w:rsid w:val="327B529D"/>
    <w:rsid w:val="3583585A"/>
    <w:rsid w:val="3971644D"/>
    <w:rsid w:val="39A54341"/>
    <w:rsid w:val="39F74BA5"/>
    <w:rsid w:val="3BDD426E"/>
    <w:rsid w:val="3CCA47F2"/>
    <w:rsid w:val="3ECDB459"/>
    <w:rsid w:val="40A71D1A"/>
    <w:rsid w:val="417665CE"/>
    <w:rsid w:val="440A3A43"/>
    <w:rsid w:val="53590226"/>
    <w:rsid w:val="54B202F2"/>
    <w:rsid w:val="580746F5"/>
    <w:rsid w:val="5A160B2C"/>
    <w:rsid w:val="5BFF1FA6"/>
    <w:rsid w:val="5C4C2DF1"/>
    <w:rsid w:val="5E7C711A"/>
    <w:rsid w:val="60A61681"/>
    <w:rsid w:val="65962C14"/>
    <w:rsid w:val="676735EE"/>
    <w:rsid w:val="6A5512F0"/>
    <w:rsid w:val="6B3833C1"/>
    <w:rsid w:val="6FDB7514"/>
    <w:rsid w:val="6FFB19C8"/>
    <w:rsid w:val="746E36DA"/>
    <w:rsid w:val="7716147C"/>
    <w:rsid w:val="7C1079CE"/>
    <w:rsid w:val="7EA13CB3"/>
    <w:rsid w:val="99FD202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2"/>
    <w:autoRedefine/>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5">
    <w:name w:val="Normal Indent"/>
    <w:basedOn w:val="1"/>
    <w:autoRedefine/>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autoRedefine/>
    <w:qFormat/>
    <w:uiPriority w:val="0"/>
  </w:style>
  <w:style w:type="paragraph" w:styleId="7">
    <w:name w:val="Plain Text"/>
    <w:basedOn w:val="1"/>
    <w:link w:val="17"/>
    <w:autoRedefine/>
    <w:qFormat/>
    <w:uiPriority w:val="0"/>
    <w:rPr>
      <w:rFonts w:ascii="宋体" w:hAnsi="Courier New"/>
      <w:szCs w:val="21"/>
    </w:rPr>
  </w:style>
  <w:style w:type="paragraph" w:styleId="8">
    <w:name w:val="Date"/>
    <w:basedOn w:val="1"/>
    <w:next w:val="1"/>
    <w:autoRedefine/>
    <w:qFormat/>
    <w:uiPriority w:val="0"/>
    <w:pPr>
      <w:autoSpaceDE w:val="0"/>
      <w:autoSpaceDN w:val="0"/>
      <w:adjustRightInd w:val="0"/>
      <w:textAlignment w:val="baseline"/>
    </w:pPr>
    <w:rPr>
      <w:rFonts w:ascii="宋体"/>
      <w:kern w:val="0"/>
      <w:sz w:val="28"/>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Autospacing="1"/>
      <w:jc w:val="left"/>
    </w:pPr>
    <w:rPr>
      <w:rFonts w:ascii="宋体" w:hAnsi="宋体"/>
      <w:color w:val="000000"/>
      <w:kern w:val="0"/>
      <w:sz w:val="18"/>
      <w:szCs w:val="20"/>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22"/>
    <w:rPr>
      <w:b/>
      <w:bCs/>
      <w:spacing w:val="0"/>
    </w:rPr>
  </w:style>
  <w:style w:type="character" w:customStyle="1" w:styleId="17">
    <w:name w:val="纯文本 字符"/>
    <w:basedOn w:val="15"/>
    <w:link w:val="7"/>
    <w:autoRedefine/>
    <w:qFormat/>
    <w:uiPriority w:val="0"/>
    <w:rPr>
      <w:rFonts w:ascii="宋体" w:hAnsi="Courier New" w:eastAsia="宋体" w:cs="Times New Roman"/>
      <w:szCs w:val="21"/>
    </w:rPr>
  </w:style>
  <w:style w:type="character" w:customStyle="1" w:styleId="18">
    <w:name w:val="无间隔 字符"/>
    <w:link w:val="19"/>
    <w:autoRedefine/>
    <w:qFormat/>
    <w:locked/>
    <w:uiPriority w:val="1"/>
    <w:rPr>
      <w:rFonts w:ascii="Calibri" w:hAnsi="Calibri"/>
      <w:sz w:val="22"/>
      <w:lang w:eastAsia="en-US" w:bidi="en-US"/>
    </w:rPr>
  </w:style>
  <w:style w:type="paragraph" w:styleId="19">
    <w:name w:val="No Spacing"/>
    <w:basedOn w:val="1"/>
    <w:link w:val="18"/>
    <w:autoRedefine/>
    <w:qFormat/>
    <w:uiPriority w:val="1"/>
    <w:pPr>
      <w:widowControl/>
      <w:jc w:val="left"/>
    </w:pPr>
    <w:rPr>
      <w:rFonts w:ascii="Calibri" w:hAnsi="Calibri" w:eastAsiaTheme="minorEastAsia" w:cstheme="minorBidi"/>
      <w:sz w:val="22"/>
      <w:lang w:eastAsia="en-US" w:bidi="en-US"/>
    </w:rPr>
  </w:style>
  <w:style w:type="character" w:customStyle="1" w:styleId="20">
    <w:name w:val="页眉 字符"/>
    <w:basedOn w:val="15"/>
    <w:link w:val="11"/>
    <w:autoRedefine/>
    <w:qFormat/>
    <w:uiPriority w:val="99"/>
    <w:rPr>
      <w:rFonts w:ascii="Times New Roman" w:hAnsi="Times New Roman" w:eastAsia="宋体" w:cs="Times New Roman"/>
      <w:sz w:val="18"/>
      <w:szCs w:val="18"/>
    </w:rPr>
  </w:style>
  <w:style w:type="character" w:customStyle="1" w:styleId="21">
    <w:name w:val="页脚 字符"/>
    <w:basedOn w:val="15"/>
    <w:link w:val="10"/>
    <w:autoRedefine/>
    <w:qFormat/>
    <w:uiPriority w:val="99"/>
    <w:rPr>
      <w:rFonts w:ascii="Times New Roman" w:hAnsi="Times New Roman" w:eastAsia="宋体" w:cs="Times New Roman"/>
      <w:sz w:val="18"/>
      <w:szCs w:val="18"/>
    </w:rPr>
  </w:style>
  <w:style w:type="character" w:customStyle="1" w:styleId="22">
    <w:name w:val="标题 2 字符"/>
    <w:basedOn w:val="15"/>
    <w:link w:val="4"/>
    <w:autoRedefine/>
    <w:qFormat/>
    <w:uiPriority w:val="0"/>
    <w:rPr>
      <w:rFonts w:ascii="Arial" w:hAnsi="Arial" w:eastAsia="黑体" w:cs="Times New Roman"/>
      <w:b/>
      <w:bCs/>
      <w:kern w:val="0"/>
      <w:sz w:val="32"/>
      <w:szCs w:val="32"/>
    </w:rPr>
  </w:style>
  <w:style w:type="paragraph" w:customStyle="1" w:styleId="23">
    <w:name w:val="修订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24">
    <w:name w:val="font51"/>
    <w:basedOn w:val="15"/>
    <w:autoRedefine/>
    <w:qFormat/>
    <w:uiPriority w:val="0"/>
    <w:rPr>
      <w:rFonts w:hint="eastAsia" w:ascii="方正仿宋_GBK" w:hAnsi="方正仿宋_GBK" w:eastAsia="方正仿宋_GBK" w:cs="方正仿宋_GBK"/>
      <w:b/>
      <w:bCs/>
      <w:color w:val="000000"/>
      <w:sz w:val="20"/>
      <w:szCs w:val="20"/>
      <w:u w:val="none"/>
    </w:rPr>
  </w:style>
  <w:style w:type="paragraph" w:customStyle="1" w:styleId="25">
    <w:name w:val="样式 正文缩进 + 首行缩进:  2 字符"/>
    <w:basedOn w:val="5"/>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6">
    <w:name w:val="批注框文本 字符"/>
    <w:basedOn w:val="15"/>
    <w:link w:val="9"/>
    <w:autoRedefine/>
    <w:semiHidden/>
    <w:qFormat/>
    <w:uiPriority w:val="99"/>
    <w:rPr>
      <w:rFonts w:ascii="Times New Roman" w:hAnsi="Times New Roman" w:eastAsia="宋体" w:cs="Times New Roman"/>
      <w:kern w:val="2"/>
      <w:sz w:val="18"/>
      <w:szCs w:val="18"/>
    </w:rPr>
  </w:style>
  <w:style w:type="character" w:customStyle="1" w:styleId="27">
    <w:name w:val="fontstyle01"/>
    <w:basedOn w:val="15"/>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416</Words>
  <Characters>2374</Characters>
  <Lines>19</Lines>
  <Paragraphs>5</Paragraphs>
  <TotalTime>3</TotalTime>
  <ScaleCrop>false</ScaleCrop>
  <LinksUpToDate>false</LinksUpToDate>
  <CharactersWithSpaces>2785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2022-03-20T12:29:00Z</dcterms:created>
  <dc:creator>Y XW</dc:creator>
  <cp:lastModifiedBy>明子Mizzi</cp:lastModifiedBy>
  <cp:lastPrinted>2024-04-12T18:22:00Z</cp:lastPrinted>
  <dcterms:modified xsi:type="dcterms:W3CDTF">2024-05-15T10:05:01Z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154A43438FAB4E139FBFD617EF53E26B_13</vt:lpwstr>
  </property>
</Properties>
</file>