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0"/>
          <w:szCs w:val="40"/>
          <w:shd w:val="clear" w:color="auto" w:fill="FFFFFF"/>
          <w14:textFill>
            <w14:solidFill>
              <w14:schemeClr w14:val="tx1"/>
            </w14:solidFill>
          </w14:textFill>
        </w:rPr>
      </w:pPr>
      <w:r>
        <w:rPr>
          <w:rFonts w:hint="eastAsia" w:ascii="宋体" w:hAnsi="宋体" w:eastAsia="宋体" w:cs="宋体"/>
          <w:b/>
          <w:color w:val="000000" w:themeColor="text1"/>
          <w:sz w:val="40"/>
          <w:szCs w:val="40"/>
          <w:shd w:val="clear" w:color="auto" w:fill="FFFFFF"/>
          <w14:textFill>
            <w14:solidFill>
              <w14:schemeClr w14:val="tx1"/>
            </w14:solidFill>
          </w14:textFill>
        </w:rPr>
        <w:t>江门市市场监督管理局药品生产、经营领域风险评估工作服务项目服务合同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联系人：潘超华</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  0750-</w:t>
      </w:r>
      <w:r>
        <w:rPr>
          <w:rFonts w:ascii="仿宋" w:hAnsi="仿宋" w:eastAsia="仿宋" w:cs="仿宋"/>
          <w:color w:val="000000"/>
          <w:sz w:val="28"/>
          <w:szCs w:val="28"/>
        </w:rPr>
        <w:t>3168718</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甲、乙双方根据“江门市市场监督管理局药</w:t>
      </w:r>
      <w:bookmarkStart w:id="0" w:name="_GoBack"/>
      <w:bookmarkEnd w:id="0"/>
      <w:r>
        <w:rPr>
          <w:rFonts w:hint="eastAsia" w:ascii="仿宋" w:hAnsi="仿宋" w:eastAsia="仿宋" w:cs="仿宋"/>
          <w:sz w:val="28"/>
          <w:szCs w:val="28"/>
        </w:rPr>
        <w:t>品生产、经营领域风险评估工作服务项目”（项目编号：XXXXXXXXX）的采购公告、项目采购结果公告的要求，按照《中华人民共和国民法典》、《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甲方委托乙方就江门市市场监督管理局药品生产、经营领域风险评估工作服务项目提供技术服务工作，具体服务内容及要求如下：</w:t>
      </w:r>
    </w:p>
    <w:p>
      <w:pPr>
        <w:spacing w:line="480" w:lineRule="exact"/>
        <w:ind w:firstLine="584" w:firstLineChars="200"/>
        <w:rPr>
          <w:rFonts w:ascii="仿宋" w:hAnsi="仿宋" w:eastAsia="仿宋" w:cs="楷体_GB2312"/>
          <w:color w:val="000000"/>
          <w:spacing w:val="6"/>
          <w:sz w:val="28"/>
          <w:szCs w:val="28"/>
        </w:rPr>
      </w:pPr>
      <w:r>
        <w:rPr>
          <w:rFonts w:hint="eastAsia" w:ascii="仿宋" w:hAnsi="仿宋" w:eastAsia="仿宋" w:cs="楷体_GB2312"/>
          <w:color w:val="000000"/>
          <w:spacing w:val="6"/>
          <w:sz w:val="28"/>
          <w:szCs w:val="28"/>
        </w:rPr>
        <w:t>1、风险数据分析评估</w:t>
      </w:r>
    </w:p>
    <w:p>
      <w:pPr>
        <w:spacing w:line="480" w:lineRule="exact"/>
        <w:ind w:firstLine="584" w:firstLineChars="200"/>
        <w:rPr>
          <w:rFonts w:ascii="仿宋" w:hAnsi="仿宋" w:eastAsia="仿宋"/>
          <w:color w:val="000000"/>
          <w:spacing w:val="6"/>
          <w:sz w:val="28"/>
          <w:szCs w:val="28"/>
        </w:rPr>
      </w:pPr>
      <w:r>
        <w:rPr>
          <w:rFonts w:hint="eastAsia" w:ascii="仿宋" w:hAnsi="仿宋" w:eastAsia="仿宋" w:cs="仿宋_GB2312"/>
          <w:color w:val="000000"/>
          <w:spacing w:val="6"/>
          <w:sz w:val="28"/>
          <w:szCs w:val="28"/>
        </w:rPr>
        <w:t>（1）</w:t>
      </w:r>
      <w:r>
        <w:rPr>
          <w:rFonts w:hint="eastAsia" w:ascii="仿宋" w:hAnsi="仿宋" w:eastAsia="仿宋"/>
          <w:color w:val="000000"/>
          <w:spacing w:val="6"/>
          <w:sz w:val="28"/>
          <w:szCs w:val="28"/>
        </w:rPr>
        <w:t>协助甲方评估药品生产、流通环节定期验证的风险报告、数据。</w:t>
      </w:r>
    </w:p>
    <w:p>
      <w:pPr>
        <w:spacing w:line="480" w:lineRule="exact"/>
        <w:ind w:firstLine="584" w:firstLineChars="200"/>
        <w:rPr>
          <w:rFonts w:ascii="仿宋" w:hAnsi="仿宋" w:eastAsia="仿宋"/>
          <w:color w:val="000000"/>
          <w:spacing w:val="6"/>
          <w:sz w:val="28"/>
          <w:szCs w:val="28"/>
        </w:rPr>
      </w:pPr>
      <w:r>
        <w:rPr>
          <w:rFonts w:hint="eastAsia" w:ascii="仿宋" w:hAnsi="仿宋" w:eastAsia="仿宋" w:cs="仿宋_GB2312"/>
          <w:color w:val="000000"/>
          <w:spacing w:val="6"/>
          <w:sz w:val="28"/>
          <w:szCs w:val="28"/>
        </w:rPr>
        <w:t>（2）</w:t>
      </w:r>
      <w:r>
        <w:rPr>
          <w:rFonts w:hint="eastAsia" w:ascii="仿宋" w:hAnsi="仿宋" w:eastAsia="仿宋"/>
          <w:color w:val="000000"/>
          <w:spacing w:val="6"/>
          <w:sz w:val="28"/>
          <w:szCs w:val="28"/>
        </w:rPr>
        <w:t>协助甲方评估药品生产、流通环节（冷库、冷藏箱、保温箱以及温湿度自动监测系统等）的验证报告，确认相关设施、设备及监测系统、布点、安装位置等能够符合规定的设计标准和要求。</w:t>
      </w:r>
    </w:p>
    <w:p>
      <w:pPr>
        <w:spacing w:line="480" w:lineRule="exact"/>
        <w:ind w:firstLine="584" w:firstLineChars="200"/>
        <w:rPr>
          <w:rFonts w:ascii="仿宋" w:hAnsi="仿宋" w:eastAsia="仿宋"/>
          <w:color w:val="000000"/>
          <w:spacing w:val="6"/>
          <w:sz w:val="28"/>
          <w:szCs w:val="28"/>
        </w:rPr>
      </w:pPr>
      <w:r>
        <w:rPr>
          <w:rFonts w:hint="eastAsia" w:ascii="仿宋" w:hAnsi="仿宋" w:eastAsia="仿宋" w:cs="仿宋_GB2312"/>
          <w:color w:val="000000"/>
          <w:spacing w:val="6"/>
          <w:sz w:val="28"/>
          <w:szCs w:val="28"/>
        </w:rPr>
        <w:t>（3）</w:t>
      </w:r>
      <w:r>
        <w:rPr>
          <w:rFonts w:hint="eastAsia" w:ascii="仿宋" w:hAnsi="仿宋" w:eastAsia="仿宋"/>
          <w:color w:val="000000"/>
          <w:spacing w:val="6"/>
          <w:sz w:val="28"/>
          <w:szCs w:val="28"/>
        </w:rPr>
        <w:t>协助甲方评估企业工作的指导、协调。</w:t>
      </w:r>
    </w:p>
    <w:p>
      <w:pPr>
        <w:spacing w:line="480" w:lineRule="exact"/>
        <w:ind w:firstLine="584" w:firstLineChars="200"/>
        <w:rPr>
          <w:rFonts w:ascii="仿宋" w:hAnsi="仿宋" w:eastAsia="仿宋"/>
          <w:color w:val="000000"/>
          <w:spacing w:val="6"/>
          <w:sz w:val="28"/>
          <w:szCs w:val="28"/>
        </w:rPr>
      </w:pPr>
      <w:r>
        <w:rPr>
          <w:rFonts w:hint="eastAsia" w:ascii="仿宋" w:hAnsi="仿宋" w:eastAsia="仿宋"/>
          <w:color w:val="000000"/>
          <w:spacing w:val="6"/>
          <w:sz w:val="28"/>
          <w:szCs w:val="28"/>
        </w:rPr>
        <w:t>（4）对收集的药品质量安全信息资料，运用风险手段进行综合分析。每季度分析评估行政区域内药品生产流通风险分级和分类监管情况，将以上情况按每季度汇总成风险分析材料一份报送甲方。</w:t>
      </w:r>
    </w:p>
    <w:p>
      <w:pPr>
        <w:spacing w:line="480" w:lineRule="exact"/>
        <w:ind w:firstLine="584" w:firstLineChars="200"/>
        <w:rPr>
          <w:rFonts w:ascii="仿宋" w:hAnsi="仿宋" w:eastAsia="仿宋"/>
          <w:color w:val="000000"/>
          <w:spacing w:val="6"/>
          <w:sz w:val="28"/>
          <w:szCs w:val="28"/>
        </w:rPr>
      </w:pPr>
      <w:r>
        <w:rPr>
          <w:rFonts w:hint="eastAsia" w:ascii="仿宋" w:hAnsi="仿宋" w:eastAsia="仿宋" w:cs="楷体_GB2312"/>
          <w:color w:val="000000"/>
          <w:spacing w:val="6"/>
          <w:sz w:val="28"/>
          <w:szCs w:val="28"/>
        </w:rPr>
        <w:t>2、信息收集</w:t>
      </w:r>
    </w:p>
    <w:p>
      <w:pPr>
        <w:spacing w:line="480" w:lineRule="exact"/>
        <w:ind w:firstLine="584" w:firstLineChars="200"/>
        <w:rPr>
          <w:rFonts w:ascii="仿宋" w:hAnsi="仿宋" w:eastAsia="仿宋"/>
          <w:color w:val="000000"/>
          <w:spacing w:val="6"/>
          <w:sz w:val="28"/>
          <w:szCs w:val="28"/>
        </w:rPr>
      </w:pPr>
      <w:r>
        <w:rPr>
          <w:rFonts w:hint="eastAsia" w:ascii="仿宋" w:hAnsi="仿宋" w:eastAsia="仿宋"/>
          <w:color w:val="000000"/>
          <w:spacing w:val="6"/>
          <w:sz w:val="28"/>
          <w:szCs w:val="28"/>
        </w:rPr>
        <w:t>药品监管工作中发现的普遍性、倾向性、突出性、代表性药品安全问题。对药品生产流通企业日常监督检查情况及缺陷整改情况进行收集，形成约120份药品生产、经营检查报告，并将检查报告录入系统并整理归档。</w:t>
      </w:r>
    </w:p>
    <w:p>
      <w:pPr>
        <w:spacing w:line="480" w:lineRule="exact"/>
        <w:ind w:firstLine="584" w:firstLineChars="200"/>
        <w:rPr>
          <w:rFonts w:ascii="仿宋" w:hAnsi="仿宋" w:eastAsia="仿宋" w:cs="楷体_GB2312"/>
          <w:color w:val="000000"/>
          <w:spacing w:val="6"/>
          <w:sz w:val="28"/>
          <w:szCs w:val="28"/>
        </w:rPr>
      </w:pPr>
      <w:r>
        <w:rPr>
          <w:rFonts w:hint="eastAsia" w:ascii="仿宋" w:hAnsi="仿宋" w:eastAsia="仿宋" w:cs="楷体_GB2312"/>
          <w:color w:val="000000"/>
          <w:spacing w:val="6"/>
          <w:sz w:val="28"/>
          <w:szCs w:val="28"/>
        </w:rPr>
        <w:t>3、定期组织风险研判</w:t>
      </w:r>
    </w:p>
    <w:p>
      <w:pPr>
        <w:spacing w:line="480" w:lineRule="exact"/>
        <w:ind w:firstLine="584" w:firstLineChars="200"/>
        <w:rPr>
          <w:rFonts w:ascii="仿宋" w:hAnsi="仿宋" w:eastAsia="仿宋"/>
          <w:color w:val="000000"/>
          <w:spacing w:val="6"/>
          <w:sz w:val="28"/>
          <w:szCs w:val="28"/>
        </w:rPr>
      </w:pPr>
      <w:r>
        <w:rPr>
          <w:rFonts w:hint="eastAsia" w:ascii="仿宋" w:hAnsi="仿宋" w:eastAsia="仿宋" w:cs="仿宋_GB2312"/>
          <w:color w:val="000000"/>
          <w:spacing w:val="6"/>
          <w:sz w:val="28"/>
          <w:szCs w:val="28"/>
        </w:rPr>
        <w:t>（1）协助甲方</w:t>
      </w:r>
      <w:r>
        <w:rPr>
          <w:rFonts w:hint="eastAsia" w:ascii="仿宋" w:hAnsi="仿宋" w:eastAsia="仿宋"/>
          <w:color w:val="000000"/>
          <w:spacing w:val="6"/>
          <w:sz w:val="28"/>
          <w:szCs w:val="28"/>
        </w:rPr>
        <w:t>每季度采取综合研判的办法，对药品生产流通领域质量安全风险进行集体评估，确定风险因素、风险程度和防控措施的过程。</w:t>
      </w:r>
    </w:p>
    <w:p>
      <w:pPr>
        <w:spacing w:line="480" w:lineRule="exact"/>
        <w:ind w:firstLine="584" w:firstLineChars="200"/>
        <w:rPr>
          <w:rFonts w:ascii="仿宋" w:hAnsi="仿宋" w:eastAsia="仿宋"/>
          <w:color w:val="000000"/>
          <w:spacing w:val="6"/>
          <w:sz w:val="28"/>
          <w:szCs w:val="28"/>
        </w:rPr>
      </w:pPr>
      <w:r>
        <w:rPr>
          <w:rFonts w:hint="eastAsia" w:ascii="仿宋" w:hAnsi="仿宋" w:eastAsia="仿宋"/>
          <w:color w:val="000000"/>
          <w:spacing w:val="6"/>
          <w:sz w:val="28"/>
          <w:szCs w:val="28"/>
        </w:rPr>
        <w:t>（2）协助</w:t>
      </w:r>
      <w:r>
        <w:rPr>
          <w:rFonts w:hint="eastAsia" w:ascii="仿宋" w:hAnsi="仿宋" w:eastAsia="仿宋" w:cs="仿宋_GB2312"/>
          <w:color w:val="000000"/>
          <w:spacing w:val="6"/>
          <w:sz w:val="28"/>
          <w:szCs w:val="28"/>
        </w:rPr>
        <w:t>甲方</w:t>
      </w:r>
      <w:r>
        <w:rPr>
          <w:rFonts w:hint="eastAsia" w:ascii="仿宋" w:hAnsi="仿宋" w:eastAsia="仿宋"/>
          <w:color w:val="000000"/>
          <w:spacing w:val="6"/>
          <w:sz w:val="28"/>
          <w:szCs w:val="28"/>
        </w:rPr>
        <w:t>组织召开药品生产流通质量风险研判联席会议，综合评估区域药品生产流通质量安全风险状况，制定实施风险控制措施，消除药品质量安全风险。</w:t>
      </w:r>
    </w:p>
    <w:p>
      <w:pPr>
        <w:spacing w:line="480" w:lineRule="exact"/>
        <w:ind w:firstLine="584" w:firstLineChars="200"/>
        <w:rPr>
          <w:rFonts w:ascii="仿宋" w:hAnsi="仿宋" w:eastAsia="仿宋"/>
          <w:color w:val="000000"/>
          <w:spacing w:val="6"/>
          <w:sz w:val="28"/>
          <w:szCs w:val="28"/>
        </w:rPr>
      </w:pPr>
      <w:r>
        <w:rPr>
          <w:rFonts w:hint="eastAsia" w:ascii="仿宋" w:hAnsi="仿宋" w:eastAsia="仿宋" w:cs="仿宋_GB2312"/>
          <w:color w:val="000000"/>
          <w:spacing w:val="6"/>
          <w:sz w:val="28"/>
          <w:szCs w:val="28"/>
        </w:rPr>
        <w:t>（3）协助甲方</w:t>
      </w:r>
      <w:r>
        <w:rPr>
          <w:rFonts w:hint="eastAsia" w:ascii="仿宋" w:hAnsi="仿宋" w:eastAsia="仿宋"/>
          <w:color w:val="000000"/>
          <w:spacing w:val="6"/>
          <w:sz w:val="28"/>
          <w:szCs w:val="28"/>
        </w:rPr>
        <w:t>实行分级管理，实施药品流通质量安全风险评估和管控。</w:t>
      </w:r>
    </w:p>
    <w:p>
      <w:pPr>
        <w:spacing w:line="480" w:lineRule="exact"/>
        <w:ind w:firstLine="584" w:firstLineChars="200"/>
        <w:rPr>
          <w:rFonts w:ascii="仿宋" w:hAnsi="仿宋" w:eastAsia="仿宋" w:cs="仿宋"/>
          <w:sz w:val="28"/>
          <w:szCs w:val="28"/>
        </w:rPr>
      </w:pPr>
      <w:r>
        <w:rPr>
          <w:rFonts w:hint="eastAsia" w:ascii="仿宋" w:hAnsi="仿宋" w:eastAsia="仿宋" w:cs="Times New Roman"/>
          <w:color w:val="000000"/>
          <w:spacing w:val="6"/>
          <w:sz w:val="28"/>
          <w:szCs w:val="28"/>
        </w:rPr>
        <w:t>（</w:t>
      </w:r>
      <w:r>
        <w:rPr>
          <w:rFonts w:ascii="仿宋" w:hAnsi="仿宋" w:eastAsia="仿宋"/>
          <w:color w:val="000000"/>
          <w:spacing w:val="6"/>
          <w:sz w:val="28"/>
          <w:szCs w:val="28"/>
        </w:rPr>
        <w:t>4）</w:t>
      </w:r>
      <w:r>
        <w:rPr>
          <w:rFonts w:hint="eastAsia" w:ascii="仿宋" w:hAnsi="仿宋" w:eastAsia="仿宋" w:cs="Times New Roman"/>
          <w:color w:val="000000"/>
          <w:spacing w:val="6"/>
          <w:sz w:val="28"/>
          <w:szCs w:val="28"/>
        </w:rPr>
        <w:t>协助</w:t>
      </w:r>
      <w:r>
        <w:rPr>
          <w:rFonts w:hint="eastAsia" w:ascii="仿宋" w:hAnsi="仿宋" w:eastAsia="仿宋"/>
          <w:color w:val="000000"/>
          <w:spacing w:val="6"/>
          <w:sz w:val="28"/>
          <w:szCs w:val="28"/>
        </w:rPr>
        <w:t>甲方</w:t>
      </w:r>
      <w:r>
        <w:rPr>
          <w:rFonts w:hint="eastAsia" w:ascii="仿宋" w:hAnsi="仿宋" w:eastAsia="仿宋" w:cs="Times New Roman"/>
          <w:color w:val="000000"/>
          <w:spacing w:val="6"/>
          <w:sz w:val="28"/>
          <w:szCs w:val="28"/>
        </w:rPr>
        <w:t>在</w:t>
      </w:r>
      <w:r>
        <w:rPr>
          <w:rFonts w:ascii="仿宋" w:hAnsi="仿宋" w:eastAsia="仿宋" w:cs="Times New Roman"/>
          <w:color w:val="000000"/>
          <w:spacing w:val="6"/>
          <w:sz w:val="28"/>
          <w:szCs w:val="28"/>
        </w:rPr>
        <w:t>202</w:t>
      </w:r>
      <w:r>
        <w:rPr>
          <w:rFonts w:hint="eastAsia" w:ascii="仿宋" w:hAnsi="仿宋" w:eastAsia="仿宋"/>
          <w:color w:val="000000"/>
          <w:spacing w:val="6"/>
          <w:sz w:val="28"/>
          <w:szCs w:val="28"/>
        </w:rPr>
        <w:t>4</w:t>
      </w:r>
      <w:r>
        <w:rPr>
          <w:rFonts w:hint="eastAsia" w:ascii="仿宋" w:hAnsi="仿宋" w:eastAsia="仿宋" w:cs="Times New Roman"/>
          <w:color w:val="000000"/>
          <w:spacing w:val="6"/>
          <w:sz w:val="28"/>
          <w:szCs w:val="28"/>
        </w:rPr>
        <w:t>年第</w:t>
      </w:r>
      <w:r>
        <w:rPr>
          <w:rFonts w:hint="eastAsia" w:ascii="仿宋" w:hAnsi="仿宋" w:eastAsia="仿宋"/>
          <w:color w:val="000000"/>
          <w:spacing w:val="6"/>
          <w:sz w:val="28"/>
          <w:szCs w:val="28"/>
        </w:rPr>
        <w:t>四季度召开涵盖全年的风险研判会议，并将全年材料形成综合报告</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协议期限、项目费用及支付方式</w:t>
      </w:r>
    </w:p>
    <w:p>
      <w:pPr>
        <w:numPr>
          <w:ilvl w:val="0"/>
          <w:numId w:val="1"/>
        </w:numPr>
        <w:spacing w:line="480" w:lineRule="exact"/>
        <w:rPr>
          <w:rFonts w:ascii="仿宋" w:hAnsi="仿宋" w:eastAsia="仿宋" w:cs="仿宋"/>
          <w:bCs/>
          <w:sz w:val="28"/>
          <w:szCs w:val="28"/>
          <w:u w:color="FFFFFF" w:themeColor="background1"/>
        </w:rPr>
      </w:pPr>
      <w:r>
        <w:rPr>
          <w:rFonts w:hint="eastAsia" w:ascii="仿宋" w:hAnsi="仿宋" w:eastAsia="仿宋" w:cs="仿宋"/>
          <w:color w:val="000000"/>
          <w:sz w:val="28"/>
          <w:szCs w:val="28"/>
          <w:u w:color="FFFFFF" w:themeColor="background1"/>
        </w:rPr>
        <w:t>乙方向甲方提供服务的合同期限为</w:t>
      </w:r>
      <w:r>
        <w:rPr>
          <w:rFonts w:hint="eastAsia" w:ascii="仿宋" w:hAnsi="仿宋" w:eastAsia="仿宋" w:cs="仿宋"/>
          <w:color w:val="000000"/>
          <w:sz w:val="28"/>
          <w:szCs w:val="28"/>
          <w:u w:val="single" w:color="FFFFFF" w:themeColor="background1"/>
        </w:rPr>
        <w:t>1年</w:t>
      </w:r>
      <w:r>
        <w:rPr>
          <w:rFonts w:hint="eastAsia" w:ascii="仿宋" w:hAnsi="仿宋" w:eastAsia="仿宋" w:cs="仿宋"/>
          <w:color w:val="000000"/>
          <w:sz w:val="28"/>
          <w:szCs w:val="28"/>
          <w:u w:color="FFFFFF" w:themeColor="background1"/>
        </w:rPr>
        <w:t>，</w:t>
      </w:r>
      <w:r>
        <w:rPr>
          <w:rFonts w:hint="eastAsia" w:ascii="仿宋" w:hAnsi="仿宋" w:eastAsia="仿宋" w:cs="仿宋"/>
          <w:color w:val="000000"/>
          <w:sz w:val="28"/>
          <w:szCs w:val="28"/>
          <w:u w:val="single" w:color="FFFFFF" w:themeColor="background1"/>
        </w:rPr>
        <w:t>自本合同签订生效之日起开始计算，即2024年   月   日至2025年    月    日。</w:t>
      </w:r>
    </w:p>
    <w:p>
      <w:pPr>
        <w:numPr>
          <w:ilvl w:val="0"/>
          <w:numId w:val="1"/>
        </w:numPr>
        <w:spacing w:line="480" w:lineRule="exact"/>
        <w:rPr>
          <w:rFonts w:ascii="仿宋" w:hAnsi="仿宋" w:eastAsia="仿宋" w:cs="仿宋"/>
          <w:bCs/>
          <w:sz w:val="28"/>
          <w:szCs w:val="28"/>
          <w:u w:color="FFFFFF" w:themeColor="background1"/>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w:t>
      </w:r>
      <w:r>
        <w:rPr>
          <w:rFonts w:hint="eastAsia" w:ascii="仿宋" w:hAnsi="仿宋" w:eastAsia="仿宋" w:cs="仿宋"/>
          <w:color w:val="000000"/>
          <w:sz w:val="28"/>
          <w:szCs w:val="28"/>
          <w:u w:color="FFFFFF" w:themeColor="background1"/>
        </w:rPr>
        <w:t>（即项目总费用或称服务费、含税价）为</w:t>
      </w:r>
      <w:r>
        <w:rPr>
          <w:rFonts w:hint="eastAsia" w:ascii="仿宋" w:hAnsi="仿宋" w:eastAsia="仿宋" w:cs="仿宋"/>
          <w:bCs/>
          <w:sz w:val="28"/>
          <w:szCs w:val="28"/>
          <w:u w:val="single" w:color="FFFFFF" w:themeColor="background1"/>
        </w:rPr>
        <w:t>人民币</w:t>
      </w:r>
      <w:r>
        <w:rPr>
          <w:rFonts w:hint="eastAsia" w:ascii="仿宋" w:hAnsi="仿宋" w:eastAsia="仿宋" w:cs="仿宋"/>
          <w:sz w:val="28"/>
          <w:szCs w:val="28"/>
          <w:u w:color="FFFFFF" w:themeColor="background1"/>
          <w:lang w:eastAsia="zh-CN"/>
        </w:rPr>
        <w:t>柒</w:t>
      </w:r>
      <w:r>
        <w:rPr>
          <w:rFonts w:hint="eastAsia" w:ascii="仿宋" w:hAnsi="仿宋" w:eastAsia="仿宋" w:cs="仿宋"/>
          <w:sz w:val="28"/>
          <w:szCs w:val="28"/>
          <w:u w:color="FFFFFF" w:themeColor="background1"/>
        </w:rPr>
        <w:t>万元整</w:t>
      </w:r>
      <w:r>
        <w:rPr>
          <w:rFonts w:hint="eastAsia" w:ascii="仿宋" w:hAnsi="仿宋" w:eastAsia="仿宋" w:cs="仿宋"/>
          <w:bCs/>
          <w:sz w:val="28"/>
          <w:szCs w:val="28"/>
          <w:u w:val="single" w:color="FFFFFF" w:themeColor="background1"/>
        </w:rPr>
        <w:t>（</w:t>
      </w:r>
      <w:r>
        <w:rPr>
          <w:rFonts w:hint="eastAsia" w:ascii="仿宋" w:hAnsi="仿宋" w:eastAsia="仿宋" w:cs="仿宋"/>
          <w:color w:val="000000"/>
          <w:spacing w:val="6"/>
          <w:sz w:val="28"/>
          <w:szCs w:val="28"/>
          <w:u w:color="FFFFFF" w:themeColor="background1"/>
        </w:rPr>
        <w:t>￥</w:t>
      </w:r>
      <w:r>
        <w:rPr>
          <w:rFonts w:hint="eastAsia" w:ascii="仿宋" w:hAnsi="仿宋" w:eastAsia="仿宋" w:cs="仿宋"/>
          <w:bCs/>
          <w:sz w:val="28"/>
          <w:szCs w:val="28"/>
          <w:u w:val="single" w:color="FFFFFF" w:themeColor="background1"/>
        </w:rPr>
        <w:t>70000.00元）</w:t>
      </w:r>
      <w:r>
        <w:rPr>
          <w:rFonts w:hint="eastAsia" w:ascii="仿宋" w:hAnsi="仿宋" w:eastAsia="仿宋" w:cs="仿宋"/>
          <w:bCs/>
          <w:color w:val="666666"/>
          <w:sz w:val="28"/>
          <w:szCs w:val="28"/>
          <w:u w:color="FFFFFF" w:themeColor="background1"/>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双方签署协议后，甲方分两期支付相应的款项给乙方：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第一期：甲、乙双方签订本协议后，甲方收到乙方开具的相对应金额发票之日起30个工作日内，向乙方支付项目总费用的50%，即人民币叁</w:t>
      </w:r>
      <w:r>
        <w:rPr>
          <w:rFonts w:hint="eastAsia" w:ascii="仿宋" w:hAnsi="仿宋" w:eastAsia="仿宋" w:cs="仿宋"/>
          <w:bCs/>
          <w:sz w:val="28"/>
          <w:szCs w:val="28"/>
        </w:rPr>
        <w:t>万伍仟元整（￥35000元）</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第二期：按项目完成进度，甲方再次凭收到乙方开具相对应金额发票之日起30个工作日内，向乙方支付项目总费用的40%，即人民币贰万捌仟元整（</w:t>
      </w:r>
      <w:r>
        <w:rPr>
          <w:rFonts w:hint="eastAsia" w:ascii="仿宋" w:hAnsi="仿宋" w:eastAsia="仿宋" w:cs="仿宋"/>
          <w:bCs/>
          <w:sz w:val="28"/>
          <w:szCs w:val="28"/>
        </w:rPr>
        <w:t>￥28000元</w:t>
      </w:r>
      <w:r>
        <w:rPr>
          <w:rFonts w:hint="eastAsia" w:ascii="仿宋" w:hAnsi="仿宋" w:eastAsia="仿宋" w:cs="仿宋"/>
          <w:sz w:val="28"/>
          <w:szCs w:val="28"/>
        </w:rPr>
        <w:t>）。</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3、第三期：待项目经甲方验收合格后，甲方再次凭收到乙方开具等额有效的发票之日起30个工作日内支付剩余项目费用给乙方，即人民币柒仟元整（¥7000元）。</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4、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pStyle w:val="2"/>
        <w:spacing w:line="480" w:lineRule="exact"/>
        <w:ind w:firstLine="560"/>
        <w:rPr>
          <w:rFonts w:ascii="仿宋" w:hAnsi="仿宋" w:eastAsia="仿宋" w:cs="仿宋"/>
          <w:sz w:val="28"/>
          <w:szCs w:val="28"/>
          <w:u w:color="FFFFFF" w:themeColor="background1"/>
        </w:rPr>
      </w:pPr>
      <w:r>
        <w:rPr>
          <w:rFonts w:hint="eastAsia" w:ascii="仿宋" w:hAnsi="仿宋" w:eastAsia="仿宋" w:cs="仿宋"/>
          <w:sz w:val="28"/>
          <w:szCs w:val="28"/>
        </w:rPr>
        <w:t>5、甲方支付以乙方无违约为前提，若乙方违约，甲方有权在应付款中做相应扣除。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江门市市场监督管理局药品生产、经营领域风险评估工作服务项目》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3"/>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（四）</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合同</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pStyle w:val="2"/>
        <w:ind w:firstLine="560"/>
        <w:rPr>
          <w:rFonts w:ascii="仿宋" w:hAnsi="仿宋" w:eastAsia="仿宋" w:cs="仿宋"/>
          <w:sz w:val="28"/>
          <w:szCs w:val="28"/>
        </w:rPr>
      </w:pPr>
      <w:r>
        <w:rPr>
          <w:rFonts w:hint="eastAsia" w:ascii="仿宋" w:hAnsi="仿宋" w:eastAsia="仿宋" w:cs="仿宋"/>
          <w:sz w:val="28"/>
          <w:szCs w:val="28"/>
        </w:rPr>
        <w:t>（四）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ind w:firstLine="560"/>
        <w:rPr>
          <w:rFonts w:ascii="仿宋" w:hAnsi="仿宋" w:eastAsia="仿宋" w:cs="仿宋"/>
          <w:sz w:val="28"/>
          <w:szCs w:val="28"/>
        </w:rPr>
      </w:pPr>
      <w:r>
        <w:rPr>
          <w:rFonts w:hint="eastAsia" w:ascii="仿宋" w:hAnsi="仿宋" w:eastAsia="仿宋" w:cs="仿宋"/>
          <w:sz w:val="28"/>
          <w:szCs w:val="28"/>
        </w:rPr>
        <w:t>（五）除第三人依法享有知识产权的除外，乙方实施本项目所形成成果的知识产权归甲方所有，未经甲方事先书面许可乙方不得为本合同之外的任何目的、以任何形式自行使用或擅自许可任何第三方使用。</w:t>
      </w:r>
    </w:p>
    <w:p>
      <w:pPr>
        <w:pStyle w:val="2"/>
        <w:ind w:firstLine="560"/>
        <w:rPr>
          <w:rFonts w:ascii="仿宋" w:hAnsi="仿宋" w:eastAsia="仿宋" w:cs="仿宋"/>
          <w:sz w:val="28"/>
          <w:szCs w:val="28"/>
        </w:rPr>
      </w:pPr>
      <w:r>
        <w:rPr>
          <w:rFonts w:hint="eastAsia" w:ascii="仿宋" w:hAnsi="仿宋" w:eastAsia="仿宋" w:cs="仿宋"/>
          <w:sz w:val="28"/>
          <w:szCs w:val="28"/>
        </w:rPr>
        <w:t>（六）在本合同服务期间，乙方应为本项目服务人员办理社会保险以及购买雇主责任险或者团体意外险，并对服务人员的劳资纠纷、伤亡所导致的损失和索赔自行承担责任，甲方不承担任何用工责任。由此引起甲方被追索责任的，一切赔偿及费用支出（包括但不限于律师费、调查费、差旅费、诉讼费、赔偿款等）等均由乙方承担。</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一）乙方必须采取措施对本项目实施过程中接触到的数据库、文字、图表、报告等相关材料保密，否则，由于乙方过错导致上述资料泄密的，乙方必须承担一切责任。项目完成后，乙方有责任对本项目的必要事项继续承担保密责任。</w:t>
      </w:r>
    </w:p>
    <w:p>
      <w:pPr>
        <w:tabs>
          <w:tab w:val="left" w:pos="900"/>
        </w:tabs>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二）未经甲方事先书面同意，乙方不得将由甲方为本合同提供的技术资料提供给与本合同无关的任何第三方，不得将其用于履行本合同之外的其它用途。即使向与履行本合同有关的人员提供，也应注意保密并限于履行合同所必需的范围。</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lang w:bidi="ar"/>
        </w:rPr>
        <w:t>（三）乙方违反本条约定的保密义务的，应按本合同总价的20%向甲方支付违约金，违约金不足以弥补甲方损失的，应承担损害赔偿责任</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双方确定，出现下列情形，致使本协议的履行成为不必要或不能的，可以解除本协议：</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甲、乙双方在本协议项下的地址和联系方式为文件有效的送达地址，文件一经到达即视为送达；一方如有变更，应在变更前3日内通知对方，否则，视为未变更。</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本协议一式肆份，自甲、乙双方签字盖章后生效，甲方执叁份、乙方执壹份，具有同等法律效力。</w:t>
      </w:r>
    </w:p>
    <w:p>
      <w:pPr>
        <w:pStyle w:val="9"/>
        <w:numPr>
          <w:ilvl w:val="0"/>
          <w:numId w:val="9"/>
        </w:numPr>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numPr>
          <w:ilvl w:val="0"/>
          <w:numId w:val="10"/>
        </w:numPr>
        <w:ind w:firstLine="608"/>
        <w:rPr>
          <w:rFonts w:ascii="仿宋" w:hAnsi="仿宋" w:eastAsia="仿宋" w:cs="仿宋"/>
          <w:szCs w:val="28"/>
        </w:rPr>
      </w:pPr>
      <w:r>
        <w:rPr>
          <w:rFonts w:hint="eastAsia" w:ascii="仿宋" w:hAnsi="仿宋" w:eastAsia="仿宋" w:cs="仿宋"/>
          <w:szCs w:val="28"/>
        </w:rPr>
        <w:t>江门市市场监督管理局药品生产、经营领域风险评估工作服务项目服务项目采购公告；</w:t>
      </w:r>
    </w:p>
    <w:p>
      <w:pPr>
        <w:pStyle w:val="9"/>
        <w:numPr>
          <w:ilvl w:val="0"/>
          <w:numId w:val="10"/>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9"/>
        <w:numPr>
          <w:ilvl w:val="0"/>
          <w:numId w:val="10"/>
        </w:numPr>
        <w:ind w:firstLine="608"/>
        <w:rPr>
          <w:rFonts w:ascii="仿宋" w:hAnsi="仿宋" w:eastAsia="仿宋" w:cs="仿宋"/>
          <w:szCs w:val="28"/>
        </w:rPr>
      </w:pPr>
      <w:r>
        <w:rPr>
          <w:rFonts w:hint="eastAsia" w:ascii="仿宋" w:hAnsi="仿宋" w:eastAsia="仿宋" w:cs="仿宋"/>
          <w:szCs w:val="28"/>
        </w:rPr>
        <w:t>202</w:t>
      </w:r>
      <w:r>
        <w:rPr>
          <w:rFonts w:ascii="仿宋" w:hAnsi="仿宋" w:eastAsia="仿宋" w:cs="仿宋"/>
          <w:szCs w:val="28"/>
          <w:lang w:val="en"/>
        </w:rPr>
        <w:t>3</w:t>
      </w:r>
      <w:r>
        <w:rPr>
          <w:rFonts w:hint="eastAsia" w:ascii="仿宋" w:hAnsi="仿宋" w:eastAsia="仿宋" w:cs="仿宋"/>
          <w:szCs w:val="28"/>
        </w:rPr>
        <w:t>年度</w:t>
      </w:r>
      <w:r>
        <w:rPr>
          <w:rFonts w:ascii="仿宋" w:hAnsi="仿宋" w:eastAsia="仿宋" w:cs="仿宋"/>
          <w:szCs w:val="28"/>
        </w:rPr>
        <w:t>江门市</w:t>
      </w:r>
      <w:r>
        <w:rPr>
          <w:rFonts w:hint="eastAsia" w:ascii="仿宋" w:hAnsi="仿宋" w:eastAsia="仿宋" w:cs="仿宋"/>
          <w:szCs w:val="28"/>
        </w:rPr>
        <w:t>药品生产、经营领域风险评估工作方案；</w:t>
      </w:r>
    </w:p>
    <w:p>
      <w:pPr>
        <w:pStyle w:val="9"/>
        <w:numPr>
          <w:ilvl w:val="0"/>
          <w:numId w:val="10"/>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0ADB7F8"/>
    <w:multiLevelType w:val="singleLevel"/>
    <w:tmpl w:val="60ADB7F8"/>
    <w:lvl w:ilvl="0" w:tentative="0">
      <w:start w:val="1"/>
      <w:numFmt w:val="decimal"/>
      <w:suff w:val="nothing"/>
      <w:lvlText w:val="%1、"/>
      <w:lvlJc w:val="left"/>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9"/>
  </w:num>
  <w:num w:numId="5">
    <w:abstractNumId w:val="1"/>
  </w:num>
  <w:num w:numId="6">
    <w:abstractNumId w:val="5"/>
  </w:num>
  <w:num w:numId="7">
    <w:abstractNumId w:val="4"/>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966675"/>
    <w:rsid w:val="000F477F"/>
    <w:rsid w:val="00201EA2"/>
    <w:rsid w:val="00293E7F"/>
    <w:rsid w:val="00307C66"/>
    <w:rsid w:val="00966675"/>
    <w:rsid w:val="00AE5953"/>
    <w:rsid w:val="00B97E8A"/>
    <w:rsid w:val="00BD7293"/>
    <w:rsid w:val="00CA38FA"/>
    <w:rsid w:val="00E97498"/>
    <w:rsid w:val="00EA2232"/>
    <w:rsid w:val="00EC31D7"/>
    <w:rsid w:val="09D77ACF"/>
    <w:rsid w:val="09DE0A66"/>
    <w:rsid w:val="0BEA35C3"/>
    <w:rsid w:val="0DDF3CA5"/>
    <w:rsid w:val="0FB72321"/>
    <w:rsid w:val="10FC4243"/>
    <w:rsid w:val="171724B5"/>
    <w:rsid w:val="1A19383D"/>
    <w:rsid w:val="20075F93"/>
    <w:rsid w:val="207271F3"/>
    <w:rsid w:val="24EE444C"/>
    <w:rsid w:val="28F2788A"/>
    <w:rsid w:val="293A0576"/>
    <w:rsid w:val="2BEEC784"/>
    <w:rsid w:val="2D016C87"/>
    <w:rsid w:val="37BF01CC"/>
    <w:rsid w:val="391A5AE0"/>
    <w:rsid w:val="3B19643C"/>
    <w:rsid w:val="3FA76621"/>
    <w:rsid w:val="404A6C17"/>
    <w:rsid w:val="43F43818"/>
    <w:rsid w:val="47C7B3FB"/>
    <w:rsid w:val="4B562BFB"/>
    <w:rsid w:val="4D261BEA"/>
    <w:rsid w:val="4DD70C4E"/>
    <w:rsid w:val="5789094D"/>
    <w:rsid w:val="5B375939"/>
    <w:rsid w:val="5BB2671C"/>
    <w:rsid w:val="690D3BC4"/>
    <w:rsid w:val="693B3F28"/>
    <w:rsid w:val="6B7E7578"/>
    <w:rsid w:val="6C7B1287"/>
    <w:rsid w:val="6F5F4F93"/>
    <w:rsid w:val="6FFBA456"/>
    <w:rsid w:val="72AF67A9"/>
    <w:rsid w:val="76A81E4D"/>
    <w:rsid w:val="79276609"/>
    <w:rsid w:val="79CCDF0F"/>
    <w:rsid w:val="7EFEE140"/>
    <w:rsid w:val="7FFE7BAF"/>
    <w:rsid w:val="DF5B1860"/>
    <w:rsid w:val="E5BBA5EE"/>
    <w:rsid w:val="EBE83111"/>
    <w:rsid w:val="EFEDEFF2"/>
    <w:rsid w:val="F3DD3D2B"/>
    <w:rsid w:val="FCFCDAF1"/>
    <w:rsid w:val="FE7E87CE"/>
    <w:rsid w:val="FF7D2FB9"/>
    <w:rsid w:val="FFB766D8"/>
    <w:rsid w:val="FFBD5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styleId="12">
    <w:name w:val="annotation reference"/>
    <w:basedOn w:val="11"/>
    <w:qFormat/>
    <w:uiPriority w:val="0"/>
    <w:rPr>
      <w:sz w:val="21"/>
      <w:szCs w:val="21"/>
    </w:rPr>
  </w:style>
  <w:style w:type="character" w:customStyle="1" w:styleId="13">
    <w:name w:val="批注框文本 Char"/>
    <w:basedOn w:val="11"/>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4487</Words>
  <Characters>245</Characters>
  <Lines>2</Lines>
  <Paragraphs>9</Paragraphs>
  <TotalTime>0</TotalTime>
  <ScaleCrop>false</ScaleCrop>
  <LinksUpToDate>false</LinksUpToDate>
  <CharactersWithSpaces>4723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2021-05-29T10:58:00Z</dcterms:created>
  <dc:creator>Administrator</dc:creator>
  <cp:lastModifiedBy>采联</cp:lastModifiedBy>
  <cp:lastPrinted>2024-04-25T22:43:00Z</cp:lastPrinted>
  <dcterms:modified xsi:type="dcterms:W3CDTF">2024-04-30T11:33:09Z</dcterms:modified>
  <dc:title>2020年江门市工业产品生产许可证证后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F89E2487F82949029D8AB9F341EA8070</vt:lpwstr>
  </property>
</Properties>
</file>