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 w:cs="Times New Roman"/>
          <w:color w:val="000000"/>
          <w:spacing w:val="0"/>
          <w:sz w:val="44"/>
          <w:lang w:val="zh-Han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val="zh-Hans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val="zh-Hans"/>
        </w:rPr>
        <w:t>年江门市高价值专利培育布局大赛奖金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val="zh-Hans" w:eastAsia="zh-CN"/>
        </w:rPr>
        <w:t>分配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lang w:val="zh-Hans"/>
        </w:rPr>
        <w:t>计划汇总表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                    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单位：万元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58"/>
        <w:gridCol w:w="1403"/>
        <w:gridCol w:w="1403"/>
        <w:gridCol w:w="1320"/>
        <w:gridCol w:w="1485"/>
        <w:gridCol w:w="1605"/>
        <w:gridCol w:w="1380"/>
        <w:gridCol w:w="14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2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地区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560" w:firstLineChars="200"/>
              <w:jc w:val="left"/>
              <w:textAlignment w:val="top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类别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 w:bidi="ar"/>
              </w:rPr>
              <w:t>市直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蓬江区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江海区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新会区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 w:bidi="ar"/>
              </w:rPr>
              <w:t>开平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市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 w:bidi="ar"/>
              </w:rPr>
              <w:t>鶴山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市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2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市本级财政承担金额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10.26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2.64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0.8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2.8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2.8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27.3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2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县（区）级财政承担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金额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7.74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5.36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3.2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11.2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11.2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38.7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  <w:jc w:val="center"/>
        </w:trPr>
        <w:tc>
          <w:tcPr>
            <w:tcW w:w="2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66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NWZiMjU1YmY2NzFiMmViZWIzMmY4ZGNhZjdhYTkifQ=="/>
  </w:docVars>
  <w:rsids>
    <w:rsidRoot w:val="4A1947CF"/>
    <w:rsid w:val="255B6B18"/>
    <w:rsid w:val="4A1947CF"/>
    <w:rsid w:val="4DBEC5BF"/>
    <w:rsid w:val="5DFE958C"/>
    <w:rsid w:val="7EDEFF9C"/>
    <w:rsid w:val="7EF7335D"/>
    <w:rsid w:val="7EFC2FCB"/>
    <w:rsid w:val="7F7F399B"/>
    <w:rsid w:val="7FC44EC6"/>
    <w:rsid w:val="8BF64490"/>
    <w:rsid w:val="DAFF45CC"/>
    <w:rsid w:val="FF71C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2018-07-13T15:11:00Z</dcterms:created>
  <dc:creator>d</dc:creator>
  <cp:lastModifiedBy>uos</cp:lastModifiedBy>
  <dcterms:modified xsi:type="dcterms:W3CDTF">2024-04-12T11:16:37Z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EF57F31AC79D47238164CEECC20CB287_12</vt:lpwstr>
  </property>
</Properties>
</file>