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spacing w:line="600" w:lineRule="exact"/>
        <w:jc w:val="center"/>
        <w:rPr>
          <w:b/>
          <w:bCs/>
          <w:color w:val="auto"/>
          <w:sz w:val="44"/>
          <w:szCs w:val="44"/>
        </w:rPr>
      </w:pPr>
      <w:bookmarkStart w:id="0" w:name="_GoBack"/>
      <w:bookmarkEnd w:id="0"/>
      <w:r>
        <w:rPr>
          <w:rFonts w:ascii="宋体" w:hAnsi="宋体" w:cs="宋体" w:hint="eastAsia"/>
          <w:b/>
          <w:bCs/>
          <w:color w:val="auto"/>
          <w:sz w:val="44"/>
          <w:szCs w:val="44"/>
        </w:rPr>
        <w:t>一村（社区）一法律顾问工作经费市级</w:t>
      </w:r>
      <w:r>
        <w:rPr>
          <w:rFonts w:hint="eastAsia"/>
          <w:b/>
          <w:bCs/>
          <w:color w:val="auto"/>
          <w:sz w:val="44"/>
          <w:szCs w:val="44"/>
        </w:rPr>
        <w:t>专项资金（党建引领基层治理建设资金）</w:t>
      </w:r>
    </w:p>
    <w:p>
      <w:pPr>
        <w:spacing w:line="600" w:lineRule="exact"/>
        <w:jc w:val="center"/>
        <w:rPr>
          <w:b/>
          <w:bCs/>
          <w:color w:val="auto"/>
          <w:sz w:val="44"/>
          <w:szCs w:val="44"/>
        </w:rPr>
      </w:pPr>
      <w:r>
        <w:rPr>
          <w:rFonts w:hint="eastAsia"/>
          <w:b/>
          <w:bCs/>
          <w:color w:val="auto"/>
          <w:sz w:val="44"/>
          <w:szCs w:val="44"/>
        </w:rPr>
        <w:t>管理办法</w:t>
      </w:r>
    </w:p>
    <w:p>
      <w:pPr>
        <w:jc w:val="center"/>
        <w:rPr>
          <w:b/>
          <w:bCs/>
          <w:color w:val="auto"/>
          <w:sz w:val="11"/>
          <w:szCs w:val="11"/>
        </w:rPr>
      </w:pPr>
    </w:p>
    <w:p>
      <w:pPr>
        <w:jc w:val="center"/>
        <w:rPr>
          <w:b/>
          <w:bCs/>
          <w:color w:val="auto"/>
          <w:sz w:val="11"/>
          <w:szCs w:val="11"/>
        </w:rPr>
      </w:pPr>
    </w:p>
    <w:p>
      <w:pPr>
        <w:jc w:val="center"/>
        <w:rPr>
          <w:b/>
          <w:bCs/>
          <w:color w:val="auto"/>
          <w:sz w:val="32"/>
          <w:szCs w:val="32"/>
        </w:rPr>
      </w:pPr>
      <w:r>
        <w:rPr>
          <w:rFonts w:hint="eastAsia"/>
          <w:b/>
          <w:bCs/>
          <w:color w:val="auto"/>
          <w:sz w:val="32"/>
          <w:szCs w:val="32"/>
        </w:rPr>
        <w:t>第一章 总  则</w:t>
      </w:r>
    </w:p>
    <w:p>
      <w:pPr>
        <w:spacing w:line="600" w:lineRule="exact"/>
        <w:ind w:firstLine="646"/>
        <w:rPr>
          <w:rFonts w:ascii="仿宋_GB2312" w:eastAsia="仿宋_GB2312"/>
          <w:color w:val="auto"/>
          <w:sz w:val="32"/>
          <w:szCs w:val="32"/>
        </w:rPr>
      </w:pPr>
      <w:r>
        <w:rPr>
          <w:rFonts w:ascii="黑体" w:eastAsia="黑体" w:hAnsi="黑体" w:cs="黑体" w:hint="eastAsia"/>
          <w:color w:val="auto"/>
          <w:sz w:val="32"/>
          <w:szCs w:val="32"/>
        </w:rPr>
        <w:t xml:space="preserve">第一条 </w:t>
      </w:r>
      <w:r>
        <w:rPr>
          <w:rFonts w:ascii="仿宋_GB2312" w:eastAsia="仿宋_GB2312" w:hint="eastAsia"/>
          <w:color w:val="auto"/>
          <w:sz w:val="32"/>
          <w:szCs w:val="32"/>
        </w:rPr>
        <w:t>为进一步规范和加强市级</w:t>
      </w:r>
      <w:r>
        <w:rPr>
          <w:rFonts w:ascii="仿宋_GB2312" w:eastAsia="仿宋_GB2312" w:hint="eastAsia"/>
          <w:bCs/>
          <w:color w:val="auto"/>
          <w:sz w:val="32"/>
          <w:szCs w:val="32"/>
        </w:rPr>
        <w:t>一村（社区）一法律顾问工作经费市级专项资金（党建引领基层治理建设资金）</w:t>
      </w:r>
      <w:r>
        <w:rPr>
          <w:rFonts w:ascii="仿宋_GB2312" w:eastAsia="仿宋_GB2312" w:hint="eastAsia"/>
          <w:color w:val="auto"/>
          <w:sz w:val="32"/>
          <w:szCs w:val="32"/>
        </w:rPr>
        <w:t>管理和使用，提高资金使用效益，根据《中华人民共和国预算法》及其实施条例等法律法规和</w:t>
      </w:r>
      <w:r>
        <w:rPr>
          <w:rFonts w:ascii="仿宋_GB2312" w:eastAsia="仿宋_GB2312" w:hAnsi="Times New Roman" w:hint="eastAsia"/>
          <w:color w:val="auto"/>
          <w:sz w:val="32"/>
        </w:rPr>
        <w:t>《江门市市级财政专项资金管理办法（修订）》</w:t>
      </w:r>
      <w:r>
        <w:rPr>
          <w:rFonts w:ascii="仿宋_GB2312" w:eastAsia="仿宋_GB2312" w:hint="eastAsia"/>
          <w:color w:val="auto"/>
          <w:sz w:val="32"/>
          <w:szCs w:val="32"/>
        </w:rPr>
        <w:t>(</w:t>
      </w:r>
      <w:r>
        <w:rPr>
          <w:rFonts w:ascii="仿宋_GB2312" w:eastAsia="仿宋_GB2312" w:hAnsi="宋体" w:hint="eastAsia"/>
          <w:color w:val="auto"/>
          <w:sz w:val="32"/>
          <w:szCs w:val="32"/>
        </w:rPr>
        <w:t>江府〔2023〕24号</w:t>
      </w:r>
      <w:r>
        <w:rPr>
          <w:rFonts w:ascii="仿宋_GB2312" w:eastAsia="仿宋_GB2312" w:hint="eastAsia"/>
          <w:color w:val="auto"/>
          <w:sz w:val="32"/>
          <w:szCs w:val="32"/>
        </w:rPr>
        <w:t>)、《中共广东省委办公厅 广东省人民政府办公厅关于印发</w:t>
      </w:r>
      <w:r>
        <w:rPr>
          <w:rFonts w:ascii="仿宋_GB2312" w:eastAsia="仿宋_GB2312"/>
          <w:color w:val="auto"/>
          <w:sz w:val="32"/>
          <w:szCs w:val="32"/>
        </w:rPr>
        <w:t>&lt;</w:t>
      </w:r>
      <w:r>
        <w:rPr>
          <w:rFonts w:ascii="仿宋_GB2312" w:eastAsia="仿宋_GB2312" w:hint="eastAsia"/>
          <w:color w:val="auto"/>
          <w:sz w:val="32"/>
          <w:szCs w:val="32"/>
        </w:rPr>
        <w:t>关于开展一村（社区）一法律顾问工作的意见</w:t>
      </w:r>
      <w:r>
        <w:rPr>
          <w:rFonts w:ascii="仿宋_GB2312" w:eastAsia="仿宋_GB2312"/>
          <w:color w:val="auto"/>
          <w:sz w:val="32"/>
          <w:szCs w:val="32"/>
        </w:rPr>
        <w:t>&gt;</w:t>
      </w:r>
      <w:r>
        <w:rPr>
          <w:rFonts w:ascii="仿宋_GB2312" w:eastAsia="仿宋_GB2312" w:hint="eastAsia"/>
          <w:color w:val="auto"/>
          <w:sz w:val="32"/>
          <w:szCs w:val="32"/>
        </w:rPr>
        <w:t>的通知》(粤委办发电</w:t>
      </w:r>
      <w:r>
        <w:rPr>
          <w:rFonts w:ascii="仿宋_GB2312" w:eastAsia="仿宋_GB2312" w:hAnsi="宋体" w:hint="eastAsia"/>
          <w:color w:val="auto"/>
          <w:sz w:val="32"/>
          <w:szCs w:val="32"/>
        </w:rPr>
        <w:t>〔</w:t>
      </w:r>
      <w:r>
        <w:rPr>
          <w:rFonts w:ascii="仿宋_GB2312" w:eastAsia="仿宋_GB2312" w:hAnsi="宋体"/>
          <w:color w:val="auto"/>
          <w:sz w:val="32"/>
          <w:szCs w:val="32"/>
        </w:rPr>
        <w:t>20</w:t>
      </w:r>
      <w:r>
        <w:rPr>
          <w:rFonts w:ascii="仿宋_GB2312" w:eastAsia="仿宋_GB2312" w:hAnsi="宋体" w:hint="eastAsia"/>
          <w:color w:val="auto"/>
          <w:sz w:val="32"/>
          <w:szCs w:val="32"/>
        </w:rPr>
        <w:t>14〕42号</w:t>
      </w:r>
      <w:r>
        <w:rPr>
          <w:rFonts w:ascii="仿宋_GB2312" w:eastAsia="仿宋_GB2312" w:hint="eastAsia"/>
          <w:color w:val="auto"/>
          <w:sz w:val="32"/>
          <w:szCs w:val="32"/>
        </w:rPr>
        <w:t>)等规定，结合全市村（社区）法律顾问工作实际，制定本办法。</w:t>
      </w:r>
    </w:p>
    <w:p>
      <w:pPr>
        <w:spacing w:line="600" w:lineRule="exact"/>
        <w:ind w:firstLine="646"/>
        <w:rPr>
          <w:rFonts w:ascii="仿宋_GB2312" w:eastAsia="仿宋_GB2312"/>
          <w:color w:val="auto"/>
          <w:sz w:val="32"/>
          <w:szCs w:val="32"/>
        </w:rPr>
      </w:pPr>
      <w:r>
        <w:rPr>
          <w:rFonts w:ascii="黑体" w:eastAsia="黑体" w:hAnsi="黑体" w:cs="黑体" w:hint="eastAsia"/>
          <w:color w:val="auto"/>
          <w:sz w:val="32"/>
          <w:szCs w:val="32"/>
        </w:rPr>
        <w:t xml:space="preserve">第二条 </w:t>
      </w:r>
      <w:r>
        <w:rPr>
          <w:rFonts w:ascii="仿宋_GB2312" w:eastAsia="仿宋_GB2312" w:hint="eastAsia"/>
          <w:color w:val="auto"/>
          <w:sz w:val="32"/>
          <w:szCs w:val="32"/>
        </w:rPr>
        <w:t>本办法所指专项资金是市财政通过一般公共预算安排，用于支持村（社区）开展法律顾问公益性服务工作，由市司法局负责管理的财政补助资金。专项资金年度预算根据江门市基层基本公共法律服务领域规划及全市村、社区实际数量情况确定，重点保障落实省委关于每个村（社区）配备1名法律顾问的工作部署。</w:t>
      </w:r>
    </w:p>
    <w:p>
      <w:pPr>
        <w:spacing w:line="600" w:lineRule="exact"/>
        <w:ind w:firstLine="646"/>
        <w:rPr>
          <w:rFonts w:ascii="仿宋_GB2312" w:eastAsia="仿宋_GB2312"/>
          <w:color w:val="auto"/>
          <w:sz w:val="32"/>
          <w:szCs w:val="32"/>
        </w:rPr>
      </w:pPr>
      <w:r>
        <w:rPr>
          <w:rFonts w:ascii="黑体" w:eastAsia="黑体" w:hAnsi="黑体" w:cs="黑体" w:hint="eastAsia"/>
          <w:color w:val="auto"/>
          <w:sz w:val="32"/>
          <w:szCs w:val="32"/>
        </w:rPr>
        <w:t xml:space="preserve">第三条 </w:t>
      </w:r>
      <w:r>
        <w:rPr>
          <w:rFonts w:ascii="仿宋_GB2312" w:eastAsia="仿宋_GB2312" w:hint="eastAsia"/>
          <w:color w:val="auto"/>
          <w:sz w:val="32"/>
          <w:szCs w:val="32"/>
        </w:rPr>
        <w:t>专项资金纳入市级财政专项资金目录清单，管理和使用坚持“突出事权、保障重点、做实项目、科学分配、激励引导、规范管理”的原则，以提前储备和做实项目为重点编细编实年度预算，全面实施预算绩效管理，切实提高专项资金使用效益。</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（一）突出事权。根据财政事权和支出责任划分改革方案，结合我市财政体制收入划分和当前民生类支出市县分担机制，一村（社区）一法律顾问工作为共同财政事权，采取各级共同筹资，杜绝市级大包大揽。</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（二）保障重点。着力保障中央、省和市委、市政府部署的重点任务，围绕法治广东建设集中发力。</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（三）做实项目。严格按照“先定事项再议经费，先有项目后有预算，先有预算再有执行，没有预算不得支出”要求管理，推动提高年初预算到位率、项目成熟度。</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（四）科学分配。根据财政事权划分和项目审批权限等要求，科学合理规范项目申报原则及要求、资金分配要素等。</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（五）激励引导。强化激励引导，增强基层公共法律服务主体的责任感，调动各级积极性，保障中央、省和市委、市政府规划目标任务完成。</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（六）规范管理。严格落实中央、省和市委、市政府关于加强绩效评价和加强财会监督工作等要求，坚持问题导向，加强监督管理。</w:t>
      </w:r>
    </w:p>
    <w:p>
      <w:pPr>
        <w:rPr>
          <w:color w:val="auto"/>
        </w:rPr>
      </w:pPr>
    </w:p>
    <w:p>
      <w:pPr>
        <w:rPr>
          <w:color w:val="auto"/>
        </w:rPr>
      </w:pPr>
    </w:p>
    <w:p>
      <w:pPr>
        <w:jc w:val="center"/>
        <w:rPr>
          <w:b/>
          <w:bCs/>
          <w:color w:val="auto"/>
          <w:sz w:val="30"/>
          <w:szCs w:val="30"/>
        </w:rPr>
      </w:pPr>
      <w:r>
        <w:rPr>
          <w:rFonts w:hint="eastAsia"/>
          <w:b/>
          <w:bCs/>
          <w:color w:val="auto"/>
          <w:sz w:val="32"/>
          <w:szCs w:val="32"/>
        </w:rPr>
        <w:t>第二章 支出范围和分配方式</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第四条</w:t>
      </w:r>
      <w:r>
        <w:rPr>
          <w:rFonts w:ascii="仿宋_GB2312" w:eastAsia="仿宋_GB2312" w:hint="eastAsia"/>
          <w:color w:val="auto"/>
          <w:sz w:val="32"/>
          <w:szCs w:val="32"/>
        </w:rPr>
        <w:t xml:space="preserve"> 专项资金专项用于补助村（社区）聘请律师开展一村（社区）一法律顾问公益性服务工作。不得用于补充司法行政部门及所属机构的人员经费、日常运转公用经费，以及司法行政部门开展律师业务培训、召开工作会议、交通费等支出。</w:t>
      </w:r>
    </w:p>
    <w:p>
      <w:pPr>
        <w:spacing w:line="580" w:lineRule="exact"/>
        <w:ind w:firstLine="645"/>
        <w:rPr>
          <w:rFonts w:ascii="仿宋_GB2312" w:eastAsia="仿宋_GB2312"/>
          <w:color w:val="auto"/>
          <w:sz w:val="32"/>
          <w:szCs w:val="32"/>
        </w:rPr>
      </w:pPr>
      <w:r>
        <w:rPr>
          <w:rFonts w:ascii="仿宋_GB2312" w:eastAsia="仿宋_GB2312" w:hint="eastAsia"/>
          <w:bCs/>
          <w:color w:val="auto"/>
          <w:sz w:val="32"/>
          <w:szCs w:val="32"/>
        </w:rPr>
        <w:t>专项资金实行</w:t>
      </w:r>
      <w:r>
        <w:rPr>
          <w:rFonts w:ascii="仿宋_GB2312" w:eastAsia="仿宋_GB2312" w:hAnsi="仿宋_GB2312" w:cs="仿宋_GB2312" w:hint="eastAsia"/>
          <w:color w:val="auto"/>
          <w:sz w:val="32"/>
          <w:szCs w:val="32"/>
        </w:rPr>
        <w:t>因素法分配</w:t>
      </w:r>
      <w:r>
        <w:rPr>
          <w:rFonts w:ascii="仿宋_GB2312" w:eastAsia="仿宋_GB2312" w:hAnsi="仿宋_GB2312" w:cs="仿宋_GB2312" w:hint="eastAsia"/>
          <w:iCs/>
          <w:color w:val="auto"/>
          <w:sz w:val="32"/>
          <w:szCs w:val="32"/>
        </w:rPr>
        <w:t>。</w:t>
      </w:r>
      <w:r>
        <w:rPr>
          <w:rFonts w:ascii="仿宋_GB2312" w:eastAsia="仿宋_GB2312" w:hint="eastAsia"/>
          <w:color w:val="auto"/>
          <w:sz w:val="32"/>
          <w:szCs w:val="32"/>
          <w:lang w:eastAsia="zh-CN"/>
        </w:rPr>
        <w:t>按照省定标准</w:t>
      </w:r>
      <w:r>
        <w:rPr>
          <w:rFonts w:ascii="仿宋_GB2312" w:eastAsia="仿宋_GB2312" w:hint="eastAsia"/>
          <w:color w:val="auto"/>
          <w:sz w:val="32"/>
          <w:szCs w:val="32"/>
        </w:rPr>
        <w:t>，</w:t>
      </w:r>
      <w:r>
        <w:rPr>
          <w:rFonts w:ascii="仿宋_GB2312" w:eastAsia="仿宋_GB2312" w:hint="eastAsia"/>
          <w:color w:val="auto"/>
          <w:sz w:val="32"/>
          <w:szCs w:val="32"/>
          <w:lang w:eastAsia="zh-CN"/>
        </w:rPr>
        <w:t>在剔除省级补助后，</w:t>
      </w:r>
      <w:r>
        <w:rPr>
          <w:rFonts w:ascii="仿宋_GB2312" w:eastAsia="仿宋_GB2312" w:hint="eastAsia"/>
          <w:color w:val="auto"/>
          <w:sz w:val="32"/>
          <w:szCs w:val="32"/>
        </w:rPr>
        <w:t>市</w:t>
      </w:r>
      <w:r>
        <w:rPr>
          <w:rFonts w:ascii="仿宋_GB2312" w:eastAsia="仿宋_GB2312" w:hint="eastAsia"/>
          <w:color w:val="auto"/>
          <w:sz w:val="32"/>
          <w:szCs w:val="32"/>
          <w:lang w:eastAsia="zh-CN"/>
        </w:rPr>
        <w:t>、县按</w:t>
      </w:r>
      <w:r>
        <w:rPr>
          <w:rFonts w:ascii="仿宋_GB2312" w:eastAsia="仿宋_GB2312" w:hint="eastAsia"/>
          <w:color w:val="auto"/>
          <w:sz w:val="32"/>
          <w:szCs w:val="32"/>
          <w:lang w:val="en-US" w:eastAsia="zh-CN"/>
        </w:rPr>
        <w:t>2</w:t>
      </w:r>
      <w:r>
        <w:rPr>
          <w:rFonts w:ascii="仿宋_GB2312" w:eastAsia="仿宋_GB2312" w:hint="default"/>
          <w:color w:val="auto"/>
          <w:sz w:val="32"/>
          <w:szCs w:val="32"/>
          <w:lang w:val="en-US" w:eastAsia="zh-CN"/>
        </w:rPr>
        <w:t>:</w:t>
      </w:r>
      <w:r>
        <w:rPr>
          <w:rFonts w:ascii="仿宋_GB2312" w:eastAsia="仿宋_GB2312" w:hint="eastAsia"/>
          <w:color w:val="auto"/>
          <w:sz w:val="32"/>
          <w:szCs w:val="32"/>
          <w:lang w:val="en-US" w:eastAsia="zh-CN"/>
        </w:rPr>
        <w:t>8比例共担</w:t>
      </w:r>
      <w:r>
        <w:rPr>
          <w:rFonts w:ascii="仿宋_GB2312" w:eastAsia="仿宋_GB2312" w:hint="eastAsia"/>
          <w:color w:val="auto"/>
          <w:sz w:val="32"/>
          <w:szCs w:val="32"/>
        </w:rPr>
        <w:t>。</w:t>
      </w:r>
    </w:p>
    <w:p>
      <w:pPr>
        <w:spacing w:line="580" w:lineRule="exact"/>
        <w:ind w:firstLine="645"/>
        <w:rPr>
          <w:rFonts w:ascii="仿宋_GB2312" w:eastAsia="仿宋_GB2312"/>
          <w:color w:val="auto"/>
          <w:sz w:val="32"/>
          <w:szCs w:val="32"/>
        </w:rPr>
      </w:pPr>
    </w:p>
    <w:p>
      <w:pPr>
        <w:jc w:val="center"/>
        <w:rPr>
          <w:rFonts w:hint="eastAsia"/>
          <w:b/>
          <w:bCs/>
          <w:color w:val="auto"/>
          <w:sz w:val="32"/>
          <w:szCs w:val="32"/>
        </w:rPr>
      </w:pPr>
      <w:r>
        <w:rPr>
          <w:rFonts w:hint="eastAsia"/>
          <w:b/>
          <w:bCs/>
          <w:color w:val="auto"/>
          <w:sz w:val="32"/>
          <w:szCs w:val="32"/>
        </w:rPr>
        <w:t>第三章 专项资金项目储备</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第五条</w:t>
      </w:r>
      <w:r>
        <w:rPr>
          <w:rFonts w:ascii="仿宋_GB2312" w:eastAsia="仿宋_GB2312" w:hint="eastAsia"/>
          <w:color w:val="auto"/>
          <w:sz w:val="32"/>
          <w:szCs w:val="32"/>
        </w:rPr>
        <w:t xml:space="preserve"> 市司法局围绕基层基本公共法律服务领域发展规划和年度目标任务，会同市财政局提前研究编制专项资金目录清单，用以指导项目前期谋划储备。</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第六条</w:t>
      </w:r>
      <w:r>
        <w:rPr>
          <w:rFonts w:ascii="仿宋_GB2312" w:eastAsia="仿宋_GB2312" w:hint="eastAsia"/>
          <w:color w:val="auto"/>
          <w:sz w:val="32"/>
          <w:szCs w:val="32"/>
        </w:rPr>
        <w:t xml:space="preserve"> 根据事权划分及工作实际，专项资金审批项目权限下放县（市、区）。由市司法局指导各县（市、区）司法部门参照市级做法开展项目储备，明确项目储备管理要求，督促县（市、区）在确定的资金使用方向和支持范围内提前谋划项目储备，加强对县（市、区）储备项目审核，确保资金支出使用进度。</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w:t>
      </w:r>
      <w:r>
        <w:rPr>
          <w:rFonts w:ascii="黑体" w:eastAsia="黑体" w:hAnsi="黑体" w:cs="黑体" w:hint="eastAsia"/>
          <w:color w:val="auto"/>
          <w:sz w:val="32"/>
          <w:szCs w:val="32"/>
          <w:lang w:eastAsia="zh-CN"/>
        </w:rPr>
        <w:t>七</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专项资金原则上提前一个预算年度按照项目实施必要性、迫切性、建设条件落实情况等组织项目论证研究和入库储备，未入库项目一律不得安排预算。</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严格执行项目库管理制度，入库项目应按程序审批，具备安排预算的条件。对于不能在一个年度完成、需要跨年实施的项目，原则上应根据年度资金使用计划滚动安排，并明确分年度资金安排计划和阶段性绩效目标；未具备当年支出条件的，不得纳入当年预算安排。</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w:t>
      </w:r>
      <w:r>
        <w:rPr>
          <w:rFonts w:ascii="黑体" w:eastAsia="黑体" w:hAnsi="黑体" w:cs="黑体" w:hint="eastAsia"/>
          <w:color w:val="auto"/>
          <w:sz w:val="32"/>
          <w:szCs w:val="32"/>
          <w:lang w:eastAsia="zh-CN"/>
        </w:rPr>
        <w:t>八</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项目储备按照《关于印发</w:t>
      </w:r>
      <w:r>
        <w:rPr>
          <w:rFonts w:ascii="仿宋_GB2312" w:eastAsia="仿宋_GB2312"/>
          <w:color w:val="auto"/>
          <w:sz w:val="32"/>
          <w:szCs w:val="32"/>
        </w:rPr>
        <w:t>&lt;</w:t>
      </w:r>
      <w:r>
        <w:rPr>
          <w:rFonts w:ascii="仿宋_GB2312" w:eastAsia="仿宋_GB2312" w:hint="eastAsia"/>
          <w:color w:val="auto"/>
          <w:sz w:val="32"/>
          <w:szCs w:val="32"/>
        </w:rPr>
        <w:t>江门市市级财政资金事前绩效评估管理办法（试行）的通知</w:t>
      </w:r>
      <w:r>
        <w:rPr>
          <w:rFonts w:ascii="仿宋_GB2312" w:eastAsia="仿宋_GB2312"/>
          <w:color w:val="auto"/>
          <w:sz w:val="32"/>
          <w:szCs w:val="32"/>
        </w:rPr>
        <w:t>&gt;</w:t>
      </w:r>
      <w:r>
        <w:rPr>
          <w:rFonts w:ascii="仿宋_GB2312" w:eastAsia="仿宋_GB2312" w:hint="eastAsia"/>
          <w:color w:val="auto"/>
          <w:sz w:val="32"/>
          <w:szCs w:val="32"/>
        </w:rPr>
        <w:t>》（江财预〔2020〕42号）等文件开展绩效评估，结合每年市级财政重点绩效评价报告，强化绩效评价结果应用。</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w:t>
      </w:r>
      <w:r>
        <w:rPr>
          <w:rFonts w:ascii="黑体" w:eastAsia="黑体" w:hAnsi="黑体" w:cs="黑体" w:hint="eastAsia"/>
          <w:color w:val="auto"/>
          <w:sz w:val="32"/>
          <w:szCs w:val="32"/>
          <w:lang w:eastAsia="zh-CN"/>
        </w:rPr>
        <w:t>九</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市司法局应于12月底前整理当年度的所有项目调整情况向市财政局通报。</w:t>
      </w:r>
    </w:p>
    <w:p>
      <w:pPr>
        <w:rPr>
          <w:color w:val="auto"/>
        </w:rPr>
      </w:pPr>
    </w:p>
    <w:p>
      <w:pPr>
        <w:jc w:val="center"/>
        <w:rPr>
          <w:rFonts w:hint="eastAsia"/>
          <w:b/>
          <w:bCs/>
          <w:color w:val="auto"/>
          <w:sz w:val="32"/>
          <w:szCs w:val="32"/>
        </w:rPr>
      </w:pPr>
      <w:r>
        <w:rPr>
          <w:rFonts w:hint="eastAsia"/>
          <w:b/>
          <w:bCs/>
          <w:color w:val="auto"/>
          <w:sz w:val="32"/>
          <w:szCs w:val="32"/>
        </w:rPr>
        <w:t>第四章 专项资金预算编制</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第十条</w:t>
      </w:r>
      <w:r>
        <w:rPr>
          <w:rFonts w:ascii="仿宋_GB2312" w:eastAsia="仿宋_GB2312" w:hint="eastAsia"/>
          <w:color w:val="auto"/>
          <w:sz w:val="32"/>
          <w:szCs w:val="32"/>
        </w:rPr>
        <w:t xml:space="preserve"> </w:t>
      </w:r>
      <w:r>
        <w:rPr>
          <w:rFonts w:ascii="仿宋_GB2312" w:eastAsia="仿宋_GB2312" w:hint="eastAsia"/>
          <w:color w:val="auto"/>
          <w:sz w:val="32"/>
          <w:szCs w:val="32"/>
          <w:highlight w:val="none"/>
        </w:rPr>
        <w:t>在年度预算编制环节，专项资金</w:t>
      </w:r>
      <w:r>
        <w:rPr>
          <w:rFonts w:ascii="仿宋_GB2312" w:eastAsia="仿宋_GB2312" w:hint="eastAsia"/>
          <w:color w:val="auto"/>
          <w:sz w:val="32"/>
          <w:szCs w:val="32"/>
        </w:rPr>
        <w:t>办理提前下达时市司法局下发分县(单位)任务清单，指导县（市、区）司法部门参照市级做法，细化落实到具体项目。市级不指定具体项目。</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专项资金年度预算额度确定后，市司法局将专项资金分配方案公示无异议后报市财政局。</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一</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绩效目标应与“政策任务”的政策依据、业务范围、支出内容相匹配，体现中央和省委、省政府工作要求。绩效目标应全面合理可达到，以部门整体支出核心绩效指标体系为基础，由事业发展直接相关、可衡量、可考核的绩效指标构成。任务清单应与绩效目标对应，反映可量化、可执行、可检验的工作任务目标，明确完成时间和效果，与资金政策和额度相匹配，不得脱离实际。</w:t>
      </w:r>
    </w:p>
    <w:p>
      <w:pPr>
        <w:rPr>
          <w:color w:val="auto"/>
        </w:rPr>
      </w:pPr>
    </w:p>
    <w:p>
      <w:pPr>
        <w:jc w:val="center"/>
        <w:rPr>
          <w:b/>
          <w:bCs/>
          <w:color w:val="auto"/>
          <w:sz w:val="30"/>
          <w:szCs w:val="30"/>
        </w:rPr>
      </w:pPr>
      <w:r>
        <w:rPr>
          <w:rFonts w:hint="eastAsia"/>
          <w:b/>
          <w:bCs/>
          <w:color w:val="auto"/>
          <w:sz w:val="32"/>
          <w:szCs w:val="32"/>
        </w:rPr>
        <w:t>第五章</w:t>
      </w:r>
      <w:r>
        <w:rPr>
          <w:rFonts w:hint="eastAsia"/>
          <w:b/>
          <w:bCs/>
          <w:color w:val="auto"/>
          <w:sz w:val="32"/>
          <w:szCs w:val="32"/>
          <w:lang w:val="en-US" w:eastAsia="zh-CN"/>
        </w:rPr>
        <w:t xml:space="preserve"> </w:t>
      </w:r>
      <w:r>
        <w:rPr>
          <w:rFonts w:hint="eastAsia"/>
          <w:b/>
          <w:bCs/>
          <w:color w:val="auto"/>
          <w:sz w:val="32"/>
          <w:szCs w:val="32"/>
        </w:rPr>
        <w:t>专项资金执行及管理</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二</w:t>
      </w:r>
      <w:r>
        <w:rPr>
          <w:rFonts w:ascii="黑体" w:eastAsia="黑体" w:hAnsi="黑体" w:cs="黑体" w:hint="eastAsia"/>
          <w:color w:val="auto"/>
          <w:sz w:val="32"/>
          <w:szCs w:val="32"/>
        </w:rPr>
        <w:t xml:space="preserve">条 </w:t>
      </w:r>
      <w:r>
        <w:rPr>
          <w:rFonts w:ascii="仿宋_GB2312" w:eastAsia="仿宋_GB2312" w:hint="eastAsia"/>
          <w:color w:val="auto"/>
          <w:sz w:val="32"/>
          <w:szCs w:val="32"/>
        </w:rPr>
        <w:t>市人大年度预算审议通过后，预算编制阶段未提前下达的专项资金，应严格按照预算法规定时限办理资金分配下达。市司法局按程序公示无异议后，应在预算法规定下达时限7日前报送市财政局，并同步在预算管理系统中提交专项资金分配二级项目、绩效目标等数据信息。市财政局在收到分配方案及系统数据信息确认无误，且经审核符合专项资金管理有关规定后，7日内发文下达指标，同步下达分县区(单位)绩效目标。</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县（市、区）收到市级专项资金后，应按预算法规定及时办理预算转下达和资金拨付。属于县（市、区）确定具体项目的，县</w:t>
      </w:r>
      <w:r>
        <w:rPr>
          <w:rFonts w:ascii="仿宋_GB2312" w:eastAsia="仿宋_GB2312" w:hint="eastAsia"/>
          <w:color w:val="auto"/>
          <w:sz w:val="32"/>
          <w:szCs w:val="32"/>
          <w:lang w:eastAsia="zh-CN"/>
        </w:rPr>
        <w:t>（市、区）</w:t>
      </w:r>
      <w:r>
        <w:rPr>
          <w:rFonts w:ascii="仿宋_GB2312" w:eastAsia="仿宋_GB2312" w:hint="eastAsia"/>
          <w:color w:val="auto"/>
          <w:sz w:val="32"/>
          <w:szCs w:val="32"/>
        </w:rPr>
        <w:t>司法部门应在项目审批确定30日内报市财政局备案。对未按规定办理专项资金分配下达，经提醒督促仍未有效整改导致资金沉淀的或资金分配滞后无正当理由的，原则上收回市财政统筹。</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三</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下达后，各级财政部门应严格按照国库集中支付制度有关规定及时拨付资金。涉及政府采购、招投标，应当按照有关规定执行。不得截留、挪用、挤占专项资金，不得用于平衡本级预算。严禁以拨代支、虚假提高资金支付率。</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四</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应严格按照批准的预算执行，不得随意调剂。确有需要调剂的，市司法局原则上应在6月底前调剂用于同一政策领域已储备可执行项目的事项。当年累计调剂资金额度达到一定比例的，由市司法局牵头按规定履行报批程序。</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采用“因素法”分配的专项资金，具体项目调剂预算由县</w:t>
      </w:r>
      <w:r>
        <w:rPr>
          <w:rFonts w:ascii="仿宋_GB2312" w:eastAsia="仿宋_GB2312" w:hint="eastAsia"/>
          <w:color w:val="auto"/>
          <w:sz w:val="32"/>
          <w:szCs w:val="32"/>
          <w:lang w:eastAsia="zh-CN"/>
        </w:rPr>
        <w:t>（市、区）</w:t>
      </w:r>
      <w:r>
        <w:rPr>
          <w:rFonts w:ascii="仿宋_GB2312" w:eastAsia="仿宋_GB2312" w:hint="eastAsia"/>
          <w:color w:val="auto"/>
          <w:sz w:val="32"/>
          <w:szCs w:val="32"/>
        </w:rPr>
        <w:t>司法部门会商同级财政部门审核同意后按程序办理，并报市司法局、市财政局备案。</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五</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项目承担单位要按计划推进项目实施，并对财政专项资金实行专账核算，按照财务规章制度和会计核算办法进行账务处理，严格执行财政资金使用票据销账制度，严禁用“白头单”入账或套取资金。</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六</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专项资金预算批准后，由各级预算用款单位制定预算执行支出计划，会同级财政部门意见后报市司法局，市司法局汇总后报市财政局备案。</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市司法局要加强对专项资金执行进度和绩效目标实现情况的跟踪监控，定期研究、分析专项资金执行情况。对执行进度慢、绩效目标偏离的，及时责成项目承担单位采取有效措施予以纠正;情况严重的，应按规定予以调整、暂缓或停止项目执行。</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七</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项目承担单位应加快项目组织实施，严格按照规定的开支范围支出，加快预算执行进度。市司法局应定期组织开展督促排查工作，防止资金沉淀。对预算执行进度严重滞后，且经督促仍未整改到位的，由市司法局按有关规定时限内提出资金处理意见，报市财政局审核同意后，按程序办理资金调剂、收回等。</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第十</w:t>
      </w:r>
      <w:r>
        <w:rPr>
          <w:rFonts w:ascii="黑体" w:eastAsia="黑体" w:hAnsi="黑体" w:cs="黑体" w:hint="eastAsia"/>
          <w:color w:val="auto"/>
          <w:sz w:val="32"/>
          <w:szCs w:val="32"/>
          <w:lang w:eastAsia="zh-CN"/>
        </w:rPr>
        <w:t>八</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预算年度终了，各级司法部门应按规定编列专项资金年度决算报表，报送同级财政部门。</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w:t>
      </w:r>
      <w:r>
        <w:rPr>
          <w:rFonts w:ascii="黑体" w:eastAsia="黑体" w:hAnsi="黑体" w:cs="黑体" w:hint="eastAsia"/>
          <w:color w:val="auto"/>
          <w:sz w:val="32"/>
          <w:szCs w:val="32"/>
          <w:lang w:eastAsia="zh-CN"/>
        </w:rPr>
        <w:t>十九</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项目完成后，用款单位应及时提请开展验收考评，市司法局、县</w:t>
      </w:r>
      <w:r>
        <w:rPr>
          <w:rFonts w:ascii="仿宋_GB2312" w:eastAsia="仿宋_GB2312" w:hint="eastAsia"/>
          <w:color w:val="auto"/>
          <w:sz w:val="32"/>
          <w:szCs w:val="32"/>
          <w:lang w:eastAsia="zh-CN"/>
        </w:rPr>
        <w:t>（市、区）</w:t>
      </w:r>
      <w:r>
        <w:rPr>
          <w:rFonts w:ascii="仿宋_GB2312" w:eastAsia="仿宋_GB2312" w:hint="eastAsia"/>
          <w:color w:val="auto"/>
          <w:sz w:val="32"/>
          <w:szCs w:val="32"/>
        </w:rPr>
        <w:t>司法部门和用款单位要按照“谁审批具体项目，谁验收考评”的原则，自主或委托第三方专业机构组织项目验收或考评，验收考评结果同步抄送同级财政部门。</w:t>
      </w:r>
    </w:p>
    <w:p>
      <w:pPr>
        <w:spacing w:line="580" w:lineRule="exact"/>
        <w:ind w:firstLine="645"/>
        <w:rPr>
          <w:rFonts w:ascii="仿宋_GB2312" w:eastAsia="仿宋_GB2312"/>
          <w:color w:val="auto"/>
          <w:sz w:val="32"/>
          <w:szCs w:val="32"/>
        </w:rPr>
      </w:pPr>
    </w:p>
    <w:p>
      <w:pPr>
        <w:jc w:val="center"/>
        <w:rPr>
          <w:rFonts w:hint="eastAsia"/>
          <w:b/>
          <w:bCs/>
          <w:color w:val="auto"/>
          <w:sz w:val="32"/>
          <w:szCs w:val="32"/>
        </w:rPr>
      </w:pPr>
      <w:r>
        <w:rPr>
          <w:rFonts w:hint="eastAsia"/>
          <w:b/>
          <w:bCs/>
          <w:color w:val="auto"/>
          <w:sz w:val="32"/>
          <w:szCs w:val="32"/>
        </w:rPr>
        <w:t>第六章</w:t>
      </w:r>
      <w:r>
        <w:rPr>
          <w:rFonts w:hint="eastAsia"/>
          <w:b/>
          <w:bCs/>
          <w:color w:val="auto"/>
          <w:sz w:val="32"/>
          <w:szCs w:val="32"/>
          <w:lang w:val="en-US" w:eastAsia="zh-CN"/>
        </w:rPr>
        <w:t xml:space="preserve"> </w:t>
      </w:r>
      <w:r>
        <w:rPr>
          <w:rFonts w:hint="eastAsia"/>
          <w:b/>
          <w:bCs/>
          <w:color w:val="auto"/>
          <w:sz w:val="32"/>
          <w:szCs w:val="32"/>
        </w:rPr>
        <w:t>专项资金绩效评价和监督管理</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第二十条</w:t>
      </w:r>
      <w:r>
        <w:rPr>
          <w:rFonts w:ascii="仿宋_GB2312" w:eastAsia="仿宋_GB2312" w:hint="eastAsia"/>
          <w:color w:val="auto"/>
          <w:sz w:val="32"/>
          <w:szCs w:val="32"/>
        </w:rPr>
        <w:t xml:space="preserve"> 专项资金全面实施预算绩效管理。预算年度终了，各级司法部门和用款单位要按财政部门要求开展绩效自评。市司法局、市财政局根据各自职责结合年度重点工作任务组织开展部门评价和财政评价，绩效评价结果作为专项资金预算安排、政策调整、资金分配的重要参考依据。</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一</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专项资金实施全过程绩效管理，构建“谁申报、谁负责”“谁使用、谁负责”、涵盖事前事中事后的绩效管理闭环责任机制。县</w:t>
      </w:r>
      <w:r>
        <w:rPr>
          <w:rFonts w:ascii="仿宋_GB2312" w:eastAsia="仿宋_GB2312" w:hint="eastAsia"/>
          <w:color w:val="auto"/>
          <w:sz w:val="32"/>
          <w:szCs w:val="32"/>
          <w:lang w:eastAsia="zh-CN"/>
        </w:rPr>
        <w:t>（市、区）</w:t>
      </w:r>
      <w:r>
        <w:rPr>
          <w:rFonts w:ascii="仿宋_GB2312" w:eastAsia="仿宋_GB2312" w:hint="eastAsia"/>
          <w:color w:val="auto"/>
          <w:sz w:val="32"/>
          <w:szCs w:val="32"/>
        </w:rPr>
        <w:t>司法部门和用款单位是项目实施和绩效管理的责任主体，对专项资金的分配使用、支出进度、绩效目标实现等情况承担主体责任，对绩效评价中发现的问题应及时落实整改。</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二</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各级司法部门和财政部门要建立健全项目资金监管机制，对项目建设和资金使用进展情况进行日常监督管理，及时发现和纠正问题，充分发挥资金使用效益。使用专项资金各单位要进一步加强单位内部监督，对专项资金相关经济业务、财会行为和会计资料开展日常监督和专项检查，确保资金规范高效使用。市司法局会同市财政局不定期对项目实施和资金使用情况进行专项监督检查。</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三</w:t>
      </w:r>
      <w:r>
        <w:rPr>
          <w:rFonts w:ascii="黑体" w:eastAsia="黑体" w:hAnsi="黑体" w:cs="黑体" w:hint="eastAsia"/>
          <w:color w:val="auto"/>
          <w:sz w:val="32"/>
          <w:szCs w:val="32"/>
        </w:rPr>
        <w:t xml:space="preserve">条 </w:t>
      </w:r>
      <w:r>
        <w:rPr>
          <w:rFonts w:ascii="仿宋_GB2312" w:eastAsia="仿宋_GB2312" w:hint="eastAsia"/>
          <w:color w:val="auto"/>
          <w:sz w:val="32"/>
          <w:szCs w:val="32"/>
        </w:rPr>
        <w:t>各级司法部门和用款单位应自觉接受人大、审计、财政等部门的监督检查，配合提供相关材料，对相关财会信息的真实性、完整性负责。</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四</w:t>
      </w:r>
      <w:r>
        <w:rPr>
          <w:rFonts w:ascii="黑体" w:eastAsia="黑体" w:hAnsi="黑体" w:cs="黑体" w:hint="eastAsia"/>
          <w:color w:val="auto"/>
          <w:sz w:val="32"/>
          <w:szCs w:val="32"/>
        </w:rPr>
        <w:t xml:space="preserve">条 </w:t>
      </w:r>
      <w:r>
        <w:rPr>
          <w:rFonts w:ascii="仿宋_GB2312" w:eastAsia="仿宋_GB2312" w:hint="eastAsia"/>
          <w:color w:val="auto"/>
          <w:sz w:val="32"/>
          <w:szCs w:val="32"/>
        </w:rPr>
        <w:t>市司法局要加强对专项资金管理关键岗位和重点环节的廉政风险排查和防控，完善内控机制，加强对专项资金分配、使用、管理全流程的监管。</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五</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市司法局和县（市、区）要建立专项资金管理信用体系，对申请单位在专项资金申报、管理、使用过程中存在虚报、挤占、挪用等违法违规行为的，将失信信息纳入社会信用体系实施联合奖惩，并向社会公开。情节严重的，原则上5年内停止其申报专项资金资格。</w:t>
      </w:r>
    </w:p>
    <w:p>
      <w:pPr>
        <w:spacing w:line="580" w:lineRule="exact"/>
        <w:ind w:firstLine="645"/>
        <w:rPr>
          <w:color w:val="auto"/>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六</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各级司法部门、财政部门、用款单位及其工作人员，在项目和资金的审核、分配、拨付以及申报、使用等过程中，存在违法违纪行为的，按照《财政违法行为处罚处分条例》等规定追究相应责任;涉嫌违法犯罪的，按规定移送司法机关处理。</w:t>
      </w:r>
    </w:p>
    <w:p>
      <w:pPr>
        <w:rPr>
          <w:color w:val="auto"/>
        </w:rPr>
      </w:pPr>
    </w:p>
    <w:p>
      <w:pPr>
        <w:jc w:val="center"/>
        <w:rPr>
          <w:rFonts w:hint="eastAsia"/>
          <w:b/>
          <w:bCs/>
          <w:color w:val="auto"/>
          <w:sz w:val="32"/>
          <w:szCs w:val="32"/>
        </w:rPr>
      </w:pPr>
      <w:r>
        <w:rPr>
          <w:rFonts w:hint="eastAsia"/>
          <w:b/>
          <w:bCs/>
          <w:color w:val="auto"/>
          <w:sz w:val="32"/>
          <w:szCs w:val="32"/>
        </w:rPr>
        <w:t>第七章 信息公开</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七</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除涉及保密要求或重大敏感的事项不予公开外，专项资金分配、执行和结果等全过程信息按照“谁制定、谁分配、谁使用、谁公开”的原则予以公开。主要内容包括:</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（一）专项资金目录清单。</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（二）专项资金管理办法。</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（三）专项资金计划分配方案，包括资金分配方式和结果，包括资金分配明细项目、金额和分配对象等。</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（四）专项资金绩效评价、监督检查和审计结果。包括项目验收考评情况、绩效自评报告和财政部门反馈的重点评价报告、财政财务监督检查报告、审计结果等。</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（五）公开接受和处理投诉情况。包括投诉事项和投诉处理情况以及其他按规定应公开的内容。</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第二十</w:t>
      </w:r>
      <w:r>
        <w:rPr>
          <w:rFonts w:ascii="黑体" w:eastAsia="黑体" w:hAnsi="黑体" w:cs="黑体" w:hint="eastAsia"/>
          <w:color w:val="auto"/>
          <w:sz w:val="32"/>
          <w:szCs w:val="32"/>
          <w:lang w:eastAsia="zh-CN"/>
        </w:rPr>
        <w:t>八</w:t>
      </w:r>
      <w:r>
        <w:rPr>
          <w:rFonts w:ascii="仿宋_GB2312" w:eastAsia="仿宋_GB2312" w:hint="eastAsia"/>
          <w:color w:val="auto"/>
          <w:sz w:val="32"/>
          <w:szCs w:val="32"/>
        </w:rPr>
        <w:t>条 各级司法部门应在相关信息审批生效后20日内，通过本部门门户网站向社会进行公开。公开时应注意保障企业的商业秘密和个人隐私。</w:t>
      </w:r>
    </w:p>
    <w:p>
      <w:pPr>
        <w:rPr>
          <w:color w:val="auto"/>
        </w:rPr>
      </w:pPr>
    </w:p>
    <w:p>
      <w:pPr>
        <w:jc w:val="center"/>
        <w:rPr>
          <w:b/>
          <w:bCs/>
          <w:color w:val="auto"/>
          <w:sz w:val="30"/>
          <w:szCs w:val="30"/>
        </w:rPr>
      </w:pPr>
      <w:r>
        <w:rPr>
          <w:rFonts w:hint="eastAsia"/>
          <w:b/>
          <w:bCs/>
          <w:color w:val="auto"/>
          <w:sz w:val="32"/>
          <w:szCs w:val="32"/>
        </w:rPr>
        <w:t>第八章</w:t>
      </w:r>
      <w:r>
        <w:rPr>
          <w:rFonts w:hint="eastAsia"/>
          <w:b/>
          <w:bCs/>
          <w:color w:val="auto"/>
          <w:sz w:val="32"/>
          <w:szCs w:val="32"/>
          <w:lang w:val="en-US" w:eastAsia="zh-CN"/>
        </w:rPr>
        <w:t xml:space="preserve"> </w:t>
      </w:r>
      <w:r>
        <w:rPr>
          <w:rFonts w:hint="eastAsia"/>
          <w:b/>
          <w:bCs/>
          <w:color w:val="auto"/>
          <w:sz w:val="32"/>
          <w:szCs w:val="32"/>
        </w:rPr>
        <w:t>职责分工</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rPr>
        <w:t>第</w:t>
      </w:r>
      <w:r>
        <w:rPr>
          <w:rFonts w:ascii="黑体" w:eastAsia="黑体" w:hAnsi="黑体" w:cs="黑体" w:hint="eastAsia"/>
          <w:color w:val="auto"/>
          <w:sz w:val="32"/>
          <w:szCs w:val="32"/>
          <w:lang w:eastAsia="zh-CN"/>
        </w:rPr>
        <w:t>二十九</w:t>
      </w:r>
      <w:r>
        <w:rPr>
          <w:rFonts w:ascii="黑体" w:eastAsia="黑体" w:hAnsi="黑体" w:cs="黑体" w:hint="eastAsia"/>
          <w:color w:val="auto"/>
          <w:sz w:val="32"/>
          <w:szCs w:val="32"/>
        </w:rPr>
        <w:t>条</w:t>
      </w:r>
      <w:r>
        <w:rPr>
          <w:rFonts w:ascii="仿宋_GB2312" w:eastAsia="仿宋_GB2312" w:hint="eastAsia"/>
          <w:color w:val="auto"/>
          <w:sz w:val="32"/>
          <w:szCs w:val="32"/>
        </w:rPr>
        <w:t xml:space="preserve"> 市财政局、市司法局按职责分工负责专项资金使用管理。</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市财政局负责审核专项资金目录清单、预算、绩效目标等；办理专项资金新增、调剂，审核资金分配方案是否符合市委、市政府决策部署和专项资金管理规定，办理专项资金下达和拨付；对预算执行进行监控通报；不直接参与具体项目审批等事务。</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市司法局负责专项资金预算编制和执行，对下达市级用款单位和县（市、区）的专项资金执行情况承担指导和监管责任；负责组织项目入库，申报专项资金目录清单、预算、绩效目标，制定明细分配方案，制订下达任务清单，对专项资金执行情况和绩效运行进行跟踪监管；依照职责开展信息公开和绩效管理；对保留市级资金审批权限的专项资金，组织项目验收或考评，审批项目资金调整变更事项。</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lang w:eastAsia="zh-CN"/>
        </w:rPr>
        <w:t>第三十条</w:t>
      </w:r>
      <w:r>
        <w:rPr>
          <w:rFonts w:ascii="仿宋_GB2312" w:eastAsia="仿宋_GB2312" w:hint="eastAsia"/>
          <w:color w:val="auto"/>
          <w:sz w:val="32"/>
          <w:szCs w:val="32"/>
        </w:rPr>
        <w:t xml:space="preserve"> 县（市、区）财政部门将市下达的专项资金纳入同级预算全流程规范管理，做好资金及时转下达和资金足额拨付工作，对专项资金执行情况进行监管和绩效管理，接受市级监督检查和绩效评价等。</w:t>
      </w:r>
    </w:p>
    <w:p>
      <w:pPr>
        <w:spacing w:line="580" w:lineRule="exact"/>
        <w:ind w:firstLine="645"/>
        <w:rPr>
          <w:rFonts w:ascii="仿宋_GB2312" w:eastAsia="仿宋_GB2312"/>
          <w:color w:val="auto"/>
          <w:sz w:val="32"/>
          <w:szCs w:val="32"/>
        </w:rPr>
      </w:pPr>
      <w:r>
        <w:rPr>
          <w:rFonts w:ascii="仿宋_GB2312" w:eastAsia="仿宋_GB2312" w:hint="eastAsia"/>
          <w:color w:val="auto"/>
          <w:sz w:val="32"/>
          <w:szCs w:val="32"/>
        </w:rPr>
        <w:t>县（市、区）司法部门承担市级下达专项资金的预算执行、绩效目标实现、任务清单实施的主体责任，确保完成市级下达的任务清单和绩效目标；负责组织项目实施和监管，加强资金管理，做好信息公开、绩效自评、项目验收考评等工作；接受市级监督检查和绩效评价等。</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lang w:eastAsia="zh-CN"/>
        </w:rPr>
        <w:t>第三十一条</w:t>
      </w:r>
      <w:r>
        <w:rPr>
          <w:rFonts w:ascii="仿宋_GB2312" w:eastAsia="仿宋_GB2312" w:hint="eastAsia"/>
          <w:color w:val="auto"/>
          <w:sz w:val="32"/>
          <w:szCs w:val="32"/>
        </w:rPr>
        <w:t xml:space="preserve"> 用款单位对项目实施和资金使用负责，严格执行专项资金预算，具体组织项目实施,加强财务管理，做好绩效自评，接受验收考评、监督检查和绩效评价等。</w:t>
      </w:r>
    </w:p>
    <w:p>
      <w:pPr>
        <w:spacing w:line="580" w:lineRule="exact"/>
        <w:ind w:firstLine="645"/>
        <w:rPr>
          <w:rFonts w:ascii="仿宋_GB2312" w:eastAsia="仿宋_GB2312"/>
          <w:color w:val="auto"/>
          <w:sz w:val="32"/>
          <w:szCs w:val="32"/>
        </w:rPr>
      </w:pPr>
    </w:p>
    <w:p>
      <w:pPr>
        <w:jc w:val="center"/>
        <w:rPr>
          <w:rFonts w:hint="eastAsia"/>
          <w:b/>
          <w:bCs/>
          <w:color w:val="auto"/>
          <w:sz w:val="32"/>
          <w:szCs w:val="32"/>
        </w:rPr>
      </w:pPr>
      <w:r>
        <w:rPr>
          <w:rFonts w:hint="eastAsia"/>
          <w:b/>
          <w:bCs/>
          <w:color w:val="auto"/>
          <w:sz w:val="32"/>
          <w:szCs w:val="32"/>
        </w:rPr>
        <w:t>第九章 附  则</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lang w:eastAsia="zh-CN"/>
        </w:rPr>
        <w:t>第三十二条</w:t>
      </w:r>
      <w:r>
        <w:rPr>
          <w:rFonts w:ascii="仿宋_GB2312" w:eastAsia="仿宋_GB2312" w:hint="eastAsia"/>
          <w:color w:val="auto"/>
          <w:sz w:val="32"/>
          <w:szCs w:val="32"/>
        </w:rPr>
        <w:t xml:space="preserve"> 各级司法部门、财政部门应加强信息互通，对收到上级有关专项资金下达、使用、管理有关文件的，应及时以适当方式通知同级相关部门。</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lang w:eastAsia="zh-CN"/>
        </w:rPr>
        <w:t>第三十三条</w:t>
      </w:r>
      <w:r>
        <w:rPr>
          <w:rFonts w:ascii="仿宋_GB2312" w:eastAsia="仿宋_GB2312" w:hint="eastAsia"/>
          <w:color w:val="auto"/>
          <w:sz w:val="32"/>
          <w:szCs w:val="32"/>
        </w:rPr>
        <w:t xml:space="preserve"> 本办法由市财政局、市司法局负责解释。</w:t>
      </w:r>
    </w:p>
    <w:p>
      <w:pPr>
        <w:spacing w:line="580" w:lineRule="exact"/>
        <w:ind w:firstLine="645"/>
        <w:rPr>
          <w:rFonts w:ascii="仿宋_GB2312" w:eastAsia="仿宋_GB2312"/>
          <w:color w:val="auto"/>
          <w:sz w:val="32"/>
          <w:szCs w:val="32"/>
        </w:rPr>
      </w:pPr>
      <w:r>
        <w:rPr>
          <w:rFonts w:ascii="黑体" w:eastAsia="黑体" w:hAnsi="黑体" w:cs="黑体" w:hint="eastAsia"/>
          <w:color w:val="auto"/>
          <w:sz w:val="32"/>
          <w:szCs w:val="32"/>
          <w:lang w:eastAsia="zh-CN"/>
        </w:rPr>
        <w:t>第三十四条</w:t>
      </w:r>
      <w:r>
        <w:rPr>
          <w:rFonts w:ascii="仿宋_GB2312" w:eastAsia="仿宋_GB2312" w:hint="eastAsia"/>
          <w:color w:val="auto"/>
          <w:sz w:val="32"/>
          <w:szCs w:val="32"/>
        </w:rPr>
        <w:t xml:space="preserve"> 本办法自印发之日起实施。《江门市市级一村（社区）一法律顾问工作专项资金管理办法》</w:t>
      </w:r>
      <w:r>
        <w:rPr>
          <w:rFonts w:ascii="仿宋_GB2312" w:eastAsia="仿宋_GB2312"/>
          <w:color w:val="auto"/>
          <w:sz w:val="32"/>
          <w:szCs w:val="32"/>
        </w:rPr>
        <w:t>(</w:t>
      </w:r>
      <w:r>
        <w:rPr>
          <w:rFonts w:ascii="仿宋_GB2312" w:eastAsia="仿宋_GB2312" w:hint="eastAsia"/>
          <w:color w:val="auto"/>
          <w:sz w:val="32"/>
          <w:szCs w:val="32"/>
        </w:rPr>
        <w:t>江司</w:t>
      </w:r>
      <w:r>
        <w:rPr>
          <w:rFonts w:ascii="仿宋_GB2312" w:eastAsia="仿宋_GB2312" w:hAnsi="宋体" w:hint="eastAsia"/>
          <w:color w:val="auto"/>
          <w:sz w:val="32"/>
          <w:szCs w:val="32"/>
        </w:rPr>
        <w:t>〔</w:t>
      </w:r>
      <w:r>
        <w:rPr>
          <w:rFonts w:ascii="仿宋_GB2312" w:eastAsia="仿宋_GB2312" w:hAnsi="宋体"/>
          <w:color w:val="auto"/>
          <w:sz w:val="32"/>
          <w:szCs w:val="32"/>
        </w:rPr>
        <w:t>20</w:t>
      </w:r>
      <w:r>
        <w:rPr>
          <w:rFonts w:ascii="仿宋_GB2312" w:eastAsia="仿宋_GB2312" w:hAnsi="宋体" w:hint="eastAsia"/>
          <w:color w:val="auto"/>
          <w:sz w:val="32"/>
          <w:szCs w:val="32"/>
        </w:rPr>
        <w:t>15〕</w:t>
      </w:r>
      <w:r>
        <w:rPr>
          <w:rFonts w:ascii="仿宋_GB2312" w:eastAsia="仿宋_GB2312" w:hint="eastAsia"/>
          <w:color w:val="auto"/>
          <w:sz w:val="32"/>
          <w:szCs w:val="32"/>
        </w:rPr>
        <w:t>90号</w:t>
      </w:r>
      <w:r>
        <w:rPr>
          <w:rFonts w:ascii="仿宋_GB2312" w:eastAsia="仿宋_GB2312"/>
          <w:color w:val="auto"/>
          <w:sz w:val="32"/>
          <w:szCs w:val="32"/>
        </w:rPr>
        <w:t>)</w:t>
      </w:r>
      <w:r>
        <w:rPr>
          <w:rFonts w:ascii="仿宋_GB2312" w:eastAsia="仿宋_GB2312" w:hint="eastAsia"/>
          <w:color w:val="auto"/>
          <w:sz w:val="32"/>
          <w:szCs w:val="32"/>
        </w:rPr>
        <w:t>同时废止。</w:t>
      </w:r>
    </w:p>
    <w:p>
      <w:pPr>
        <w:rPr>
          <w:color w:val="auto"/>
        </w:rPr>
      </w:pPr>
    </w:p>
    <w:p>
      <w:pPr>
        <w:rPr>
          <w:color w:val="auto"/>
        </w:rPr>
      </w:pPr>
    </w:p>
    <w:sectPr>
      <w:pgSz w:w="11906" w:h="16838"/>
      <w:pgMar w:top="1440" w:right="1531" w:bottom="1440" w:left="1531"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E4EFE0"/>
    <w:rsid w:val="9BBF8884"/>
    <w:rsid w:val="9C2D9BF1"/>
    <w:rsid w:val="9E77270D"/>
    <w:rsid w:val="9EFF2F80"/>
    <w:rsid w:val="ABB7E507"/>
    <w:rsid w:val="BDF740FC"/>
    <w:rsid w:val="BEEF1746"/>
    <w:rsid w:val="BFBF827C"/>
    <w:rsid w:val="BFE71ECC"/>
    <w:rsid w:val="D5C7A52D"/>
    <w:rsid w:val="DBEB8F99"/>
    <w:rsid w:val="DEBE967C"/>
    <w:rsid w:val="EC3F9DF7"/>
    <w:rsid w:val="ECF5B27E"/>
    <w:rsid w:val="EE5FFE3B"/>
    <w:rsid w:val="EFAFB868"/>
    <w:rsid w:val="EFDDAED0"/>
    <w:rsid w:val="EFF50EE3"/>
    <w:rsid w:val="F7AC76B5"/>
    <w:rsid w:val="F9975E48"/>
    <w:rsid w:val="FDE4EFE0"/>
    <w:rsid w:val="FFCD479D"/>
    <w:rsid w:val="FFD5C5FA"/>
    <w:rsid w:val="FFFDBE02"/>
    <w:rsid w:val="00022B33"/>
    <w:rsid w:val="00074CBE"/>
    <w:rsid w:val="000B7409"/>
    <w:rsid w:val="000B7E11"/>
    <w:rsid w:val="00131568"/>
    <w:rsid w:val="0015388E"/>
    <w:rsid w:val="0017092E"/>
    <w:rsid w:val="001C5314"/>
    <w:rsid w:val="001E41D9"/>
    <w:rsid w:val="002C4B81"/>
    <w:rsid w:val="004153A6"/>
    <w:rsid w:val="0043347D"/>
    <w:rsid w:val="005C4932"/>
    <w:rsid w:val="00623AEA"/>
    <w:rsid w:val="00645B90"/>
    <w:rsid w:val="00687E41"/>
    <w:rsid w:val="007F109D"/>
    <w:rsid w:val="00885F3A"/>
    <w:rsid w:val="00AC6F07"/>
    <w:rsid w:val="00B1231C"/>
    <w:rsid w:val="00B46D98"/>
    <w:rsid w:val="00BF5D78"/>
    <w:rsid w:val="00C308E6"/>
    <w:rsid w:val="00C6449D"/>
    <w:rsid w:val="00CD0E5D"/>
    <w:rsid w:val="00CF344D"/>
    <w:rsid w:val="00EC0931"/>
    <w:rsid w:val="00F1138C"/>
    <w:rsid w:val="00F114AC"/>
    <w:rsid w:val="00F51182"/>
    <w:rsid w:val="06D9FBF0"/>
    <w:rsid w:val="173A6C9B"/>
    <w:rsid w:val="173D0AEB"/>
    <w:rsid w:val="19B4311C"/>
    <w:rsid w:val="1ABE0059"/>
    <w:rsid w:val="20D56100"/>
    <w:rsid w:val="275B466F"/>
    <w:rsid w:val="353B1294"/>
    <w:rsid w:val="37A858F2"/>
    <w:rsid w:val="37EE0DB8"/>
    <w:rsid w:val="3B3F6B72"/>
    <w:rsid w:val="3B884F8F"/>
    <w:rsid w:val="3DD5647C"/>
    <w:rsid w:val="3EFDD8D5"/>
    <w:rsid w:val="3FBBC964"/>
    <w:rsid w:val="592101C0"/>
    <w:rsid w:val="597864E4"/>
    <w:rsid w:val="59E6CA26"/>
    <w:rsid w:val="5DD69797"/>
    <w:rsid w:val="5EF77824"/>
    <w:rsid w:val="5F083E8D"/>
    <w:rsid w:val="641B290D"/>
    <w:rsid w:val="64C73A88"/>
    <w:rsid w:val="677F7C67"/>
    <w:rsid w:val="6B9F3626"/>
    <w:rsid w:val="6C9852E7"/>
    <w:rsid w:val="6DAA3E35"/>
    <w:rsid w:val="6ED440AB"/>
    <w:rsid w:val="71EBCDFA"/>
    <w:rsid w:val="72DF764A"/>
    <w:rsid w:val="75535222"/>
    <w:rsid w:val="766E2944"/>
    <w:rsid w:val="7739C2E3"/>
    <w:rsid w:val="7BE33AA5"/>
    <w:rsid w:val="7F7E835E"/>
    <w:rsid w:val="7FFE70C7"/>
    <w:rsid w:val="7FFF0F8B"/>
    <w:rsid w:val="7FFFAA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link w:val="Char1"/>
    <w:qFormat/>
    <w:pPr>
      <w:tabs>
        <w:tab w:val="center" w:pos="4153"/>
        <w:tab w:val="right" w:pos="8306"/>
      </w:tabs>
      <w:snapToGrid w:val="0"/>
      <w:jc w:val="left"/>
    </w:pPr>
    <w:rPr>
      <w:sz w:val="18"/>
      <w:szCs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DefaultParagraphFont"/>
    <w:link w:val="BalloonText"/>
    <w:qFormat/>
    <w:rPr>
      <w:kern w:val="2"/>
      <w:sz w:val="18"/>
      <w:szCs w:val="18"/>
    </w:rPr>
  </w:style>
  <w:style w:type="character" w:customStyle="1" w:styleId="Char0">
    <w:name w:val="页眉 Char"/>
    <w:basedOn w:val="DefaultParagraphFont"/>
    <w:link w:val="Header"/>
    <w:qFormat/>
    <w:rPr>
      <w:kern w:val="2"/>
      <w:sz w:val="18"/>
      <w:szCs w:val="18"/>
    </w:rPr>
  </w:style>
  <w:style w:type="character" w:customStyle="1" w:styleId="Char1">
    <w:name w:val="页脚 Char"/>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21</TotalTime>
  <Pages>11</Pages>
  <Words>936</Words>
  <Characters>5336</Characters>
  <Application>Microsoft Office Word</Application>
  <DocSecurity>0</DocSecurity>
  <Lines>44</Lines>
  <Paragraphs>12</Paragraphs>
  <ScaleCrop>false</ScaleCrop>
  <Company>Microsoft</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陈淑美</dc:creator>
  <cp:lastModifiedBy>伍茵茵</cp:lastModifiedBy>
  <cp:revision>15</cp:revision>
  <dcterms:created xsi:type="dcterms:W3CDTF">2024-03-02T12:42:00Z</dcterms:created>
  <dcterms:modified xsi:type="dcterms:W3CDTF">2024-03-20T17:40:46Z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6B8370E9FB3149771EAFFA65F0664921</vt:lpwstr>
  </property>
  <property fmtid="{D5CDD505-2E9C-101B-9397-08002B2CF9AE}" pid="3" name="KSOProductBuildVer">
    <vt:lpwstr>2052-11.8.2.11961</vt:lpwstr>
  </property>
</Properties>
</file>