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C51219">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sidR="00B2136A">
        <w:rPr>
          <w:rFonts w:ascii="黑体" w:eastAsia="黑体" w:hAnsi="黑体" w:cs="黑体" w:hint="eastAsia"/>
          <w:sz w:val="32"/>
          <w:szCs w:val="32"/>
        </w:rPr>
        <w:t>3</w:t>
      </w:r>
      <w:bookmarkStart w:id="0" w:name="_GoBack"/>
      <w:bookmarkEnd w:id="0"/>
    </w:p>
    <w:p w:rsidR="00C51219">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C51219">
      <w:pPr>
        <w:spacing w:line="288" w:lineRule="auto"/>
        <w:jc w:val="center"/>
        <w:rPr>
          <w:rFonts w:ascii="仿宋_GB2312" w:eastAsia="仿宋_GB2312" w:hAnsi="仿宋_GB2312" w:cs="仿宋_GB2312"/>
          <w:sz w:val="32"/>
          <w:szCs w:val="32"/>
        </w:rPr>
      </w:pPr>
    </w:p>
    <w:p w:rsidR="00C51219">
      <w:pPr>
        <w:adjustRightInd w:val="0"/>
        <w:snapToGrid w:val="0"/>
        <w:spacing w:line="360" w:lineRule="auto"/>
        <w:ind w:firstLine="640" w:firstLineChars="20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C51219">
      <w:pPr>
        <w:adjustRightInd w:val="0"/>
        <w:snapToGrid w:val="0"/>
        <w:spacing w:line="360" w:lineRule="auto"/>
        <w:ind w:firstLine="640" w:firstLineChars="20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w:t>
      </w:r>
      <w:r>
        <w:rPr>
          <w:rFonts w:ascii="仿宋_GB2312" w:eastAsia="仿宋_GB2312" w:hAnsi="仿宋_GB2312" w:cs="仿宋_GB2312" w:hint="eastAsia"/>
          <w:sz w:val="32"/>
          <w:szCs w:val="32"/>
        </w:rPr>
        <w:t>来宾市</w:t>
      </w:r>
      <w:r>
        <w:rPr>
          <w:rFonts w:ascii="仿宋_GB2312" w:eastAsia="仿宋_GB2312" w:hAnsi="仿宋_GB2312" w:cs="仿宋_GB2312" w:hint="eastAsia"/>
          <w:sz w:val="32"/>
          <w:szCs w:val="32"/>
        </w:rPr>
        <w:t>忻城县；贺州昭平县。</w:t>
      </w:r>
    </w:p>
    <w:p w:rsidR="00C51219">
      <w:pPr>
        <w:adjustRightInd w:val="0"/>
        <w:snapToGrid w:val="0"/>
        <w:spacing w:line="360" w:lineRule="auto"/>
        <w:ind w:firstLine="640" w:firstLineChars="20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w:t>
      </w:r>
      <w:r>
        <w:rPr>
          <w:rFonts w:ascii="仿宋_GB2312" w:eastAsia="仿宋_GB2312" w:hAnsi="仿宋_GB2312" w:cs="仿宋_GB2312" w:hint="eastAsia"/>
          <w:sz w:val="32"/>
          <w:szCs w:val="32"/>
        </w:rPr>
        <w:t>4个县待贵州省</w:t>
      </w:r>
      <w:r>
        <w:rPr>
          <w:rFonts w:ascii="仿宋_GB2312" w:eastAsia="仿宋_GB2312" w:hAnsi="仿宋_GB2312" w:cs="仿宋_GB2312" w:hint="eastAsia"/>
          <w:sz w:val="32"/>
          <w:szCs w:val="32"/>
        </w:rPr>
        <w:t>定）</w:t>
      </w:r>
    </w:p>
    <w:p w:rsidR="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附件：粤桂两省、</w:t>
      </w:r>
      <w:r>
        <w:rPr>
          <w:rFonts w:ascii="仿宋_GB2312" w:eastAsia="仿宋_GB2312" w:hAnsi="仿宋_GB2312" w:cs="仿宋_GB2312" w:hint="eastAsia"/>
          <w:sz w:val="32"/>
          <w:szCs w:val="32"/>
        </w:rPr>
        <w:t>粤黔两省东西</w:t>
      </w:r>
      <w:r>
        <w:rPr>
          <w:rFonts w:ascii="仿宋_GB2312" w:eastAsia="仿宋_GB2312" w:hAnsi="仿宋_GB2312" w:cs="仿宋_GB2312" w:hint="eastAsia"/>
          <w:sz w:val="32"/>
          <w:szCs w:val="32"/>
        </w:rPr>
        <w:t>部协作结对关系调整后明细表</w:t>
      </w:r>
    </w:p>
    <w:p w:rsidR="00C51219">
      <w:pPr>
        <w:spacing w:line="560" w:lineRule="exact"/>
        <w:rPr>
          <w:rFonts w:ascii="仿宋_GB2312" w:eastAsia="仿宋_GB2312" w:hAnsi="仿宋_GB2312" w:cs="仿宋_GB2312"/>
          <w:sz w:val="32"/>
          <w:szCs w:val="32"/>
        </w:rPr>
      </w:pPr>
    </w:p>
    <w:p w:rsidR="00C51219">
      <w:pPr>
        <w:spacing w:line="560" w:lineRule="exact"/>
      </w:pPr>
    </w:p>
    <w:p w:rsidR="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w:t>
      </w:r>
      <w:r>
        <w:rPr>
          <w:rFonts w:ascii="方正小标宋简体" w:eastAsia="方正小标宋简体" w:hAnsi="方正小标宋简体" w:cs="方正小标宋简体" w:hint="eastAsia"/>
          <w:sz w:val="32"/>
          <w:szCs w:val="32"/>
        </w:rPr>
        <w:t>粤黔两省东西</w:t>
      </w:r>
      <w:r>
        <w:rPr>
          <w:rFonts w:ascii="方正小标宋简体" w:eastAsia="方正小标宋简体" w:hAnsi="方正小标宋简体" w:cs="方正小标宋简体" w:hint="eastAsia"/>
          <w:sz w:val="32"/>
          <w:szCs w:val="32"/>
        </w:rPr>
        <w:t>部协作结对关系调整后明细表</w:t>
      </w:r>
    </w:p>
    <w:p w:rsidR="00C51219">
      <w:pPr>
        <w:pStyle w:val="Heading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483"/>
        <w:gridCol w:w="1195"/>
        <w:gridCol w:w="1066"/>
        <w:gridCol w:w="1976"/>
        <w:gridCol w:w="1170"/>
        <w:gridCol w:w="604"/>
        <w:gridCol w:w="145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Ex>
        <w:trPr>
          <w:tblHeader/>
          <w:jc w:val="center"/>
        </w:trPr>
        <w:tc>
          <w:tcPr>
            <w:tcW w:w="7494" w:type="dxa"/>
            <w:gridSpan w:val="6"/>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C51219">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国家乡村振兴重点帮扶县</w:t>
            </w:r>
          </w:p>
        </w:tc>
      </w:tr>
      <w:tr>
        <w:tblPrEx>
          <w:tblW w:w="0" w:type="auto"/>
          <w:jc w:val="center"/>
          <w:tblLayout w:type="fixed"/>
          <w:tblCellMar>
            <w:top w:w="15" w:type="dxa"/>
            <w:left w:w="15" w:type="dxa"/>
            <w:bottom w:w="15" w:type="dxa"/>
            <w:right w:w="15" w:type="dxa"/>
          </w:tblCellMar>
          <w:tblLook w:val="0000"/>
        </w:tblPrEx>
        <w:trPr>
          <w:tblHeader/>
          <w:jc w:val="center"/>
        </w:trPr>
        <w:tc>
          <w:tcPr>
            <w:tcW w:w="1483"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95"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帮扶市</w:t>
            </w:r>
          </w:p>
        </w:tc>
        <w:tc>
          <w:tcPr>
            <w:tcW w:w="1976"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w:t>
            </w:r>
            <w:r>
              <w:rPr>
                <w:rFonts w:ascii="黑体" w:eastAsia="黑体" w:hAnsi="黑体" w:cs="黑体" w:hint="eastAsia"/>
                <w:color w:val="000000"/>
                <w:kern w:val="0"/>
                <w:szCs w:val="21"/>
                <w:lang w:bidi="ar"/>
              </w:rPr>
              <w:t>县数量</w:t>
            </w:r>
          </w:p>
        </w:tc>
        <w:tc>
          <w:tcPr>
            <w:tcW w:w="604" w:type="dxa"/>
            <w:vAlign w:val="center"/>
          </w:tcPr>
          <w:p w:rsidR="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C51219">
            <w:pPr>
              <w:spacing w:line="240" w:lineRule="exact"/>
              <w:jc w:val="center"/>
              <w:rPr>
                <w:rFonts w:ascii="仿宋_GB2312" w:eastAsia="仿宋_GB2312" w:hAnsi="仿宋_GB2312" w:cs="仿宋_GB2312"/>
                <w:color w:val="000000"/>
                <w:kern w:val="0"/>
                <w:szCs w:val="21"/>
                <w:lang w:bidi="ar"/>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深圳市</w:t>
            </w:r>
          </w:p>
        </w:tc>
        <w:tc>
          <w:tcPr>
            <w:tcW w:w="1195"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restart"/>
            <w:vAlign w:val="center"/>
          </w:tcPr>
          <w:p w:rsidR="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C51219">
            <w:pPr>
              <w:spacing w:line="240" w:lineRule="exact"/>
              <w:jc w:val="center"/>
              <w:rPr>
                <w:rFonts w:ascii="仿宋_GB2312" w:eastAsia="仿宋_GB2312" w:hAnsi="仿宋_GB2312" w:cs="仿宋_GB2312"/>
                <w:bCs/>
                <w:color w:val="000000"/>
                <w:szCs w:val="21"/>
              </w:rPr>
            </w:pPr>
          </w:p>
        </w:tc>
      </w:tr>
      <w:tr>
        <w:tblPrEx>
          <w:tblW w:w="0" w:type="auto"/>
          <w:jc w:val="center"/>
          <w:tblLayout w:type="fixed"/>
          <w:tblCellMar>
            <w:top w:w="15" w:type="dxa"/>
            <w:left w:w="15" w:type="dxa"/>
            <w:bottom w:w="15" w:type="dxa"/>
            <w:right w:w="15" w:type="dxa"/>
          </w:tblCellMar>
          <w:tblLook w:val="0000"/>
        </w:tblPrEx>
        <w:trPr>
          <w:jc w:val="center"/>
        </w:trPr>
        <w:tc>
          <w:tcPr>
            <w:tcW w:w="1483" w:type="dxa"/>
            <w:vMerge/>
            <w:vAlign w:val="center"/>
          </w:tcPr>
          <w:p w:rsidR="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tblPrEx>
          <w:tblW w:w="0" w:type="auto"/>
          <w:jc w:val="center"/>
          <w:tblLayout w:type="fixed"/>
          <w:tblCellMar>
            <w:top w:w="15" w:type="dxa"/>
            <w:left w:w="15" w:type="dxa"/>
            <w:bottom w:w="15" w:type="dxa"/>
            <w:right w:w="15" w:type="dxa"/>
          </w:tblCellMar>
          <w:tblLook w:val="0000"/>
        </w:tblPrEx>
        <w:trPr>
          <w:trHeight w:val="555"/>
          <w:jc w:val="center"/>
        </w:trPr>
        <w:tc>
          <w:tcPr>
            <w:tcW w:w="1483" w:type="dxa"/>
            <w:vAlign w:val="center"/>
          </w:tcPr>
          <w:p w:rsidR="00C51219">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C51219">
            <w:pPr>
              <w:spacing w:line="240" w:lineRule="exact"/>
              <w:jc w:val="center"/>
              <w:rPr>
                <w:rFonts w:ascii="仿宋_GB2312" w:eastAsia="仿宋_GB2312" w:hAnsi="仿宋_GB2312" w:cs="仿宋_GB2312"/>
                <w:b/>
                <w:color w:val="000000"/>
                <w:szCs w:val="21"/>
              </w:rPr>
            </w:pPr>
          </w:p>
        </w:tc>
        <w:tc>
          <w:tcPr>
            <w:tcW w:w="1066" w:type="dxa"/>
            <w:vAlign w:val="center"/>
          </w:tcPr>
          <w:p w:rsidR="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C51219">
            <w:pPr>
              <w:spacing w:line="240" w:lineRule="exact"/>
              <w:jc w:val="center"/>
              <w:rPr>
                <w:rFonts w:ascii="仿宋_GB2312" w:eastAsia="仿宋_GB2312" w:hAnsi="仿宋_GB2312" w:cs="仿宋_GB2312"/>
                <w:b/>
                <w:color w:val="000000"/>
                <w:szCs w:val="21"/>
              </w:rPr>
            </w:pPr>
          </w:p>
        </w:tc>
        <w:tc>
          <w:tcPr>
            <w:tcW w:w="604" w:type="dxa"/>
            <w:vAlign w:val="center"/>
          </w:tcPr>
          <w:p w:rsidR="00C51219">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20个</w:t>
            </w:r>
          </w:p>
        </w:tc>
      </w:tr>
    </w:tbl>
    <w:p w:rsidR="00C51219">
      <w:pPr>
        <w:spacing w:line="560" w:lineRule="exact"/>
        <w:jc w:val="left"/>
        <w:rPr>
          <w:rFonts w:ascii="黑体" w:eastAsia="黑体" w:hAnsi="黑体" w:cs="黑体"/>
          <w:sz w:val="32"/>
          <w:szCs w:val="32"/>
        </w:rPr>
      </w:pPr>
    </w:p>
    <w:p w:rsidR="00C51219">
      <w:pPr>
        <w:spacing w:line="560" w:lineRule="exact"/>
        <w:jc w:val="left"/>
        <w:rPr>
          <w:rFonts w:ascii="黑体" w:eastAsia="黑体" w:hAnsi="黑体" w:cs="黑体"/>
          <w:sz w:val="32"/>
          <w:szCs w:val="32"/>
        </w:rPr>
      </w:pPr>
    </w:p>
    <w:p w:rsidR="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w:t>
      </w:r>
      <w:r>
        <w:rPr>
          <w:rFonts w:ascii="方正小标宋简体" w:eastAsia="方正小标宋简体" w:hAnsi="方正小标宋简体" w:cs="方正小标宋简体" w:hint="eastAsia"/>
          <w:sz w:val="32"/>
          <w:szCs w:val="32"/>
        </w:rPr>
        <w:t>粤黔两省东西</w:t>
      </w:r>
      <w:r>
        <w:rPr>
          <w:rFonts w:ascii="方正小标宋简体" w:eastAsia="方正小标宋简体" w:hAnsi="方正小标宋简体" w:cs="方正小标宋简体" w:hint="eastAsia"/>
          <w:sz w:val="32"/>
          <w:szCs w:val="32"/>
        </w:rPr>
        <w:t>部协作结对关系调整后明细表</w:t>
      </w:r>
    </w:p>
    <w:p w:rsidR="00C51219">
      <w:pPr>
        <w:pStyle w:val="Heading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472"/>
        <w:gridCol w:w="1131"/>
        <w:gridCol w:w="1066"/>
        <w:gridCol w:w="1827"/>
        <w:gridCol w:w="1196"/>
        <w:gridCol w:w="865"/>
        <w:gridCol w:w="142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Ex>
        <w:trPr>
          <w:tblHeader/>
          <w:jc w:val="center"/>
        </w:trPr>
        <w:tc>
          <w:tcPr>
            <w:tcW w:w="7557" w:type="dxa"/>
            <w:gridSpan w:val="6"/>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C51219">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tblPrEx>
          <w:tblW w:w="0" w:type="auto"/>
          <w:jc w:val="center"/>
          <w:tblLayout w:type="fixed"/>
          <w:tblCellMar>
            <w:top w:w="15" w:type="dxa"/>
            <w:left w:w="15" w:type="dxa"/>
            <w:bottom w:w="15" w:type="dxa"/>
            <w:right w:w="15" w:type="dxa"/>
          </w:tblCellMar>
          <w:tblLook w:val="0000"/>
        </w:tblPrEx>
        <w:trPr>
          <w:tblHeader/>
          <w:jc w:val="center"/>
        </w:trPr>
        <w:tc>
          <w:tcPr>
            <w:tcW w:w="1472"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帮扶市</w:t>
            </w:r>
          </w:p>
        </w:tc>
        <w:tc>
          <w:tcPr>
            <w:tcW w:w="1827"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w:t>
            </w:r>
            <w:r>
              <w:rPr>
                <w:rFonts w:ascii="黑体" w:eastAsia="黑体" w:hAnsi="黑体" w:cs="黑体" w:hint="eastAsia"/>
                <w:color w:val="000000"/>
                <w:kern w:val="0"/>
                <w:szCs w:val="21"/>
                <w:lang w:bidi="ar"/>
              </w:rPr>
              <w:t>县数量</w:t>
            </w:r>
          </w:p>
        </w:tc>
        <w:tc>
          <w:tcPr>
            <w:tcW w:w="865" w:type="dxa"/>
            <w:vAlign w:val="center"/>
          </w:tcPr>
          <w:p w:rsidR="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C51219">
            <w:pPr>
              <w:spacing w:line="280" w:lineRule="exact"/>
              <w:jc w:val="center"/>
              <w:rPr>
                <w:rFonts w:ascii="仿宋_GB2312" w:eastAsia="仿宋_GB2312" w:hAnsi="仿宋_GB2312" w:cs="仿宋_GB2312"/>
                <w:color w:val="000000"/>
                <w:kern w:val="0"/>
                <w:sz w:val="18"/>
                <w:szCs w:val="18"/>
                <w:lang w:bidi="ar"/>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C51219">
            <w:pPr>
              <w:spacing w:line="280" w:lineRule="exact"/>
              <w:jc w:val="center"/>
              <w:rPr>
                <w:rFonts w:ascii="仿宋_GB2312" w:eastAsia="仿宋_GB2312" w:hAnsi="仿宋_GB2312" w:cs="仿宋_GB2312"/>
                <w:b/>
                <w:color w:val="000000"/>
                <w:kern w:val="0"/>
                <w:sz w:val="18"/>
                <w:szCs w:val="18"/>
                <w:lang w:bidi="ar"/>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30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岑</w:t>
            </w:r>
            <w:r>
              <w:rPr>
                <w:rFonts w:ascii="仿宋_GB2312" w:eastAsia="仿宋_GB2312" w:hAnsi="仿宋_GB2312" w:cs="仿宋_GB2312" w:hint="eastAsia"/>
                <w:color w:val="000000"/>
                <w:kern w:val="0"/>
                <w:sz w:val="18"/>
                <w:szCs w:val="18"/>
                <w:lang w:bidi="ar"/>
              </w:rPr>
              <w:t>巩县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C51219">
            <w:pPr>
              <w:spacing w:line="280" w:lineRule="exact"/>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pPr>
              <w:spacing w:line="280" w:lineRule="exact"/>
              <w:jc w:val="center"/>
              <w:rPr>
                <w:rFonts w:ascii="仿宋_GB2312" w:eastAsia="仿宋_GB2312" w:hAnsi="仿宋_GB2312" w:cs="仿宋_GB2312"/>
                <w:color w:val="000000"/>
                <w:kern w:val="0"/>
                <w:sz w:val="18"/>
                <w:szCs w:val="18"/>
                <w:lang w:bidi="ar"/>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restart"/>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color w:val="000000"/>
                <w:kern w:val="0"/>
                <w:sz w:val="18"/>
                <w:szCs w:val="18"/>
                <w:lang w:bidi="ar"/>
              </w:rPr>
            </w:pPr>
          </w:p>
        </w:tc>
      </w:tr>
      <w:tr>
        <w:tblPrEx>
          <w:tblW w:w="0" w:type="auto"/>
          <w:jc w:val="center"/>
          <w:tblLayout w:type="fixed"/>
          <w:tblCellMar>
            <w:top w:w="15" w:type="dxa"/>
            <w:left w:w="15" w:type="dxa"/>
            <w:bottom w:w="15" w:type="dxa"/>
            <w:right w:w="15" w:type="dxa"/>
          </w:tblCellMar>
          <w:tblLook w:val="0000"/>
        </w:tblPrEx>
        <w:trPr>
          <w:jc w:val="center"/>
        </w:trPr>
        <w:tc>
          <w:tcPr>
            <w:tcW w:w="1472"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tblPrEx>
          <w:tblW w:w="0" w:type="auto"/>
          <w:jc w:val="center"/>
          <w:tblLayout w:type="fixed"/>
          <w:tblCellMar>
            <w:top w:w="15" w:type="dxa"/>
            <w:left w:w="15" w:type="dxa"/>
            <w:bottom w:w="15" w:type="dxa"/>
            <w:right w:w="15" w:type="dxa"/>
          </w:tblCellMar>
          <w:tblLook w:val="0000"/>
        </w:tblPrEx>
        <w:trPr>
          <w:trHeight w:val="530"/>
          <w:jc w:val="center"/>
        </w:trPr>
        <w:tc>
          <w:tcPr>
            <w:tcW w:w="1472" w:type="dxa"/>
            <w:vAlign w:val="center"/>
          </w:tcPr>
          <w:p w:rsidR="00C51219">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C51219">
            <w:pPr>
              <w:spacing w:line="280" w:lineRule="exact"/>
              <w:jc w:val="center"/>
              <w:rPr>
                <w:rFonts w:ascii="仿宋_GB2312" w:eastAsia="仿宋_GB2312" w:hAnsi="仿宋_GB2312" w:cs="仿宋_GB2312"/>
                <w:b/>
                <w:color w:val="000000"/>
                <w:sz w:val="18"/>
                <w:szCs w:val="18"/>
              </w:rPr>
            </w:pPr>
          </w:p>
        </w:tc>
        <w:tc>
          <w:tcPr>
            <w:tcW w:w="1066" w:type="dxa"/>
            <w:vAlign w:val="center"/>
          </w:tcPr>
          <w:p w:rsidR="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C51219">
            <w:pPr>
              <w:spacing w:line="280" w:lineRule="exact"/>
              <w:jc w:val="center"/>
              <w:rPr>
                <w:rFonts w:ascii="仿宋_GB2312" w:eastAsia="仿宋_GB2312" w:hAnsi="仿宋_GB2312" w:cs="仿宋_GB2312"/>
                <w:b/>
                <w:color w:val="000000"/>
                <w:sz w:val="18"/>
                <w:szCs w:val="18"/>
              </w:rPr>
            </w:pPr>
          </w:p>
        </w:tc>
        <w:tc>
          <w:tcPr>
            <w:tcW w:w="865" w:type="dxa"/>
            <w:vAlign w:val="center"/>
          </w:tcPr>
          <w:p w:rsidR="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C51219">
      <w:pPr>
        <w:pStyle w:val="BodyText"/>
        <w:adjustRightInd w:val="0"/>
        <w:snapToGrid w:val="0"/>
        <w:spacing w:line="590" w:lineRule="exact"/>
        <w:rPr>
          <w:rFonts w:ascii="黑体" w:eastAsia="黑体" w:hAnsi="黑体" w:cs="黑体"/>
        </w:rPr>
      </w:pPr>
    </w:p>
    <w:p w:rsidR="00957CDD" w:rsidRPr="00957CDD">
      <w:pPr>
        <w:rPr>
          <w:rFonts w:ascii="仿宋_GB2312" w:eastAsia="仿宋_GB2312"/>
          <w:sz w:val="32"/>
          <w:szCs w:val="32"/>
        </w:rPr>
      </w:pPr>
    </w:p>
    <w:sectPr w:rsidSect="001752E4">
      <w:footerReference w:type="default" r:id="rId4"/>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5ED">
    <w:pPr>
      <w:pStyle w:val="BodyText"/>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width:2in;height:2in;margin-top:0;margin-left:278.4pt;mso-position-horizontal:outside;mso-position-horizontal-relative:margin;mso-wrap-style:none;position:absolute;z-index:251658240" filled="f" stroked="f">
          <v:textbox style="mso-fit-shape-to-text:t" inset="0,0,0,0">
            <w:txbxContent>
              <w:p w:rsidR="009E35ED">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2136A">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1752E4"/>
    <w:rsid w:val="00324090"/>
    <w:rsid w:val="005B091A"/>
    <w:rsid w:val="005B61C0"/>
    <w:rsid w:val="00957CDD"/>
    <w:rsid w:val="009E35ED"/>
    <w:rsid w:val="00B2136A"/>
    <w:rsid w:val="00C512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3">
    <w:name w:val="heading 3"/>
    <w:basedOn w:val="Normal"/>
    <w:next w:val="Normal"/>
    <w:link w:val="3Char"/>
    <w:qFormat/>
    <w:rsid w:val="00C51219"/>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C51219"/>
    <w:rPr>
      <w:kern w:val="2"/>
      <w:sz w:val="18"/>
      <w:szCs w:val="18"/>
    </w:rPr>
  </w:style>
  <w:style w:type="paragraph" w:styleId="Footer">
    <w:name w:val="footer"/>
    <w:basedOn w:val="Normal"/>
    <w:link w:val="Char0"/>
    <w:rsid w:val="00C51219"/>
    <w:pPr>
      <w:tabs>
        <w:tab w:val="center" w:pos="4153"/>
        <w:tab w:val="right" w:pos="8306"/>
      </w:tabs>
      <w:snapToGrid w:val="0"/>
      <w:jc w:val="left"/>
    </w:pPr>
    <w:rPr>
      <w:sz w:val="18"/>
      <w:szCs w:val="18"/>
    </w:rPr>
  </w:style>
  <w:style w:type="character" w:customStyle="1" w:styleId="Char0">
    <w:name w:val="页脚 Char"/>
    <w:basedOn w:val="DefaultParagraphFont"/>
    <w:link w:val="Footer"/>
    <w:rsid w:val="00C51219"/>
    <w:rPr>
      <w:kern w:val="2"/>
      <w:sz w:val="18"/>
      <w:szCs w:val="18"/>
    </w:rPr>
  </w:style>
  <w:style w:type="character" w:customStyle="1" w:styleId="3Char">
    <w:name w:val="标题 3 Char"/>
    <w:basedOn w:val="DefaultParagraphFont"/>
    <w:link w:val="Heading3"/>
    <w:rsid w:val="00C51219"/>
    <w:rPr>
      <w:b/>
      <w:kern w:val="2"/>
      <w:sz w:val="32"/>
      <w:szCs w:val="24"/>
    </w:rPr>
  </w:style>
  <w:style w:type="paragraph" w:styleId="BodyText">
    <w:name w:val="Body Text"/>
    <w:basedOn w:val="Normal"/>
    <w:next w:val="TOC5"/>
    <w:link w:val="Char1"/>
    <w:qFormat/>
    <w:rsid w:val="00C51219"/>
    <w:rPr>
      <w:rFonts w:ascii="宋体" w:hAnsi="宋体" w:cs="宋体"/>
      <w:sz w:val="32"/>
      <w:szCs w:val="32"/>
    </w:rPr>
  </w:style>
  <w:style w:type="character" w:customStyle="1" w:styleId="Char1">
    <w:name w:val="正文文本 Char"/>
    <w:basedOn w:val="DefaultParagraphFont"/>
    <w:link w:val="BodyText"/>
    <w:rsid w:val="00C51219"/>
    <w:rPr>
      <w:rFonts w:ascii="宋体" w:hAnsi="宋体" w:cs="宋体"/>
      <w:kern w:val="2"/>
      <w:sz w:val="32"/>
      <w:szCs w:val="32"/>
    </w:rPr>
  </w:style>
  <w:style w:type="paragraph" w:styleId="TOC5">
    <w:name w:val="toc 5"/>
    <w:basedOn w:val="Normal"/>
    <w:next w:val="Normal"/>
    <w:autoRedefine/>
    <w:rsid w:val="00C51219"/>
    <w:pPr>
      <w:ind w:left="1680" w:leftChars="800"/>
    </w:pPr>
  </w:style>
  <w:style w:type="paragraph" w:styleId="BalloonText">
    <w:name w:val="Balloon Text"/>
    <w:basedOn w:val="Normal"/>
    <w:link w:val="Char2"/>
    <w:rsid w:val="001752E4"/>
    <w:rPr>
      <w:sz w:val="18"/>
      <w:szCs w:val="18"/>
    </w:rPr>
  </w:style>
  <w:style w:type="character" w:customStyle="1" w:styleId="Char2">
    <w:name w:val="批注框文本 Char"/>
    <w:basedOn w:val="DefaultParagraphFont"/>
    <w:link w:val="BalloonText"/>
    <w:rsid w:val="001752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307</Words>
  <Characters>1751</Characters>
  <Application>Microsoft Office Word</Application>
  <DocSecurity>0</DocSecurity>
  <Lines>14</Lines>
  <Paragraphs>4</Paragraphs>
  <ScaleCrop>false</ScaleCrop>
  <Company>WwW.YlmF.CoM</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区翠梅</cp:lastModifiedBy>
  <cp:revision>5</cp:revision>
  <dcterms:created xsi:type="dcterms:W3CDTF">2015-11-06T06:44:00Z</dcterms:created>
  <dcterms:modified xsi:type="dcterms:W3CDTF">2024-02-04T06:43:00Z</dcterms:modified>
</cp:coreProperties>
</file>