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2023年第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  <w:lang w:eastAsia="zh-CN"/>
        </w:rPr>
        <w:t>四</w:t>
      </w: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季度江门市地表水市考断面水质数据</w:t>
      </w:r>
    </w:p>
    <w:tbl>
      <w:tblPr>
        <w:tblStyle w:val="3"/>
        <w:tblW w:w="142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135"/>
        <w:gridCol w:w="1701"/>
        <w:gridCol w:w="1842"/>
        <w:gridCol w:w="946"/>
        <w:gridCol w:w="946"/>
        <w:gridCol w:w="946"/>
        <w:gridCol w:w="1559"/>
        <w:gridCol w:w="1559"/>
        <w:gridCol w:w="1932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行政区</w:t>
            </w:r>
          </w:p>
        </w:tc>
        <w:tc>
          <w:tcPr>
            <w:tcW w:w="1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河流名称</w:t>
            </w:r>
          </w:p>
        </w:tc>
        <w:tc>
          <w:tcPr>
            <w:tcW w:w="18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断面名称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水质目标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水质现状</w:t>
            </w:r>
          </w:p>
        </w:tc>
        <w:tc>
          <w:tcPr>
            <w:tcW w:w="9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污染指数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上年同期污染指数</w:t>
            </w:r>
          </w:p>
        </w:tc>
        <w:tc>
          <w:tcPr>
            <w:tcW w:w="1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污染指数改善率(%)</w:t>
            </w:r>
          </w:p>
        </w:tc>
        <w:tc>
          <w:tcPr>
            <w:tcW w:w="1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主要污染物及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超标倍数</w:t>
            </w:r>
          </w:p>
        </w:tc>
        <w:tc>
          <w:tcPr>
            <w:tcW w:w="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蓬江区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横江河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横江水闸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1.71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24.56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荷塘中心河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南格水闸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1.57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-4.67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天沙河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6.12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天沙河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白石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-25.85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江海区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石洲河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石洲水闸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2.31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-38.32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马鬃沙河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番薯冲桥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2.06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-1.98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礼乐河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大洋沙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-10.77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中路河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横海南水闸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0.88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0.83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-6.02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新会区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沙冲河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黄鱼窖口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1.91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15.86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田金河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龙舟湖公园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2.54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-2.83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天湖水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冲邓村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1.84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-14.67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会城河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工业大道桥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1.55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-5.16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下沙河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濠冲桥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2.74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3.09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11.33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台山市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新昌水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降冲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2.24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2.23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-0.45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公益水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口坤辉桥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2.51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3.98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台山市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深井水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犸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咀码头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-7.1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大隆洞河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广发大桥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3.80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2.78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-36.61 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白沙水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*大安里桥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19.4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开平市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蚬冈水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蚬冈桥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2.76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3.14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12.1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镇海水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交流渡大桥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-11.95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新桥水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水口桥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1.27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-32.28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白沙水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*大安里桥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2.16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2.68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19.4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鹤山市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宅梧河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新塘桥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2.53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-13.44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址山河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游谊桥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1.85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1.93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4.15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沙冲河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为民桥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2.02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16.18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田金河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潮透水闸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1.77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9.6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恩平市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莲塘水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浦桥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2.92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2.81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-3.91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朗底水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新安村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2.42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2.37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-2.11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公仔河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南堤东路桥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1.32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3.03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良西河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吉安水闸桥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Ⅱ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1.69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1.87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9.63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1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琅哥河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潢步头林场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3.29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3.41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3.52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hint="default" w:ascii="Times New Roman" w:hAnsi="Times New Roman" w:eastAsia="仿宋_GB2312" w:cs="Times New Roman"/>
          <w:spacing w:val="-1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8"/>
          <w:sz w:val="28"/>
          <w:szCs w:val="28"/>
        </w:rPr>
        <w:t>备注：1、带﹡断面为跨界共考断面。</w:t>
      </w:r>
    </w:p>
    <w:p>
      <w:pPr>
        <w:spacing w:line="400" w:lineRule="exact"/>
        <w:ind w:firstLine="732" w:firstLineChars="300"/>
      </w:pPr>
      <w:r>
        <w:rPr>
          <w:rFonts w:hint="default" w:ascii="Times New Roman" w:hAnsi="Times New Roman" w:eastAsia="仿宋_GB2312" w:cs="Times New Roman"/>
          <w:spacing w:val="-18"/>
          <w:sz w:val="28"/>
          <w:szCs w:val="28"/>
        </w:rPr>
        <w:t>2、标黄表示污染指数同比变差。</w:t>
      </w:r>
      <w:bookmarkStart w:id="0" w:name="_GoBack"/>
      <w:bookmarkEnd w:id="0"/>
    </w:p>
    <w:sectPr>
      <w:pgSz w:w="16838" w:h="11906" w:orient="landscape"/>
      <w:pgMar w:top="1701" w:right="1440" w:bottom="1701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0BF1"/>
    <w:rsid w:val="20E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2024-01-17T07:47:00Z</dcterms:created>
  <dc:creator>李耀明</dc:creator>
  <cp:lastModifiedBy>李耀明</cp:lastModifiedBy>
  <dcterms:modified xsi:type="dcterms:W3CDTF">2024-01-17T07:47:51Z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