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afterLines="0" w:line="560" w:lineRule="exact"/>
        <w:jc w:val="center"/>
        <w:rPr>
          <w:rFonts w:hint="default" w:ascii="Times New Roman" w:hAnsi="Times New Roman" w:eastAsia="方正小标宋_GBK" w:cs="Times New Roman"/>
          <w:bCs/>
          <w:color w:val="000000"/>
          <w:kern w:val="0"/>
          <w:sz w:val="36"/>
          <w:szCs w:val="36"/>
        </w:rPr>
      </w:pPr>
      <w:bookmarkStart w:id="0" w:name="_GoBack"/>
      <w:r>
        <w:rPr>
          <w:rFonts w:hint="default" w:ascii="Times New Roman" w:hAnsi="Times New Roman" w:eastAsia="方正小标宋_GBK" w:cs="Times New Roman"/>
          <w:bCs/>
          <w:color w:val="000000"/>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-765175</wp:posOffset>
                </wp:positionH>
                <wp:positionV relativeFrom="paragraph">
                  <wp:posOffset>-627380</wp:posOffset>
                </wp:positionV>
                <wp:extent cx="800100" cy="46672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800100" cy="4667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eastAsia="黑体"/>
                                <w:sz w:val="32"/>
                                <w:szCs w:val="32"/>
                              </w:rPr>
                            </w:pPr>
                            <w:r>
                              <w:rPr>
                                <w:rFonts w:eastAsia="黑体"/>
                                <w:sz w:val="32"/>
                                <w:szCs w:val="32"/>
                              </w:rPr>
                              <w:t>附件1</w:t>
                            </w:r>
                          </w:p>
                        </w:txbxContent>
                      </wps:txbx>
                      <wps:bodyPr upright="1"/>
                    </wps:wsp>
                  </a:graphicData>
                </a:graphic>
              </wp:anchor>
            </w:drawing>
          </mc:Choice>
          <mc:Fallback>
            <w:pict>
              <v:shape id="_x0000_s1026" o:spid="_x0000_s1026" o:spt="202" type="#_x0000_t202" style="position:absolute;left:0pt;margin-left:-60.25pt;margin-top:-49.4pt;height:36.75pt;width:63pt;z-index:251659264;mso-width-relative:page;mso-height-relative:page;" stroked="t" coordsize="21600,21600" o:gfxdata="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BxEDTX&#10;AAAACgEAAA8AAAAAAAAAAQAgAAAAIgAAAGRycy9kb3ducmV2LnhtbFBLAQIUABQAAAAIAIdO4kAB&#10;KISt6AEAAOcDAAAOAAAAAAAAAAEAIAAAACYBAABkcnMvZTJvRG9jLnhtbFBLBQYAAAAABgAGAFkB&#10;AACABQAAAAA=&#10;">
                <v:path/>
                <v:fill focussize="0,0"/>
                <v:stroke color="#FFFFFF"/>
                <v:imagedata o:title=""/>
                <o:lock v:ext="edit"/>
                <v:textbox>
                  <w:txbxContent>
                    <w:p>
                      <w:pPr>
                        <w:rPr>
                          <w:rFonts w:eastAsia="黑体"/>
                          <w:sz w:val="32"/>
                          <w:szCs w:val="32"/>
                        </w:rPr>
                      </w:pPr>
                      <w:r>
                        <w:rPr>
                          <w:rFonts w:eastAsia="黑体"/>
                          <w:sz w:val="32"/>
                          <w:szCs w:val="32"/>
                        </w:rPr>
                        <w:t>附件1</w:t>
                      </w:r>
                    </w:p>
                  </w:txbxContent>
                </v:textbox>
              </v:shape>
            </w:pict>
          </mc:Fallback>
        </mc:AlternateContent>
      </w:r>
      <w:r>
        <w:rPr>
          <w:rFonts w:hint="default" w:ascii="Times New Roman" w:hAnsi="Times New Roman" w:eastAsia="方正小标宋_GBK" w:cs="Times New Roman"/>
          <w:bCs/>
          <w:color w:val="000000"/>
          <w:kern w:val="0"/>
          <w:sz w:val="36"/>
          <w:szCs w:val="36"/>
        </w:rPr>
        <w:t>202</w:t>
      </w:r>
      <w:r>
        <w:rPr>
          <w:rFonts w:hint="default" w:ascii="Times New Roman" w:hAnsi="Times New Roman" w:eastAsia="方正小标宋_GBK" w:cs="Times New Roman"/>
          <w:bCs/>
          <w:color w:val="000000"/>
          <w:kern w:val="0"/>
          <w:sz w:val="36"/>
          <w:szCs w:val="36"/>
          <w:lang w:val="en-US" w:eastAsia="zh-CN"/>
        </w:rPr>
        <w:t>3</w:t>
      </w:r>
      <w:r>
        <w:rPr>
          <w:rFonts w:hint="default" w:ascii="Times New Roman" w:hAnsi="Times New Roman" w:eastAsia="方正小标宋_GBK" w:cs="Times New Roman"/>
          <w:bCs/>
          <w:color w:val="000000"/>
          <w:kern w:val="0"/>
          <w:sz w:val="36"/>
          <w:szCs w:val="36"/>
        </w:rPr>
        <w:t>年第</w:t>
      </w:r>
      <w:r>
        <w:rPr>
          <w:rFonts w:hint="default" w:ascii="Times New Roman" w:hAnsi="Times New Roman" w:eastAsia="方正小标宋_GBK" w:cs="Times New Roman"/>
          <w:bCs/>
          <w:color w:val="000000"/>
          <w:kern w:val="0"/>
          <w:sz w:val="36"/>
          <w:szCs w:val="36"/>
          <w:lang w:eastAsia="zh-CN"/>
        </w:rPr>
        <w:t>四</w:t>
      </w:r>
      <w:r>
        <w:rPr>
          <w:rFonts w:hint="default" w:ascii="Times New Roman" w:hAnsi="Times New Roman" w:eastAsia="方正小标宋_GBK" w:cs="Times New Roman"/>
          <w:bCs/>
          <w:color w:val="000000"/>
          <w:kern w:val="0"/>
          <w:sz w:val="36"/>
          <w:szCs w:val="36"/>
        </w:rPr>
        <w:t>季度各县（市、区）生态环境保护“一岗双责”责任制考核得分表</w:t>
      </w:r>
      <w:bookmarkEnd w:id="0"/>
    </w:p>
    <w:tbl>
      <w:tblPr>
        <w:tblStyle w:val="4"/>
        <w:tblW w:w="15961" w:type="dxa"/>
        <w:jc w:val="center"/>
        <w:tblInd w:w="0" w:type="dxa"/>
        <w:tblLayout w:type="fixed"/>
        <w:tblCellMar>
          <w:top w:w="0" w:type="dxa"/>
          <w:left w:w="108" w:type="dxa"/>
          <w:bottom w:w="0" w:type="dxa"/>
          <w:right w:w="108" w:type="dxa"/>
        </w:tblCellMar>
      </w:tblPr>
      <w:tblGrid>
        <w:gridCol w:w="510"/>
        <w:gridCol w:w="1056"/>
        <w:gridCol w:w="4148"/>
        <w:gridCol w:w="567"/>
        <w:gridCol w:w="1382"/>
        <w:gridCol w:w="1383"/>
        <w:gridCol w:w="1383"/>
        <w:gridCol w:w="1383"/>
        <w:gridCol w:w="1383"/>
        <w:gridCol w:w="1383"/>
        <w:gridCol w:w="1383"/>
      </w:tblGrid>
      <w:tr>
        <w:tblPrEx>
          <w:tblLayout w:type="fixed"/>
          <w:tblCellMar>
            <w:top w:w="0" w:type="dxa"/>
            <w:left w:w="108" w:type="dxa"/>
            <w:bottom w:w="0" w:type="dxa"/>
            <w:right w:w="108" w:type="dxa"/>
          </w:tblCellMar>
        </w:tblPrEx>
        <w:trPr>
          <w:trHeight w:val="693" w:hRule="atLeast"/>
          <w:tblHeader/>
          <w:jc w:val="center"/>
        </w:trPr>
        <w:tc>
          <w:tcPr>
            <w:tcW w:w="510" w:type="dxa"/>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序号</w:t>
            </w:r>
          </w:p>
        </w:tc>
        <w:tc>
          <w:tcPr>
            <w:tcW w:w="1056"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指标</w:t>
            </w:r>
          </w:p>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类别</w:t>
            </w:r>
          </w:p>
        </w:tc>
        <w:tc>
          <w:tcPr>
            <w:tcW w:w="4148"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考核内容</w:t>
            </w:r>
          </w:p>
        </w:tc>
        <w:tc>
          <w:tcPr>
            <w:tcW w:w="567"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权重</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蓬江区</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江海区</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新会区</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台山市</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开平市</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鹤山市</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恩平市</w:t>
            </w:r>
          </w:p>
        </w:tc>
      </w:tr>
      <w:tr>
        <w:tblPrEx>
          <w:tblLayout w:type="fixed"/>
          <w:tblCellMar>
            <w:top w:w="0" w:type="dxa"/>
            <w:left w:w="108" w:type="dxa"/>
            <w:bottom w:w="0" w:type="dxa"/>
            <w:right w:w="108" w:type="dxa"/>
          </w:tblCellMar>
        </w:tblPrEx>
        <w:trPr>
          <w:trHeight w:val="680" w:hRule="atLeast"/>
          <w:jc w:val="center"/>
        </w:trPr>
        <w:tc>
          <w:tcPr>
            <w:tcW w:w="6281" w:type="dxa"/>
            <w:gridSpan w:val="4"/>
            <w:tcBorders>
              <w:top w:val="single" w:color="auto" w:sz="8" w:space="0"/>
              <w:left w:val="single" w:color="auto" w:sz="8" w:space="0"/>
              <w:bottom w:val="single" w:color="auto" w:sz="8" w:space="0"/>
              <w:right w:val="single" w:color="000000"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eastAsia="zh-CN"/>
              </w:rPr>
            </w:pPr>
            <w:r>
              <w:rPr>
                <w:rFonts w:hint="default" w:ascii="Times New Roman" w:hAnsi="Times New Roman" w:eastAsia="仿宋_GB2312" w:cs="Times New Roman"/>
                <w:b/>
                <w:bCs/>
                <w:color w:val="000000"/>
                <w:kern w:val="0"/>
                <w:sz w:val="28"/>
                <w:szCs w:val="28"/>
              </w:rPr>
              <w:t>总  分（百分制折算分）</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rPr>
            </w:pPr>
            <w:r>
              <w:rPr>
                <w:rFonts w:hint="default" w:ascii="Times New Roman" w:hAnsi="Times New Roman" w:eastAsia="仿宋_GB2312" w:cs="Times New Roman"/>
                <w:b/>
                <w:bCs/>
                <w:color w:val="000000"/>
                <w:kern w:val="0"/>
                <w:sz w:val="28"/>
                <w:szCs w:val="28"/>
                <w:lang w:val="en-US" w:eastAsia="zh-CN"/>
              </w:rPr>
              <w:t>67.72</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67.44</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70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80.26</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69.</w:t>
            </w:r>
            <w:r>
              <w:rPr>
                <w:rFonts w:hint="eastAsia" w:ascii="Times New Roman" w:hAnsi="Times New Roman" w:eastAsia="仿宋_GB2312" w:cs="Times New Roman"/>
                <w:b/>
                <w:bCs/>
                <w:color w:val="000000"/>
                <w:kern w:val="0"/>
                <w:sz w:val="28"/>
                <w:szCs w:val="28"/>
                <w:lang w:val="en-US" w:eastAsia="zh-CN" w:bidi="ar-SA"/>
              </w:rPr>
              <w:t>8</w:t>
            </w:r>
            <w:r>
              <w:rPr>
                <w:rFonts w:hint="default" w:ascii="Times New Roman" w:hAnsi="Times New Roman" w:eastAsia="仿宋_GB2312" w:cs="Times New Roman"/>
                <w:b/>
                <w:bCs/>
                <w:color w:val="000000"/>
                <w:kern w:val="0"/>
                <w:sz w:val="28"/>
                <w:szCs w:val="28"/>
                <w:lang w:val="en-US" w:eastAsia="zh-CN" w:bidi="ar-SA"/>
              </w:rPr>
              <w:t>8</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70.88</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70.44</w:t>
            </w:r>
          </w:p>
        </w:tc>
      </w:tr>
      <w:tr>
        <w:tblPrEx>
          <w:tblLayout w:type="fixed"/>
          <w:tblCellMar>
            <w:top w:w="0" w:type="dxa"/>
            <w:left w:w="108" w:type="dxa"/>
            <w:bottom w:w="0" w:type="dxa"/>
            <w:right w:w="108" w:type="dxa"/>
          </w:tblCellMar>
        </w:tblPrEx>
        <w:trPr>
          <w:trHeight w:val="680" w:hRule="atLeast"/>
          <w:jc w:val="center"/>
        </w:trPr>
        <w:tc>
          <w:tcPr>
            <w:tcW w:w="6281" w:type="dxa"/>
            <w:gridSpan w:val="4"/>
            <w:tcBorders>
              <w:top w:val="single" w:color="auto" w:sz="8" w:space="0"/>
              <w:left w:val="single" w:color="auto" w:sz="8" w:space="0"/>
              <w:bottom w:val="single" w:color="auto" w:sz="8" w:space="0"/>
              <w:right w:val="single" w:color="000000"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eastAsia="zh-CN"/>
              </w:rPr>
            </w:pPr>
            <w:r>
              <w:rPr>
                <w:rFonts w:hint="default" w:ascii="Times New Roman" w:hAnsi="Times New Roman" w:eastAsia="仿宋_GB2312" w:cs="Times New Roman"/>
                <w:b/>
                <w:bCs/>
                <w:color w:val="000000"/>
                <w:kern w:val="0"/>
                <w:sz w:val="28"/>
                <w:szCs w:val="28"/>
                <w:lang w:eastAsia="zh-CN"/>
              </w:rPr>
              <w:t>排名</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rPr>
            </w:pPr>
            <w:r>
              <w:rPr>
                <w:rFonts w:hint="default" w:ascii="Times New Roman" w:hAnsi="Times New Roman" w:eastAsia="仿宋_GB2312" w:cs="Times New Roman"/>
                <w:b/>
                <w:bCs/>
                <w:color w:val="000000"/>
                <w:kern w:val="0"/>
                <w:sz w:val="28"/>
                <w:szCs w:val="28"/>
                <w:lang w:val="en-US" w:eastAsia="zh-CN"/>
              </w:rPr>
              <w:t>6</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7</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4</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w:t>
            </w:r>
          </w:p>
        </w:tc>
      </w:tr>
      <w:tr>
        <w:tblPrEx>
          <w:tblLayout w:type="fixed"/>
          <w:tblCellMar>
            <w:top w:w="0" w:type="dxa"/>
            <w:left w:w="108" w:type="dxa"/>
            <w:bottom w:w="0" w:type="dxa"/>
            <w:right w:w="108" w:type="dxa"/>
          </w:tblCellMar>
        </w:tblPrEx>
        <w:trPr>
          <w:trHeight w:val="567" w:hRule="atLeast"/>
          <w:jc w:val="center"/>
        </w:trPr>
        <w:tc>
          <w:tcPr>
            <w:tcW w:w="510" w:type="dxa"/>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p>
        </w:tc>
        <w:tc>
          <w:tcPr>
            <w:tcW w:w="1056"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环境空气质量季度目标（25）</w:t>
            </w:r>
          </w:p>
        </w:tc>
        <w:tc>
          <w:tcPr>
            <w:tcW w:w="4148"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优良天数比率（AQI达标率）</w:t>
            </w:r>
          </w:p>
        </w:tc>
        <w:tc>
          <w:tcPr>
            <w:tcW w:w="567"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rPr>
            </w:pPr>
            <w:r>
              <w:rPr>
                <w:rFonts w:hint="default" w:ascii="Times New Roman" w:hAnsi="Times New Roman" w:eastAsia="仿宋_GB2312" w:cs="Times New Roman"/>
                <w:b w:val="0"/>
                <w:bCs w:val="0"/>
                <w:color w:val="000000"/>
                <w:kern w:val="0"/>
                <w:sz w:val="28"/>
                <w:szCs w:val="28"/>
                <w:lang w:val="en-US" w:eastAsia="zh-CN"/>
              </w:rPr>
              <w:t>9.36</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9.34</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9.78</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10.44</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10.44</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10.22</w:t>
            </w:r>
          </w:p>
        </w:tc>
      </w:tr>
      <w:tr>
        <w:tblPrEx>
          <w:tblLayout w:type="fixed"/>
          <w:tblCellMar>
            <w:top w:w="0" w:type="dxa"/>
            <w:left w:w="108" w:type="dxa"/>
            <w:bottom w:w="0" w:type="dxa"/>
            <w:right w:w="108" w:type="dxa"/>
          </w:tblCellMar>
        </w:tblPrEx>
        <w:trPr>
          <w:trHeight w:val="567" w:hRule="atLeast"/>
          <w:jc w:val="center"/>
        </w:trPr>
        <w:tc>
          <w:tcPr>
            <w:tcW w:w="510" w:type="dxa"/>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p>
        </w:tc>
        <w:tc>
          <w:tcPr>
            <w:tcW w:w="105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p>
        </w:tc>
        <w:tc>
          <w:tcPr>
            <w:tcW w:w="4148"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PM</w:t>
            </w:r>
            <w:r>
              <w:rPr>
                <w:rFonts w:hint="default" w:ascii="Times New Roman" w:hAnsi="Times New Roman" w:eastAsia="仿宋_GB2312" w:cs="Times New Roman"/>
                <w:color w:val="000000"/>
                <w:kern w:val="0"/>
                <w:sz w:val="28"/>
                <w:szCs w:val="28"/>
                <w:vertAlign w:val="subscript"/>
              </w:rPr>
              <w:t>2.5</w:t>
            </w:r>
            <w:r>
              <w:rPr>
                <w:rFonts w:hint="default" w:ascii="Times New Roman" w:hAnsi="Times New Roman" w:eastAsia="仿宋_GB2312" w:cs="Times New Roman"/>
                <w:color w:val="000000"/>
                <w:kern w:val="0"/>
                <w:sz w:val="28"/>
                <w:szCs w:val="28"/>
              </w:rPr>
              <w:t>达标（改善）情况</w:t>
            </w:r>
          </w:p>
        </w:tc>
        <w:tc>
          <w:tcPr>
            <w:tcW w:w="567"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6.5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0</w:t>
            </w:r>
          </w:p>
        </w:tc>
      </w:tr>
      <w:tr>
        <w:tblPrEx>
          <w:tblLayout w:type="fixed"/>
          <w:tblCellMar>
            <w:top w:w="0" w:type="dxa"/>
            <w:left w:w="108" w:type="dxa"/>
            <w:bottom w:w="0" w:type="dxa"/>
            <w:right w:w="108" w:type="dxa"/>
          </w:tblCellMar>
        </w:tblPrEx>
        <w:trPr>
          <w:trHeight w:val="680" w:hRule="atLeast"/>
          <w:jc w:val="center"/>
        </w:trPr>
        <w:tc>
          <w:tcPr>
            <w:tcW w:w="6281" w:type="dxa"/>
            <w:gridSpan w:val="4"/>
            <w:tcBorders>
              <w:top w:val="single" w:color="auto" w:sz="8" w:space="0"/>
              <w:left w:val="single" w:color="auto" w:sz="8" w:space="0"/>
              <w:bottom w:val="single" w:color="auto" w:sz="8" w:space="0"/>
              <w:right w:val="single" w:color="000000"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环境空气质量季度考核得分（排名）</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rPr>
              <w:t>9.36（6）</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9.34（7）</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10（5）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16.28（1）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10.44（2）</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10.44（2）</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10.22（4）</w:t>
            </w:r>
          </w:p>
        </w:tc>
      </w:tr>
      <w:tr>
        <w:tblPrEx>
          <w:tblLayout w:type="fixed"/>
          <w:tblCellMar>
            <w:top w:w="0" w:type="dxa"/>
            <w:left w:w="108" w:type="dxa"/>
            <w:bottom w:w="0" w:type="dxa"/>
            <w:right w:w="108" w:type="dxa"/>
          </w:tblCellMar>
        </w:tblPrEx>
        <w:trPr>
          <w:trHeight w:val="680" w:hRule="atLeast"/>
          <w:jc w:val="center"/>
        </w:trPr>
        <w:tc>
          <w:tcPr>
            <w:tcW w:w="510" w:type="dxa"/>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p>
        </w:tc>
        <w:tc>
          <w:tcPr>
            <w:tcW w:w="1056"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水环境质量季度目标（25）</w:t>
            </w:r>
          </w:p>
        </w:tc>
        <w:tc>
          <w:tcPr>
            <w:tcW w:w="4148"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饮用水水源水质达标情况</w:t>
            </w:r>
          </w:p>
        </w:tc>
        <w:tc>
          <w:tcPr>
            <w:tcW w:w="567"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rPr>
              <w:t>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rPr>
              <w:t>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rPr>
              <w:t>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rPr>
              <w:t>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rPr>
              <w:t>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rPr>
              <w:t>5</w:t>
            </w:r>
          </w:p>
        </w:tc>
      </w:tr>
      <w:tr>
        <w:tblPrEx>
          <w:tblLayout w:type="fixed"/>
          <w:tblCellMar>
            <w:top w:w="0" w:type="dxa"/>
            <w:left w:w="108" w:type="dxa"/>
            <w:bottom w:w="0" w:type="dxa"/>
            <w:right w:w="108" w:type="dxa"/>
          </w:tblCellMar>
        </w:tblPrEx>
        <w:trPr>
          <w:trHeight w:val="680" w:hRule="atLeast"/>
          <w:jc w:val="center"/>
        </w:trPr>
        <w:tc>
          <w:tcPr>
            <w:tcW w:w="510" w:type="dxa"/>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p>
        </w:tc>
        <w:tc>
          <w:tcPr>
            <w:tcW w:w="105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p>
        </w:tc>
        <w:tc>
          <w:tcPr>
            <w:tcW w:w="4148"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地表水国考、省考断面水质</w:t>
            </w:r>
          </w:p>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达标/优良情况</w:t>
            </w:r>
          </w:p>
        </w:tc>
        <w:tc>
          <w:tcPr>
            <w:tcW w:w="567"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r>
      <w:tr>
        <w:tblPrEx>
          <w:tblLayout w:type="fixed"/>
          <w:tblCellMar>
            <w:top w:w="0" w:type="dxa"/>
            <w:left w:w="108" w:type="dxa"/>
            <w:bottom w:w="0" w:type="dxa"/>
            <w:right w:w="108" w:type="dxa"/>
          </w:tblCellMar>
        </w:tblPrEx>
        <w:trPr>
          <w:trHeight w:val="680" w:hRule="atLeast"/>
          <w:jc w:val="center"/>
        </w:trPr>
        <w:tc>
          <w:tcPr>
            <w:tcW w:w="510" w:type="dxa"/>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p>
        </w:tc>
        <w:tc>
          <w:tcPr>
            <w:tcW w:w="105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p>
        </w:tc>
        <w:tc>
          <w:tcPr>
            <w:tcW w:w="4148"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地表水市考断面水质达标（改善）情况</w:t>
            </w:r>
          </w:p>
        </w:tc>
        <w:tc>
          <w:tcPr>
            <w:tcW w:w="567"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9.50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9.50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9.60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val="0"/>
                <w:bCs w:val="0"/>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10</w:t>
            </w:r>
          </w:p>
        </w:tc>
      </w:tr>
      <w:tr>
        <w:tblPrEx>
          <w:tblLayout w:type="fixed"/>
          <w:tblCellMar>
            <w:top w:w="0" w:type="dxa"/>
            <w:left w:w="108" w:type="dxa"/>
            <w:bottom w:w="0" w:type="dxa"/>
            <w:right w:w="108" w:type="dxa"/>
          </w:tblCellMar>
        </w:tblPrEx>
        <w:trPr>
          <w:trHeight w:val="680" w:hRule="atLeast"/>
          <w:jc w:val="center"/>
        </w:trPr>
        <w:tc>
          <w:tcPr>
            <w:tcW w:w="6281" w:type="dxa"/>
            <w:gridSpan w:val="4"/>
            <w:tcBorders>
              <w:top w:val="single" w:color="auto" w:sz="8" w:space="0"/>
              <w:left w:val="single" w:color="auto" w:sz="8" w:space="0"/>
              <w:bottom w:val="single" w:color="auto" w:sz="8" w:space="0"/>
              <w:right w:val="single" w:color="000000"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水环境质量季度考核得分（排名）</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24.50（6）</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24.38（7）</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25（1）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24.60（5）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25（1）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25（1）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25（1）</w:t>
            </w:r>
          </w:p>
        </w:tc>
      </w:tr>
      <w:tr>
        <w:tblPrEx>
          <w:tblLayout w:type="fixed"/>
          <w:tblCellMar>
            <w:top w:w="0" w:type="dxa"/>
            <w:left w:w="108" w:type="dxa"/>
            <w:bottom w:w="0" w:type="dxa"/>
            <w:right w:w="108" w:type="dxa"/>
          </w:tblCellMar>
        </w:tblPrEx>
        <w:trPr>
          <w:trHeight w:val="680" w:hRule="atLeast"/>
          <w:jc w:val="center"/>
        </w:trPr>
        <w:tc>
          <w:tcPr>
            <w:tcW w:w="6281" w:type="dxa"/>
            <w:gridSpan w:val="4"/>
            <w:tcBorders>
              <w:top w:val="single" w:color="auto" w:sz="8" w:space="0"/>
              <w:left w:val="single" w:color="auto" w:sz="8" w:space="0"/>
              <w:bottom w:val="single" w:color="auto" w:sz="8" w:space="0"/>
              <w:right w:val="single" w:color="000000"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环境质量季度目标得分（排名）</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33.86</w:t>
            </w:r>
            <w:r>
              <w:rPr>
                <w:rFonts w:hint="default" w:ascii="Times New Roman" w:hAnsi="Times New Roman" w:eastAsia="仿宋_GB2312" w:cs="Times New Roman"/>
                <w:b/>
                <w:bCs/>
                <w:color w:val="000000"/>
                <w:kern w:val="0"/>
                <w:sz w:val="28"/>
                <w:szCs w:val="28"/>
                <w:lang w:val="en-US" w:eastAsia="zh-CN"/>
              </w:rPr>
              <w:t>（6）</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33.72（7）</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35（5）</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40.88（1）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35.44（2）</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35.44（2）</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35.22（4）</w:t>
            </w:r>
          </w:p>
        </w:tc>
      </w:tr>
      <w:tr>
        <w:tblPrEx>
          <w:tblLayout w:type="fixed"/>
          <w:tblCellMar>
            <w:top w:w="0" w:type="dxa"/>
            <w:left w:w="108" w:type="dxa"/>
            <w:bottom w:w="0" w:type="dxa"/>
            <w:right w:w="108" w:type="dxa"/>
          </w:tblCellMar>
        </w:tblPrEx>
        <w:trPr>
          <w:trHeight w:val="680" w:hRule="atLeast"/>
          <w:jc w:val="center"/>
        </w:trPr>
        <w:tc>
          <w:tcPr>
            <w:tcW w:w="6281" w:type="dxa"/>
            <w:gridSpan w:val="4"/>
            <w:vMerge w:val="restart"/>
            <w:tcBorders>
              <w:top w:val="single" w:color="auto" w:sz="8" w:space="0"/>
              <w:left w:val="single" w:color="auto" w:sz="8" w:space="0"/>
              <w:right w:val="single" w:color="000000"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扣分项</w:t>
            </w:r>
          </w:p>
        </w:tc>
        <w:tc>
          <w:tcPr>
            <w:tcW w:w="1382"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-1.50</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SA"/>
              </w:rPr>
              <w:t>-1</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w:t>
            </w:r>
          </w:p>
        </w:tc>
        <w:tc>
          <w:tcPr>
            <w:tcW w:w="1383" w:type="dxa"/>
            <w:tcBorders>
              <w:top w:val="single" w:color="auto" w:sz="8" w:space="0"/>
              <w:left w:val="nil"/>
              <w:bottom w:val="single" w:color="auto" w:sz="8" w:space="0"/>
              <w:right w:val="single" w:color="auto" w:sz="8" w:space="0"/>
            </w:tcBorders>
            <w:vAlign w:val="center"/>
          </w:tcPr>
          <w:p>
            <w:pPr>
              <w:widowControl/>
              <w:spacing w:line="340" w:lineRule="exact"/>
              <w:jc w:val="center"/>
              <w:rPr>
                <w:rFonts w:hint="default" w:ascii="Times New Roman" w:hAnsi="Times New Roman" w:eastAsia="仿宋_GB2312" w:cs="Times New Roman"/>
                <w:b/>
                <w:bCs/>
                <w:color w:val="000000"/>
                <w:kern w:val="0"/>
                <w:sz w:val="28"/>
                <w:szCs w:val="28"/>
                <w:lang w:val="en-US" w:eastAsia="zh-CN" w:bidi="ar-SA"/>
              </w:rPr>
            </w:pPr>
            <w:r>
              <w:rPr>
                <w:rFonts w:hint="default" w:ascii="Times New Roman" w:hAnsi="Times New Roman" w:eastAsia="仿宋_GB2312" w:cs="Times New Roman"/>
                <w:b w:val="0"/>
                <w:bCs w:val="0"/>
                <w:color w:val="000000"/>
                <w:kern w:val="0"/>
                <w:sz w:val="28"/>
                <w:szCs w:val="28"/>
                <w:lang w:val="en-US" w:eastAsia="zh-CN" w:bidi="ar-SA"/>
              </w:rPr>
              <w:t>—</w:t>
            </w:r>
          </w:p>
        </w:tc>
      </w:tr>
      <w:tr>
        <w:tblPrEx>
          <w:tblLayout w:type="fixed"/>
          <w:tblCellMar>
            <w:top w:w="0" w:type="dxa"/>
            <w:left w:w="108" w:type="dxa"/>
            <w:bottom w:w="0" w:type="dxa"/>
            <w:right w:w="108" w:type="dxa"/>
          </w:tblCellMar>
        </w:tblPrEx>
        <w:trPr>
          <w:trHeight w:val="448" w:hRule="atLeast"/>
          <w:jc w:val="center"/>
        </w:trPr>
        <w:tc>
          <w:tcPr>
            <w:tcW w:w="6281" w:type="dxa"/>
            <w:gridSpan w:val="4"/>
            <w:vMerge w:val="continue"/>
            <w:tcBorders>
              <w:left w:val="single" w:color="auto" w:sz="8"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4"/>
                <w:szCs w:val="24"/>
              </w:rPr>
            </w:pPr>
          </w:p>
        </w:tc>
        <w:tc>
          <w:tcPr>
            <w:tcW w:w="9680" w:type="dxa"/>
            <w:gridSpan w:val="7"/>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1、第四季度，</w:t>
            </w:r>
            <w:r>
              <w:rPr>
                <w:rFonts w:hint="default" w:ascii="Times New Roman" w:hAnsi="Times New Roman" w:eastAsia="仿宋_GB2312" w:cs="Times New Roman"/>
                <w:bCs/>
                <w:color w:val="000000"/>
                <w:kern w:val="0"/>
                <w:sz w:val="24"/>
                <w:szCs w:val="24"/>
                <w:lang w:val="en-US" w:eastAsia="zh-CN"/>
              </w:rPr>
              <w:t>台山市有关镇街因考核断面水质不达标且恶化问题被市环委办、市河长办约谈三次，</w:t>
            </w:r>
            <w:r>
              <w:rPr>
                <w:rFonts w:hint="eastAsia" w:ascii="Times New Roman" w:hAnsi="Times New Roman" w:eastAsia="仿宋_GB2312" w:cs="Times New Roman"/>
                <w:bCs/>
                <w:color w:val="000000"/>
                <w:kern w:val="0"/>
                <w:sz w:val="24"/>
                <w:szCs w:val="24"/>
                <w:lang w:val="en-US" w:eastAsia="zh-CN"/>
              </w:rPr>
              <w:t>合计</w:t>
            </w:r>
            <w:r>
              <w:rPr>
                <w:rFonts w:hint="default" w:ascii="Times New Roman" w:hAnsi="Times New Roman" w:eastAsia="仿宋_GB2312" w:cs="Times New Roman"/>
                <w:bCs/>
                <w:color w:val="000000"/>
                <w:kern w:val="0"/>
                <w:sz w:val="24"/>
                <w:szCs w:val="24"/>
                <w:lang w:val="en-US" w:eastAsia="zh-CN"/>
              </w:rPr>
              <w:t>扣1.5分。</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2、第四季度，开平</w:t>
            </w:r>
            <w:r>
              <w:rPr>
                <w:rFonts w:hint="default" w:ascii="Times New Roman" w:hAnsi="Times New Roman" w:eastAsia="仿宋_GB2312" w:cs="Times New Roman"/>
                <w:bCs/>
                <w:color w:val="000000"/>
                <w:kern w:val="0"/>
                <w:sz w:val="24"/>
                <w:szCs w:val="24"/>
                <w:lang w:val="en-US" w:eastAsia="zh-CN"/>
              </w:rPr>
              <w:t>市有关镇街因考核断面水质不达标且恶化问题被市环委办、市河长办约谈</w:t>
            </w:r>
            <w:r>
              <w:rPr>
                <w:rFonts w:hint="eastAsia" w:ascii="Times New Roman" w:hAnsi="Times New Roman" w:eastAsia="仿宋_GB2312" w:cs="Times New Roman"/>
                <w:bCs/>
                <w:color w:val="000000"/>
                <w:kern w:val="0"/>
                <w:sz w:val="24"/>
                <w:szCs w:val="24"/>
                <w:lang w:val="en-US" w:eastAsia="zh-CN"/>
              </w:rPr>
              <w:t>两</w:t>
            </w:r>
            <w:r>
              <w:rPr>
                <w:rFonts w:hint="default" w:ascii="Times New Roman" w:hAnsi="Times New Roman" w:eastAsia="仿宋_GB2312" w:cs="Times New Roman"/>
                <w:bCs/>
                <w:color w:val="000000"/>
                <w:kern w:val="0"/>
                <w:sz w:val="24"/>
                <w:szCs w:val="24"/>
                <w:lang w:val="en-US" w:eastAsia="zh-CN"/>
              </w:rPr>
              <w:t>次，</w:t>
            </w:r>
            <w:r>
              <w:rPr>
                <w:rFonts w:hint="eastAsia" w:ascii="Times New Roman" w:hAnsi="Times New Roman" w:eastAsia="仿宋_GB2312" w:cs="Times New Roman"/>
                <w:bCs/>
                <w:color w:val="000000"/>
                <w:kern w:val="0"/>
                <w:sz w:val="24"/>
                <w:szCs w:val="24"/>
                <w:lang w:val="en-US" w:eastAsia="zh-CN"/>
              </w:rPr>
              <w:t>合计</w:t>
            </w:r>
            <w:r>
              <w:rPr>
                <w:rFonts w:hint="default" w:ascii="Times New Roman" w:hAnsi="Times New Roman" w:eastAsia="仿宋_GB2312" w:cs="Times New Roman"/>
                <w:bCs/>
                <w:color w:val="000000"/>
                <w:kern w:val="0"/>
                <w:sz w:val="24"/>
                <w:szCs w:val="24"/>
                <w:lang w:val="en-US" w:eastAsia="zh-CN"/>
              </w:rPr>
              <w:t>扣1分。</w:t>
            </w:r>
          </w:p>
        </w:tc>
      </w:tr>
      <w:tr>
        <w:tblPrEx>
          <w:tblLayout w:type="fixed"/>
          <w:tblCellMar>
            <w:top w:w="0" w:type="dxa"/>
            <w:left w:w="108" w:type="dxa"/>
            <w:bottom w:w="0" w:type="dxa"/>
            <w:right w:w="108" w:type="dxa"/>
          </w:tblCellMar>
        </w:tblPrEx>
        <w:trPr>
          <w:trHeight w:val="448" w:hRule="atLeast"/>
          <w:jc w:val="center"/>
        </w:trPr>
        <w:tc>
          <w:tcPr>
            <w:tcW w:w="15961" w:type="dxa"/>
            <w:gridSpan w:val="11"/>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1355" w:leftChars="268" w:hanging="792" w:hangingChars="330"/>
              <w:textAlignment w:val="auto"/>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备注：江海区无饮用水水源考核项，其水环境质量季度目标得分为地表水国考、省考断面水质情况以及地表水市考断面水质情况两个考核项分数之和折算分（25分制折算）。</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15649"/>
    <w:rsid w:val="4CB15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主题词"/>
    <w:basedOn w:val="1"/>
    <w:uiPriority w:val="0"/>
    <w:pPr>
      <w:spacing w:after="296" w:afterLines="50" w:line="600" w:lineRule="exact"/>
    </w:pPr>
    <w:rPr>
      <w:rFonts w:eastAsia="方正小标宋简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2024-01-17T07:40:00Z</dcterms:created>
  <dc:creator>李耀明</dc:creator>
  <cp:lastModifiedBy>李耀明</cp:lastModifiedBy>
  <dcterms:modified xsi:type="dcterms:W3CDTF">2024-01-17T07:42:06Z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