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jc w:val="both"/>
        <w:rPr>
          <w:rFonts w:hint="eastAsia" w:ascii="宋体" w:hAnsi="宋体" w:cs="宋体"/>
          <w:b/>
          <w:bCs/>
          <w:i w:val="0"/>
          <w:iCs w:val="0"/>
          <w:caps w:val="0"/>
          <w:color w:val="auto"/>
          <w:spacing w:val="0"/>
          <w:sz w:val="32"/>
          <w:szCs w:val="32"/>
          <w:shd w:val="clear" w:fill="FFFFFF"/>
          <w:lang w:val="en-US" w:eastAsia="zh-CN"/>
        </w:rPr>
      </w:pPr>
      <w:bookmarkStart w:id="15" w:name="_GoBack"/>
      <w:r>
        <w:rPr>
          <w:rFonts w:hint="eastAsia" w:ascii="宋体" w:hAnsi="宋体" w:cs="宋体"/>
          <w:b/>
          <w:bCs/>
          <w:i w:val="0"/>
          <w:iCs w:val="0"/>
          <w:caps w:val="0"/>
          <w:color w:val="auto"/>
          <w:spacing w:val="0"/>
          <w:sz w:val="32"/>
          <w:szCs w:val="32"/>
          <w:shd w:val="clear" w:fill="FFFFFF"/>
          <w:lang w:val="en-US" w:eastAsia="zh-CN"/>
        </w:rPr>
        <w:t>附件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jc w:val="center"/>
        <w:rPr>
          <w:rFonts w:hint="eastAsia" w:ascii="宋体" w:hAnsi="宋体" w:eastAsia="宋体" w:cs="宋体"/>
          <w:b/>
          <w:bCs/>
          <w:i w:val="0"/>
          <w:iCs w:val="0"/>
          <w:caps w:val="0"/>
          <w:color w:val="auto"/>
          <w:spacing w:val="0"/>
          <w:sz w:val="32"/>
          <w:szCs w:val="32"/>
          <w:shd w:val="clear" w:fill="FFFFFF"/>
          <w:lang w:val="en-US" w:eastAsia="zh-CN"/>
        </w:rPr>
      </w:pPr>
      <w:r>
        <w:rPr>
          <w:rFonts w:hint="eastAsia" w:ascii="宋体" w:hAnsi="宋体" w:eastAsia="宋体" w:cs="宋体"/>
          <w:b/>
          <w:bCs/>
          <w:i w:val="0"/>
          <w:iCs w:val="0"/>
          <w:caps w:val="0"/>
          <w:color w:val="auto"/>
          <w:spacing w:val="0"/>
          <w:sz w:val="32"/>
          <w:szCs w:val="32"/>
          <w:shd w:val="clear" w:fill="FFFFFF"/>
          <w:lang w:val="en-US" w:eastAsia="zh-CN"/>
        </w:rPr>
        <w:t>技术规格、参数及要求</w:t>
      </w:r>
    </w:p>
    <w:p>
      <w:pPr>
        <w:pStyle w:val="3"/>
        <w:shd w:val="clear"/>
        <w:bidi w:val="0"/>
        <w:ind w:left="0" w:leftChars="0" w:firstLine="0" w:firstLineChars="0"/>
        <w:rPr>
          <w:color w:val="auto"/>
          <w:sz w:val="32"/>
          <w:szCs w:val="20"/>
        </w:rPr>
      </w:pPr>
      <w:bookmarkStart w:id="0" w:name="_Toc31703"/>
      <w:r>
        <w:rPr>
          <w:rFonts w:hint="eastAsia"/>
          <w:color w:val="auto"/>
          <w:sz w:val="32"/>
          <w:szCs w:val="20"/>
          <w:lang w:val="en-US" w:eastAsia="zh-CN"/>
        </w:rPr>
        <w:t>项目概述</w:t>
      </w:r>
      <w:bookmarkEnd w:id="0"/>
    </w:p>
    <w:p>
      <w:pPr>
        <w:pStyle w:val="4"/>
        <w:shd w:val="clear"/>
        <w:bidi w:val="0"/>
        <w:rPr>
          <w:rFonts w:hint="eastAsia"/>
          <w:color w:val="auto"/>
          <w:lang w:val="en-US" w:eastAsia="zh-CN"/>
        </w:rPr>
      </w:pPr>
      <w:bookmarkStart w:id="1" w:name="_Toc1835"/>
      <w:r>
        <w:rPr>
          <w:rFonts w:hint="eastAsia"/>
          <w:color w:val="auto"/>
          <w:lang w:val="en-US" w:eastAsia="zh-CN"/>
        </w:rPr>
        <w:t>项目建设背景</w:t>
      </w:r>
      <w:bookmarkEnd w:id="1"/>
    </w:p>
    <w:p>
      <w:pPr>
        <w:shd w:val="clear"/>
        <w:bidi w:val="0"/>
        <w:spacing w:line="360" w:lineRule="auto"/>
        <w:ind w:firstLine="480" w:firstLineChars="200"/>
        <w:rPr>
          <w:rFonts w:hint="eastAsia" w:asciiTheme="minorAscii" w:hAnsiTheme="minorAscii"/>
          <w:color w:val="auto"/>
          <w:sz w:val="24"/>
          <w:lang w:val="en-US" w:eastAsia="zh-CN"/>
        </w:rPr>
      </w:pPr>
      <w:r>
        <w:rPr>
          <w:rFonts w:hint="eastAsia" w:asciiTheme="minorAscii" w:hAnsiTheme="minorAscii"/>
          <w:color w:val="auto"/>
          <w:sz w:val="24"/>
          <w:lang w:val="en-US" w:eastAsia="zh-CN"/>
        </w:rPr>
        <w:t>根据《国家医疗保障局关于印发DRG/DIP支付方式改革三年行动计划的通知》（医保发〔2021〕48号）、《国家医疗保障局办公室关于做好支付方式 管理子系统 DRG/DIP功能模块使用衔接工作的通知》（医保办函〔2022〕19号）和《广东省医疗保障局关于加快做好国家医保信息平台DRG/DIP 模块落地应用的通知》（粤医保便函〔2023〕393号）文件要求，各地市要抓紧确认本地DRG/DIP 政策，包括病种目录库、结算清算政策和经办规程等DRG/DIP 功能模块，结合本地业务实际，形成系统功能本地化开发与政策配置的需求，并根据需求进行配置，</w:t>
      </w:r>
      <w:r>
        <w:rPr>
          <w:rFonts w:hint="eastAsia" w:asciiTheme="minorAscii" w:hAnsiTheme="minorAscii"/>
          <w:color w:val="auto"/>
          <w:sz w:val="24"/>
          <w:lang w:val="zh-CN" w:eastAsia="zh-CN"/>
        </w:rPr>
        <w:t>推动本地DIP支付科学、规范管理，真正发挥DIP付费在提升医疗服务能力、提高基金使用效率、满足</w:t>
      </w:r>
      <w:r>
        <w:rPr>
          <w:rFonts w:hint="eastAsia" w:asciiTheme="minorAscii" w:hAnsiTheme="minorAscii"/>
          <w:color w:val="auto"/>
          <w:sz w:val="24"/>
          <w:lang w:val="en-US" w:eastAsia="zh-CN"/>
        </w:rPr>
        <w:t>参保</w:t>
      </w:r>
      <w:r>
        <w:rPr>
          <w:rFonts w:hint="eastAsia" w:asciiTheme="minorAscii" w:hAnsiTheme="minorAscii"/>
          <w:color w:val="auto"/>
          <w:sz w:val="24"/>
          <w:lang w:val="zh-CN" w:eastAsia="zh-CN"/>
        </w:rPr>
        <w:t>患者服务需求等方面的作用</w:t>
      </w:r>
      <w:r>
        <w:rPr>
          <w:rFonts w:hint="eastAsia" w:asciiTheme="minorAscii" w:hAnsiTheme="minorAscii"/>
          <w:color w:val="auto"/>
          <w:sz w:val="24"/>
          <w:lang w:val="en-US" w:eastAsia="zh-CN"/>
        </w:rPr>
        <w:t>。</w:t>
      </w:r>
    </w:p>
    <w:p>
      <w:pPr>
        <w:pStyle w:val="4"/>
        <w:shd w:val="clear"/>
        <w:bidi w:val="0"/>
        <w:rPr>
          <w:rFonts w:hint="eastAsia"/>
          <w:color w:val="auto"/>
          <w:lang w:val="en-US" w:eastAsia="zh-CN"/>
        </w:rPr>
      </w:pPr>
      <w:bookmarkStart w:id="2" w:name="_Toc16118"/>
      <w:r>
        <w:rPr>
          <w:rFonts w:hint="eastAsia"/>
          <w:color w:val="auto"/>
          <w:lang w:val="en-US" w:eastAsia="zh-CN"/>
        </w:rPr>
        <w:t>信息化现状</w:t>
      </w:r>
      <w:bookmarkEnd w:id="2"/>
    </w:p>
    <w:p>
      <w:pPr>
        <w:shd w:val="clear"/>
        <w:bidi w:val="0"/>
        <w:spacing w:line="360" w:lineRule="auto"/>
        <w:ind w:firstLine="480" w:firstLineChars="200"/>
        <w:rPr>
          <w:rFonts w:hint="eastAsia" w:asciiTheme="minorAscii" w:hAnsiTheme="minorAscii"/>
          <w:color w:val="auto"/>
          <w:sz w:val="24"/>
          <w:lang w:val="zh-CN" w:eastAsia="zh-CN"/>
        </w:rPr>
      </w:pPr>
      <w:bookmarkStart w:id="3" w:name="_Toc25882"/>
      <w:r>
        <w:rPr>
          <w:rFonts w:hint="eastAsia" w:asciiTheme="minorAscii" w:hAnsiTheme="minorAscii"/>
          <w:color w:val="auto"/>
          <w:sz w:val="24"/>
          <w:lang w:val="en-US" w:eastAsia="zh-CN"/>
        </w:rPr>
        <w:t>目前我市主要业务已上线省医保信息平台，本项目提供的服务也是基于省医保信息平台进行本地化配置和改造服务等</w:t>
      </w:r>
      <w:r>
        <w:rPr>
          <w:rFonts w:hint="eastAsia" w:asciiTheme="minorAscii" w:hAnsiTheme="minorAscii"/>
          <w:color w:val="auto"/>
          <w:sz w:val="24"/>
          <w:lang w:val="zh-CN" w:eastAsia="zh-CN"/>
        </w:rPr>
        <w:t>，</w:t>
      </w:r>
      <w:r>
        <w:rPr>
          <w:rFonts w:hint="eastAsia" w:asciiTheme="minorAscii" w:hAnsiTheme="minorAscii"/>
          <w:color w:val="auto"/>
          <w:sz w:val="24"/>
          <w:lang w:val="en-US" w:eastAsia="zh-CN"/>
        </w:rPr>
        <w:t>平台</w:t>
      </w:r>
      <w:r>
        <w:rPr>
          <w:rFonts w:hint="eastAsia" w:asciiTheme="minorAscii" w:hAnsiTheme="minorAscii"/>
          <w:color w:val="auto"/>
          <w:sz w:val="24"/>
          <w:lang w:val="zh-CN" w:eastAsia="zh-CN"/>
        </w:rPr>
        <w:t>应用架构按照统一规划和建设的原则，采用“云+中台”设计模式，分为核心业务区、公共服务区。</w:t>
      </w:r>
    </w:p>
    <w:p>
      <w:pPr>
        <w:pStyle w:val="27"/>
        <w:shd w:val="clear"/>
        <w:ind w:firstLine="420" w:firstLineChars="0"/>
        <w:rPr>
          <w:rFonts w:ascii="Times New Roman" w:hAnsi="Times New Roman" w:eastAsia="宋体"/>
          <w:bCs/>
          <w:color w:val="auto"/>
          <w:kern w:val="0"/>
          <w:lang w:val="zh-CN"/>
        </w:rPr>
        <w:sectPr>
          <w:footerReference r:id="rId3" w:type="default"/>
          <w:pgSz w:w="11906" w:h="16838"/>
          <w:pgMar w:top="1440" w:right="1797" w:bottom="1440" w:left="1797" w:header="851" w:footer="851" w:gutter="0"/>
          <w:pgNumType w:start="1"/>
          <w:cols w:space="425" w:num="1"/>
          <w:titlePg/>
          <w:docGrid w:type="lines" w:linePitch="312" w:charSpace="0"/>
        </w:sectPr>
      </w:pPr>
    </w:p>
    <w:p>
      <w:pPr>
        <w:pStyle w:val="4"/>
        <w:shd w:val="clear"/>
        <w:bidi w:val="0"/>
        <w:rPr>
          <w:rFonts w:hint="default"/>
          <w:color w:val="auto"/>
          <w:lang w:val="en-US" w:eastAsia="zh-CN"/>
        </w:rPr>
      </w:pPr>
      <w:r>
        <w:rPr>
          <w:rFonts w:hint="eastAsia"/>
          <w:color w:val="auto"/>
          <w:lang w:val="en-US" w:eastAsia="zh-CN"/>
        </w:rPr>
        <w:t>项目建设目标</w:t>
      </w:r>
      <w:bookmarkEnd w:id="3"/>
    </w:p>
    <w:p>
      <w:pPr>
        <w:shd w:val="clear"/>
        <w:bidi w:val="0"/>
        <w:spacing w:line="360" w:lineRule="auto"/>
        <w:ind w:firstLine="480" w:firstLineChars="200"/>
        <w:rPr>
          <w:rFonts w:hint="eastAsia" w:asciiTheme="minorAscii" w:hAnsiTheme="minorAscii"/>
          <w:color w:val="auto"/>
          <w:sz w:val="24"/>
          <w:lang w:val="en-US" w:eastAsia="zh-CN"/>
        </w:rPr>
      </w:pPr>
      <w:r>
        <w:rPr>
          <w:rFonts w:hint="eastAsia" w:asciiTheme="minorAscii" w:hAnsiTheme="minorAscii"/>
          <w:color w:val="auto"/>
          <w:sz w:val="24"/>
          <w:lang w:val="en-US" w:eastAsia="zh-CN"/>
        </w:rPr>
        <w:t>项目通过市医保局</w:t>
      </w:r>
      <w:r>
        <w:rPr>
          <w:rFonts w:hint="eastAsia" w:asciiTheme="minorAscii" w:hAnsiTheme="minorAscii"/>
          <w:color w:val="auto"/>
          <w:sz w:val="24"/>
          <w:lang w:val="zh-CN"/>
        </w:rPr>
        <w:t>提供的本地化病种目录、完成病种分值测算、建立支付标准，形成本地化按病种付费规则。将业务规则平移至省平台，进行模拟付费，根据付费结果进行规则调整、完善，最终支撑本地DIP付费实施。同时，辅助</w:t>
      </w:r>
      <w:r>
        <w:rPr>
          <w:rFonts w:hint="eastAsia" w:asciiTheme="minorAscii" w:hAnsiTheme="minorAscii"/>
          <w:color w:val="auto"/>
          <w:sz w:val="24"/>
          <w:lang w:val="en-US" w:eastAsia="zh-CN"/>
        </w:rPr>
        <w:t>市医保局</w:t>
      </w:r>
      <w:r>
        <w:rPr>
          <w:rFonts w:hint="eastAsia" w:asciiTheme="minorAscii" w:hAnsiTheme="minorAscii"/>
          <w:color w:val="auto"/>
          <w:sz w:val="24"/>
          <w:lang w:val="zh-CN"/>
        </w:rPr>
        <w:t>建立与医疗机构的沟通协调机制，完善工作管理办法，形成完善的管理体系，推动本地DIP支付科学、规范管理，真正发挥DIP付费在提升医疗服务能力、提高基金使用效率、满足</w:t>
      </w:r>
      <w:r>
        <w:rPr>
          <w:rFonts w:hint="eastAsia" w:asciiTheme="minorAscii" w:hAnsiTheme="minorAscii"/>
          <w:color w:val="auto"/>
          <w:sz w:val="24"/>
          <w:lang w:val="en-US" w:eastAsia="zh-CN"/>
        </w:rPr>
        <w:t>参保</w:t>
      </w:r>
      <w:r>
        <w:rPr>
          <w:rFonts w:hint="eastAsia" w:asciiTheme="minorAscii" w:hAnsiTheme="minorAscii"/>
          <w:color w:val="auto"/>
          <w:sz w:val="24"/>
          <w:lang w:val="zh-CN"/>
        </w:rPr>
        <w:t>患者需求等方面的作用</w:t>
      </w:r>
      <w:r>
        <w:rPr>
          <w:rFonts w:hint="eastAsia" w:asciiTheme="minorAscii" w:hAnsiTheme="minorAscii"/>
          <w:color w:val="auto"/>
          <w:sz w:val="24"/>
        </w:rPr>
        <w:t>。</w:t>
      </w:r>
    </w:p>
    <w:p>
      <w:pPr>
        <w:pStyle w:val="4"/>
        <w:shd w:val="clear"/>
        <w:bidi w:val="0"/>
        <w:rPr>
          <w:rFonts w:hint="default"/>
          <w:color w:val="auto"/>
          <w:lang w:val="en-US" w:eastAsia="zh-CN"/>
        </w:rPr>
      </w:pPr>
      <w:bookmarkStart w:id="4" w:name="_Toc306"/>
      <w:r>
        <w:rPr>
          <w:rFonts w:hint="eastAsia"/>
          <w:color w:val="auto"/>
          <w:lang w:val="en-US" w:eastAsia="zh-CN"/>
        </w:rPr>
        <w:t>项目建设工期</w:t>
      </w:r>
      <w:bookmarkEnd w:id="4"/>
    </w:p>
    <w:p>
      <w:pPr>
        <w:shd w:val="clear"/>
        <w:bidi w:val="0"/>
        <w:spacing w:line="360" w:lineRule="auto"/>
        <w:ind w:firstLine="480" w:firstLineChars="200"/>
        <w:rPr>
          <w:rFonts w:hint="default" w:asciiTheme="minorAscii" w:hAnsiTheme="minorAscii"/>
          <w:color w:val="auto"/>
          <w:sz w:val="24"/>
          <w:lang w:val="en-US" w:eastAsia="zh-CN"/>
        </w:rPr>
      </w:pPr>
      <w:r>
        <w:rPr>
          <w:rFonts w:hint="eastAsia" w:asciiTheme="minorAscii" w:hAnsiTheme="minorAscii"/>
          <w:color w:val="auto"/>
          <w:sz w:val="24"/>
        </w:rPr>
        <w:t>本项目自合同签订之日起</w:t>
      </w:r>
      <w:r>
        <w:rPr>
          <w:rFonts w:hint="default" w:asciiTheme="minorAscii" w:hAnsiTheme="minorAscii"/>
          <w:color w:val="auto"/>
          <w:sz w:val="24"/>
          <w:lang w:val="en-US" w:eastAsia="zh-CN"/>
        </w:rPr>
        <w:t>4</w:t>
      </w:r>
      <w:r>
        <w:rPr>
          <w:rFonts w:hint="default" w:asciiTheme="minorAscii" w:hAnsiTheme="minorAscii"/>
          <w:color w:val="auto"/>
          <w:sz w:val="24"/>
        </w:rPr>
        <w:t>个月</w:t>
      </w:r>
      <w:r>
        <w:rPr>
          <w:rFonts w:hint="eastAsia" w:asciiTheme="minorAscii" w:hAnsiTheme="minorAscii"/>
          <w:color w:val="auto"/>
          <w:sz w:val="24"/>
        </w:rPr>
        <w:t>内完成</w:t>
      </w:r>
      <w:r>
        <w:rPr>
          <w:rFonts w:hint="eastAsia" w:asciiTheme="minorAscii" w:hAnsiTheme="minorAscii"/>
          <w:color w:val="auto"/>
          <w:sz w:val="24"/>
          <w:lang w:val="en-US" w:eastAsia="zh-CN"/>
        </w:rPr>
        <w:t>上线与验收工作</w:t>
      </w:r>
      <w:r>
        <w:rPr>
          <w:rFonts w:hint="eastAsia" w:asciiTheme="minorAscii" w:hAnsiTheme="minorAscii"/>
          <w:color w:val="auto"/>
          <w:sz w:val="24"/>
        </w:rPr>
        <w:t>。</w:t>
      </w:r>
    </w:p>
    <w:p>
      <w:pPr>
        <w:pStyle w:val="4"/>
        <w:shd w:val="clear"/>
        <w:bidi w:val="0"/>
        <w:rPr>
          <w:rFonts w:hint="eastAsia"/>
          <w:color w:val="auto"/>
          <w:lang w:val="en-US" w:eastAsia="zh-CN"/>
        </w:rPr>
      </w:pPr>
      <w:bookmarkStart w:id="5" w:name="_Toc9694"/>
      <w:r>
        <w:rPr>
          <w:rFonts w:hint="eastAsia"/>
          <w:color w:val="auto"/>
          <w:lang w:val="en-US" w:eastAsia="zh-CN"/>
        </w:rPr>
        <w:t>项目建设内容</w:t>
      </w:r>
      <w:bookmarkEnd w:id="5"/>
    </w:p>
    <w:p>
      <w:pPr>
        <w:shd w:val="clear"/>
        <w:bidi w:val="0"/>
        <w:spacing w:line="360" w:lineRule="auto"/>
        <w:ind w:firstLine="480" w:firstLineChars="200"/>
        <w:rPr>
          <w:rFonts w:hint="eastAsia" w:asciiTheme="minorAscii" w:hAnsiTheme="minorAscii"/>
          <w:color w:val="auto"/>
          <w:sz w:val="24"/>
          <w:lang w:eastAsia="zh-CN"/>
        </w:rPr>
      </w:pPr>
      <w:r>
        <w:rPr>
          <w:rFonts w:hint="eastAsia" w:asciiTheme="minorAscii" w:hAnsiTheme="minorAscii"/>
          <w:color w:val="auto"/>
          <w:sz w:val="24"/>
          <w:lang w:eastAsia="zh-CN"/>
        </w:rPr>
        <w:t>实现对</w:t>
      </w:r>
      <w:r>
        <w:rPr>
          <w:rFonts w:hint="eastAsia" w:ascii="宋体" w:hAnsi="宋体" w:cs="宋体"/>
          <w:color w:val="auto"/>
          <w:sz w:val="24"/>
          <w:szCs w:val="24"/>
          <w:lang w:eastAsia="zh-CN"/>
        </w:rPr>
        <w:t>国家医保信息平台政策调整改造</w:t>
      </w:r>
      <w:r>
        <w:rPr>
          <w:rFonts w:hint="eastAsia" w:asciiTheme="minorAscii" w:hAnsiTheme="minorAscii"/>
          <w:color w:val="auto"/>
          <w:sz w:val="24"/>
          <w:lang w:eastAsia="zh-CN"/>
        </w:rPr>
        <w:t>，具体建设内容如下：</w:t>
      </w:r>
    </w:p>
    <w:p>
      <w:pPr>
        <w:numPr>
          <w:ilvl w:val="0"/>
          <w:numId w:val="2"/>
        </w:numPr>
        <w:shd w:val="clear"/>
        <w:bidi w:val="0"/>
        <w:spacing w:line="360" w:lineRule="auto"/>
        <w:ind w:firstLine="480" w:firstLineChars="200"/>
        <w:rPr>
          <w:rFonts w:hint="eastAsia" w:asciiTheme="minorAscii" w:hAnsiTheme="minorAscii"/>
          <w:color w:val="auto"/>
          <w:sz w:val="24"/>
          <w:lang w:eastAsia="zh-CN"/>
        </w:rPr>
      </w:pPr>
      <w:r>
        <w:rPr>
          <w:rFonts w:hint="eastAsia" w:asciiTheme="minorAscii" w:hAnsiTheme="minorAscii"/>
          <w:color w:val="auto"/>
          <w:sz w:val="24"/>
          <w:lang w:eastAsia="zh-CN"/>
        </w:rPr>
        <w:t>基础信息配置</w:t>
      </w:r>
    </w:p>
    <w:p>
      <w:pPr>
        <w:numPr>
          <w:ilvl w:val="0"/>
          <w:numId w:val="2"/>
        </w:numPr>
        <w:shd w:val="clear"/>
        <w:bidi w:val="0"/>
        <w:spacing w:line="360" w:lineRule="auto"/>
        <w:ind w:firstLine="480" w:firstLineChars="200"/>
        <w:rPr>
          <w:rFonts w:hint="eastAsia" w:asciiTheme="minorAscii" w:hAnsiTheme="minorAscii"/>
          <w:color w:val="auto"/>
          <w:sz w:val="24"/>
          <w:lang w:eastAsia="zh-CN"/>
        </w:rPr>
      </w:pPr>
      <w:r>
        <w:rPr>
          <w:rFonts w:hint="eastAsia" w:asciiTheme="minorAscii" w:hAnsiTheme="minorAscii"/>
          <w:color w:val="auto"/>
          <w:sz w:val="24"/>
          <w:lang w:eastAsia="zh-CN"/>
        </w:rPr>
        <w:t>数据质控业务配置及调整</w:t>
      </w:r>
    </w:p>
    <w:p>
      <w:pPr>
        <w:numPr>
          <w:ilvl w:val="0"/>
          <w:numId w:val="2"/>
        </w:numPr>
        <w:shd w:val="clear"/>
        <w:bidi w:val="0"/>
        <w:spacing w:line="360" w:lineRule="auto"/>
        <w:ind w:firstLine="480" w:firstLineChars="200"/>
        <w:rPr>
          <w:rFonts w:hint="eastAsia" w:asciiTheme="minorAscii" w:hAnsiTheme="minorAscii"/>
          <w:color w:val="auto"/>
          <w:sz w:val="24"/>
          <w:lang w:eastAsia="zh-CN"/>
        </w:rPr>
      </w:pPr>
      <w:r>
        <w:rPr>
          <w:rFonts w:hint="eastAsia" w:asciiTheme="minorAscii" w:hAnsiTheme="minorAscii"/>
          <w:color w:val="auto"/>
          <w:sz w:val="24"/>
          <w:lang w:eastAsia="zh-CN"/>
        </w:rPr>
        <w:t>DIP分组业务配置及调整</w:t>
      </w:r>
    </w:p>
    <w:p>
      <w:pPr>
        <w:numPr>
          <w:ilvl w:val="0"/>
          <w:numId w:val="2"/>
        </w:numPr>
        <w:shd w:val="clear"/>
        <w:bidi w:val="0"/>
        <w:spacing w:line="360" w:lineRule="auto"/>
        <w:ind w:firstLine="480" w:firstLineChars="200"/>
        <w:rPr>
          <w:rFonts w:hint="eastAsia" w:asciiTheme="minorAscii" w:hAnsiTheme="minorAscii"/>
          <w:color w:val="auto"/>
          <w:sz w:val="24"/>
          <w:lang w:eastAsia="zh-CN"/>
        </w:rPr>
      </w:pPr>
      <w:r>
        <w:rPr>
          <w:rFonts w:hint="eastAsia" w:asciiTheme="minorAscii" w:hAnsiTheme="minorAscii"/>
          <w:color w:val="auto"/>
          <w:sz w:val="24"/>
          <w:lang w:eastAsia="zh-CN"/>
        </w:rPr>
        <w:t>DIP地方支付方案配置及调整</w:t>
      </w:r>
    </w:p>
    <w:p>
      <w:pPr>
        <w:numPr>
          <w:ilvl w:val="0"/>
          <w:numId w:val="2"/>
        </w:numPr>
        <w:shd w:val="clear"/>
        <w:bidi w:val="0"/>
        <w:spacing w:line="360" w:lineRule="auto"/>
        <w:ind w:firstLine="480" w:firstLineChars="200"/>
        <w:rPr>
          <w:rFonts w:hint="eastAsia" w:asciiTheme="minorAscii" w:hAnsiTheme="minorAscii"/>
          <w:color w:val="auto"/>
          <w:sz w:val="24"/>
          <w:lang w:eastAsia="zh-CN"/>
        </w:rPr>
      </w:pPr>
      <w:r>
        <w:rPr>
          <w:rFonts w:hint="eastAsia" w:asciiTheme="minorAscii" w:hAnsiTheme="minorAscii"/>
          <w:color w:val="auto"/>
          <w:sz w:val="24"/>
          <w:lang w:eastAsia="zh-CN"/>
        </w:rPr>
        <w:t>DIP定额及月度预结算调整</w:t>
      </w:r>
    </w:p>
    <w:p>
      <w:pPr>
        <w:numPr>
          <w:ilvl w:val="0"/>
          <w:numId w:val="2"/>
        </w:numPr>
        <w:shd w:val="clear"/>
        <w:bidi w:val="0"/>
        <w:spacing w:line="360" w:lineRule="auto"/>
        <w:ind w:firstLine="480" w:firstLineChars="200"/>
        <w:rPr>
          <w:rFonts w:hint="eastAsia" w:asciiTheme="minorAscii" w:hAnsiTheme="minorAscii"/>
          <w:color w:val="auto"/>
          <w:sz w:val="24"/>
          <w:lang w:eastAsia="zh-CN"/>
        </w:rPr>
      </w:pPr>
      <w:r>
        <w:rPr>
          <w:rFonts w:hint="eastAsia" w:asciiTheme="minorAscii" w:hAnsiTheme="minorAscii"/>
          <w:color w:val="auto"/>
          <w:sz w:val="24"/>
          <w:lang w:eastAsia="zh-CN"/>
        </w:rPr>
        <w:t>DIP年终清算调整</w:t>
      </w:r>
    </w:p>
    <w:p>
      <w:pPr>
        <w:numPr>
          <w:ilvl w:val="0"/>
          <w:numId w:val="2"/>
        </w:numPr>
        <w:shd w:val="clear"/>
        <w:bidi w:val="0"/>
        <w:spacing w:line="360" w:lineRule="auto"/>
        <w:ind w:firstLine="480" w:firstLineChars="200"/>
        <w:rPr>
          <w:rFonts w:hint="eastAsia" w:asciiTheme="minorAscii" w:hAnsiTheme="minorAscii"/>
          <w:color w:val="auto"/>
          <w:sz w:val="24"/>
          <w:lang w:eastAsia="zh-CN"/>
        </w:rPr>
      </w:pPr>
      <w:r>
        <w:rPr>
          <w:rFonts w:hint="eastAsia" w:asciiTheme="minorAscii" w:hAnsiTheme="minorAscii"/>
          <w:color w:val="auto"/>
          <w:sz w:val="24"/>
          <w:lang w:eastAsia="zh-CN"/>
        </w:rPr>
        <w:t>非dip门诊待遇年终清算功能调整</w:t>
      </w:r>
    </w:p>
    <w:p>
      <w:pPr>
        <w:numPr>
          <w:ilvl w:val="0"/>
          <w:numId w:val="2"/>
        </w:numPr>
        <w:shd w:val="clear"/>
        <w:bidi w:val="0"/>
        <w:spacing w:line="360" w:lineRule="auto"/>
        <w:ind w:firstLine="480" w:firstLineChars="200"/>
        <w:rPr>
          <w:rFonts w:hint="eastAsia" w:asciiTheme="minorAscii" w:hAnsiTheme="minorAscii"/>
          <w:color w:val="auto"/>
          <w:sz w:val="24"/>
          <w:lang w:eastAsia="zh-CN"/>
        </w:rPr>
      </w:pPr>
      <w:r>
        <w:rPr>
          <w:rFonts w:hint="eastAsia" w:asciiTheme="minorAscii" w:hAnsiTheme="minorAscii"/>
          <w:color w:val="auto"/>
          <w:sz w:val="24"/>
          <w:lang w:eastAsia="zh-CN"/>
        </w:rPr>
        <w:t>业务基础子系统调整</w:t>
      </w:r>
    </w:p>
    <w:p>
      <w:pPr>
        <w:pStyle w:val="3"/>
        <w:shd w:val="clear"/>
        <w:bidi w:val="0"/>
        <w:rPr>
          <w:rFonts w:hint="eastAsia"/>
          <w:color w:val="auto"/>
          <w:sz w:val="32"/>
          <w:szCs w:val="20"/>
          <w:lang w:val="en-US" w:eastAsia="zh-CN"/>
        </w:rPr>
      </w:pPr>
      <w:bookmarkStart w:id="6" w:name="_Toc9538"/>
      <w:r>
        <w:rPr>
          <w:rFonts w:hint="eastAsia"/>
          <w:color w:val="auto"/>
          <w:sz w:val="32"/>
          <w:szCs w:val="20"/>
          <w:lang w:val="en-US" w:eastAsia="zh-CN"/>
        </w:rPr>
        <w:t>项目建设需求</w:t>
      </w:r>
      <w:bookmarkEnd w:id="6"/>
    </w:p>
    <w:p>
      <w:pPr>
        <w:pStyle w:val="4"/>
        <w:shd w:val="clear"/>
        <w:bidi w:val="0"/>
        <w:rPr>
          <w:rFonts w:hint="eastAsia"/>
          <w:color w:val="auto"/>
          <w:lang w:val="en-US" w:eastAsia="zh-CN"/>
        </w:rPr>
      </w:pPr>
      <w:bookmarkStart w:id="7" w:name="_Toc4216"/>
      <w:r>
        <w:rPr>
          <w:rFonts w:hint="eastAsia"/>
          <w:color w:val="auto"/>
          <w:lang w:val="en-US" w:eastAsia="zh-CN"/>
        </w:rPr>
        <w:t>系统建设需求</w:t>
      </w:r>
      <w:bookmarkEnd w:id="7"/>
    </w:p>
    <w:p>
      <w:pPr>
        <w:pStyle w:val="27"/>
        <w:shd w:val="clear"/>
        <w:spacing w:line="400" w:lineRule="exact"/>
        <w:ind w:firstLine="420" w:firstLineChars="0"/>
        <w:rPr>
          <w:rFonts w:hint="eastAsia" w:ascii="Times New Roman" w:hAnsi="Times New Roman" w:eastAsia="宋体"/>
          <w:bCs/>
          <w:color w:val="auto"/>
          <w:kern w:val="0"/>
          <w:lang w:val="en-GB" w:eastAsia="zh-CN"/>
        </w:rPr>
      </w:pPr>
      <w:bookmarkStart w:id="8" w:name="_Toc31359"/>
      <w:r>
        <w:rPr>
          <w:rFonts w:hint="eastAsia" w:ascii="Times New Roman" w:hAnsi="Times New Roman" w:eastAsia="宋体"/>
          <w:bCs/>
          <w:color w:val="auto"/>
          <w:kern w:val="0"/>
          <w:lang w:val="zh-CN" w:eastAsia="zh-CN"/>
        </w:rPr>
        <w:t>为了实现</w:t>
      </w:r>
      <w:r>
        <w:rPr>
          <w:rFonts w:hint="eastAsia" w:ascii="Times New Roman" w:hAnsi="Times New Roman"/>
          <w:bCs/>
          <w:color w:val="auto"/>
          <w:kern w:val="0"/>
          <w:lang w:val="en-US" w:eastAsia="zh-CN"/>
        </w:rPr>
        <w:t>DIP</w:t>
      </w:r>
      <w:r>
        <w:rPr>
          <w:rFonts w:hint="eastAsia" w:ascii="Times New Roman" w:hAnsi="Times New Roman" w:eastAsia="宋体"/>
          <w:bCs/>
          <w:color w:val="auto"/>
          <w:kern w:val="0"/>
          <w:lang w:val="zh-CN" w:eastAsia="zh-CN"/>
        </w:rPr>
        <w:t>支付方式改革在我</w:t>
      </w:r>
      <w:r>
        <w:rPr>
          <w:rFonts w:hint="eastAsia" w:ascii="Times New Roman" w:hAnsi="Times New Roman" w:eastAsia="宋体"/>
          <w:bCs/>
          <w:color w:val="auto"/>
          <w:kern w:val="0"/>
          <w:lang w:val="en-US" w:eastAsia="zh-CN"/>
        </w:rPr>
        <w:t>市</w:t>
      </w:r>
      <w:r>
        <w:rPr>
          <w:rFonts w:hint="eastAsia" w:ascii="Times New Roman" w:hAnsi="Times New Roman" w:eastAsia="宋体"/>
          <w:bCs/>
          <w:color w:val="auto"/>
          <w:kern w:val="0"/>
          <w:lang w:val="zh-CN" w:eastAsia="zh-CN"/>
        </w:rPr>
        <w:t>的落地，围绕</w:t>
      </w:r>
      <w:r>
        <w:rPr>
          <w:rFonts w:hint="eastAsia" w:ascii="Times New Roman" w:hAnsi="Times New Roman"/>
          <w:bCs/>
          <w:color w:val="auto"/>
          <w:kern w:val="0"/>
          <w:lang w:val="zh-CN" w:eastAsia="zh-CN"/>
        </w:rPr>
        <w:t>DIP</w:t>
      </w:r>
      <w:r>
        <w:rPr>
          <w:rFonts w:hint="eastAsia" w:ascii="Times New Roman" w:hAnsi="Times New Roman" w:eastAsia="宋体"/>
          <w:bCs/>
          <w:color w:val="auto"/>
          <w:kern w:val="0"/>
          <w:lang w:val="zh-CN" w:eastAsia="zh-CN"/>
        </w:rPr>
        <w:t>支付方式构建从医保结算清单采集、到质控、分组、费用月度结算、年度清算、医疗服务机构绩效考核评估等全流程信息系统，形成“患者、医院、医保”三方联动管理模式，保障</w:t>
      </w:r>
      <w:r>
        <w:rPr>
          <w:rFonts w:hint="eastAsia" w:ascii="Times New Roman" w:hAnsi="Times New Roman"/>
          <w:bCs/>
          <w:color w:val="auto"/>
          <w:kern w:val="0"/>
          <w:lang w:val="en-US" w:eastAsia="zh-CN"/>
        </w:rPr>
        <w:t>医保</w:t>
      </w:r>
      <w:r>
        <w:rPr>
          <w:rFonts w:hint="eastAsia" w:ascii="Times New Roman" w:hAnsi="Times New Roman" w:eastAsia="宋体"/>
          <w:bCs/>
          <w:color w:val="auto"/>
          <w:kern w:val="0"/>
          <w:lang w:val="zh-CN" w:eastAsia="zh-CN"/>
        </w:rPr>
        <w:t>基金的使用效率，引导医院向按价值付费转型升级，解决参保人看病难、看病贵的社会问题。结合我</w:t>
      </w:r>
      <w:r>
        <w:rPr>
          <w:rFonts w:hint="eastAsia" w:ascii="Times New Roman" w:hAnsi="Times New Roman" w:eastAsia="宋体"/>
          <w:bCs/>
          <w:color w:val="auto"/>
          <w:kern w:val="0"/>
          <w:lang w:val="en-US" w:eastAsia="zh-CN"/>
        </w:rPr>
        <w:t>市</w:t>
      </w:r>
      <w:r>
        <w:rPr>
          <w:rFonts w:hint="eastAsia" w:ascii="Times New Roman" w:hAnsi="Times New Roman" w:eastAsia="宋体"/>
          <w:bCs/>
          <w:color w:val="auto"/>
          <w:kern w:val="0"/>
          <w:lang w:val="zh-CN" w:eastAsia="zh-CN"/>
        </w:rPr>
        <w:t>本地实际需求</w:t>
      </w:r>
      <w:r>
        <w:rPr>
          <w:rFonts w:hint="eastAsia" w:ascii="Times New Roman" w:hAnsi="Times New Roman"/>
          <w:bCs/>
          <w:color w:val="auto"/>
          <w:kern w:val="0"/>
          <w:lang w:val="zh-CN" w:eastAsia="zh-CN"/>
        </w:rPr>
        <w:t>，</w:t>
      </w:r>
      <w:r>
        <w:rPr>
          <w:rFonts w:hint="eastAsia" w:ascii="Times New Roman" w:hAnsi="Times New Roman" w:eastAsia="宋体"/>
          <w:bCs/>
          <w:color w:val="auto"/>
          <w:kern w:val="0"/>
          <w:lang w:val="en-US" w:eastAsia="zh-CN"/>
        </w:rPr>
        <w:t>对</w:t>
      </w:r>
      <w:r>
        <w:rPr>
          <w:rFonts w:hint="eastAsia" w:ascii="Times New Roman" w:hAnsi="Times New Roman"/>
          <w:bCs/>
          <w:color w:val="auto"/>
          <w:kern w:val="0"/>
          <w:lang w:val="en-US" w:eastAsia="zh-CN"/>
        </w:rPr>
        <w:t>医保</w:t>
      </w:r>
      <w:r>
        <w:rPr>
          <w:rFonts w:hint="eastAsia" w:ascii="Times New Roman" w:hAnsi="Times New Roman" w:eastAsia="宋体"/>
          <w:bCs/>
          <w:color w:val="auto"/>
          <w:kern w:val="0"/>
          <w:lang w:val="zh-CN" w:eastAsia="zh-CN"/>
        </w:rPr>
        <w:t>业务范围覆盖编码标准管理、协议管理、</w:t>
      </w:r>
      <w:r>
        <w:rPr>
          <w:rFonts w:hint="eastAsia" w:ascii="Times New Roman" w:hAnsi="Times New Roman"/>
          <w:bCs/>
          <w:color w:val="auto"/>
          <w:kern w:val="0"/>
          <w:lang w:val="en-US" w:eastAsia="zh-CN"/>
        </w:rPr>
        <w:t>DIP</w:t>
      </w:r>
      <w:r>
        <w:rPr>
          <w:rFonts w:hint="eastAsia" w:ascii="Times New Roman" w:hAnsi="Times New Roman" w:eastAsia="宋体"/>
          <w:bCs/>
          <w:color w:val="auto"/>
          <w:kern w:val="0"/>
          <w:lang w:val="zh-CN" w:eastAsia="zh-CN"/>
        </w:rPr>
        <w:t>数据采集及调度管理、</w:t>
      </w:r>
      <w:r>
        <w:rPr>
          <w:rFonts w:hint="eastAsia" w:ascii="Times New Roman" w:hAnsi="Times New Roman"/>
          <w:bCs/>
          <w:color w:val="auto"/>
          <w:kern w:val="0"/>
          <w:lang w:val="en-US" w:eastAsia="zh-CN"/>
        </w:rPr>
        <w:t>DIP</w:t>
      </w:r>
      <w:r>
        <w:rPr>
          <w:rFonts w:hint="eastAsia" w:ascii="Times New Roman" w:hAnsi="Times New Roman" w:eastAsia="宋体"/>
          <w:bCs/>
          <w:color w:val="auto"/>
          <w:kern w:val="0"/>
          <w:lang w:val="zh-CN" w:eastAsia="zh-CN"/>
        </w:rPr>
        <w:t>分组管理、</w:t>
      </w:r>
      <w:r>
        <w:rPr>
          <w:rFonts w:hint="eastAsia" w:ascii="Times New Roman" w:hAnsi="Times New Roman"/>
          <w:bCs/>
          <w:color w:val="auto"/>
          <w:kern w:val="0"/>
          <w:lang w:val="en-US" w:eastAsia="zh-CN"/>
        </w:rPr>
        <w:t>DIP</w:t>
      </w:r>
      <w:r>
        <w:rPr>
          <w:rFonts w:hint="eastAsia" w:ascii="Times New Roman" w:hAnsi="Times New Roman" w:eastAsia="宋体"/>
          <w:bCs/>
          <w:color w:val="auto"/>
          <w:kern w:val="0"/>
          <w:lang w:val="zh-CN" w:eastAsia="zh-CN"/>
        </w:rPr>
        <w:t>入组管理、</w:t>
      </w:r>
      <w:r>
        <w:rPr>
          <w:rFonts w:hint="eastAsia" w:ascii="Times New Roman" w:hAnsi="Times New Roman"/>
          <w:bCs/>
          <w:color w:val="auto"/>
          <w:kern w:val="0"/>
          <w:lang w:val="en-US" w:eastAsia="zh-CN"/>
        </w:rPr>
        <w:t>DIP</w:t>
      </w:r>
      <w:r>
        <w:rPr>
          <w:rFonts w:hint="eastAsia" w:ascii="Times New Roman" w:hAnsi="Times New Roman" w:eastAsia="宋体"/>
          <w:bCs/>
          <w:color w:val="auto"/>
          <w:kern w:val="0"/>
          <w:lang w:val="zh-CN" w:eastAsia="zh-CN"/>
        </w:rPr>
        <w:t>结算管理、</w:t>
      </w:r>
      <w:r>
        <w:rPr>
          <w:rFonts w:hint="eastAsia" w:ascii="Times New Roman" w:hAnsi="Times New Roman"/>
          <w:bCs/>
          <w:color w:val="auto"/>
          <w:kern w:val="0"/>
          <w:lang w:val="en-US" w:eastAsia="zh-CN"/>
        </w:rPr>
        <w:t>DIP</w:t>
      </w:r>
      <w:r>
        <w:rPr>
          <w:rFonts w:hint="eastAsia" w:ascii="Times New Roman" w:hAnsi="Times New Roman" w:eastAsia="宋体"/>
          <w:bCs/>
          <w:color w:val="auto"/>
          <w:kern w:val="0"/>
          <w:lang w:val="zh-CN" w:eastAsia="zh-CN"/>
        </w:rPr>
        <w:t>监管考核管理、综合查询与报表管理等</w:t>
      </w:r>
      <w:r>
        <w:rPr>
          <w:rFonts w:hint="eastAsia" w:ascii="Times New Roman" w:hAnsi="Times New Roman" w:eastAsia="宋体"/>
          <w:bCs/>
          <w:color w:val="auto"/>
          <w:kern w:val="0"/>
          <w:lang w:val="en-US" w:eastAsia="zh-CN"/>
        </w:rPr>
        <w:t>功能进行配置改造，确保</w:t>
      </w:r>
      <w:r>
        <w:rPr>
          <w:rFonts w:hint="eastAsia" w:ascii="Times New Roman" w:hAnsi="Times New Roman"/>
          <w:bCs/>
          <w:color w:val="auto"/>
          <w:kern w:val="0"/>
          <w:lang w:val="en-US" w:eastAsia="zh-CN"/>
        </w:rPr>
        <w:t>我市</w:t>
      </w:r>
      <w:r>
        <w:rPr>
          <w:rFonts w:hint="eastAsia" w:ascii="Times New Roman" w:hAnsi="Times New Roman"/>
          <w:bCs/>
          <w:color w:val="auto"/>
          <w:kern w:val="0"/>
          <w:lang w:val="zh-CN" w:eastAsia="zh-CN"/>
        </w:rPr>
        <w:t>DIP</w:t>
      </w:r>
      <w:r>
        <w:rPr>
          <w:rFonts w:hint="eastAsia" w:ascii="Times New Roman" w:hAnsi="Times New Roman" w:eastAsia="宋体"/>
          <w:bCs/>
          <w:color w:val="auto"/>
          <w:kern w:val="0"/>
          <w:lang w:val="zh-CN" w:eastAsia="zh-CN"/>
        </w:rPr>
        <w:t>支付方式</w:t>
      </w:r>
      <w:r>
        <w:rPr>
          <w:rFonts w:hint="eastAsia" w:ascii="Times New Roman" w:hAnsi="Times New Roman"/>
          <w:bCs/>
          <w:color w:val="auto"/>
          <w:kern w:val="0"/>
          <w:lang w:val="en-US" w:eastAsia="zh-CN"/>
        </w:rPr>
        <w:t>政策</w:t>
      </w:r>
      <w:r>
        <w:rPr>
          <w:rFonts w:hint="eastAsia" w:ascii="Times New Roman" w:hAnsi="Times New Roman" w:eastAsia="宋体"/>
          <w:bCs/>
          <w:color w:val="auto"/>
          <w:kern w:val="0"/>
          <w:lang w:val="en-US" w:eastAsia="zh-CN"/>
        </w:rPr>
        <w:t>顺利落地</w:t>
      </w:r>
      <w:r>
        <w:rPr>
          <w:rFonts w:hint="eastAsia" w:ascii="Times New Roman" w:hAnsi="Times New Roman"/>
          <w:bCs/>
          <w:color w:val="auto"/>
          <w:kern w:val="0"/>
          <w:lang w:val="en-US" w:eastAsia="zh-CN"/>
        </w:rPr>
        <w:t>实行</w:t>
      </w:r>
      <w:r>
        <w:rPr>
          <w:rFonts w:hint="eastAsia" w:ascii="Times New Roman" w:hAnsi="Times New Roman" w:eastAsia="宋体"/>
          <w:bCs/>
          <w:color w:val="auto"/>
          <w:kern w:val="0"/>
          <w:lang w:val="zh-CN" w:eastAsia="zh-CN"/>
        </w:rPr>
        <w:t>。</w:t>
      </w:r>
    </w:p>
    <w:p>
      <w:pPr>
        <w:pStyle w:val="27"/>
        <w:numPr>
          <w:ilvl w:val="0"/>
          <w:numId w:val="3"/>
        </w:numPr>
        <w:shd w:val="clear"/>
        <w:spacing w:line="400" w:lineRule="exact"/>
        <w:ind w:firstLine="420" w:firstLineChars="0"/>
        <w:rPr>
          <w:rFonts w:hint="eastAsia" w:ascii="Times New Roman" w:hAnsi="Times New Roman" w:eastAsia="宋体"/>
          <w:bCs/>
          <w:color w:val="auto"/>
          <w:kern w:val="0"/>
          <w:lang w:val="zh-CN" w:eastAsia="zh-CN"/>
        </w:rPr>
      </w:pPr>
      <w:r>
        <w:rPr>
          <w:rFonts w:hint="eastAsia" w:ascii="Times New Roman" w:hAnsi="Times New Roman" w:eastAsia="宋体"/>
          <w:bCs/>
          <w:color w:val="auto"/>
          <w:kern w:val="0"/>
          <w:lang w:val="zh-CN" w:eastAsia="zh-CN"/>
        </w:rPr>
        <w:t>基础</w:t>
      </w:r>
      <w:r>
        <w:rPr>
          <w:rFonts w:hint="eastAsia" w:ascii="Times New Roman" w:hAnsi="Times New Roman" w:eastAsia="宋体"/>
          <w:bCs/>
          <w:color w:val="auto"/>
          <w:kern w:val="0"/>
          <w:lang w:val="en-US" w:eastAsia="zh-CN"/>
        </w:rPr>
        <w:t>信息配置</w:t>
      </w:r>
      <w:r>
        <w:rPr>
          <w:rFonts w:hint="eastAsia" w:ascii="Times New Roman" w:hAnsi="Times New Roman" w:eastAsia="宋体"/>
          <w:bCs/>
          <w:color w:val="auto"/>
          <w:kern w:val="0"/>
          <w:lang w:val="zh-CN" w:eastAsia="zh-CN"/>
        </w:rPr>
        <w:t>需求分析</w:t>
      </w:r>
    </w:p>
    <w:p>
      <w:pPr>
        <w:pStyle w:val="27"/>
        <w:shd w:val="clear"/>
        <w:spacing w:line="400" w:lineRule="exact"/>
        <w:ind w:firstLine="420" w:firstLineChars="0"/>
        <w:rPr>
          <w:rFonts w:hint="eastAsia" w:ascii="Times New Roman" w:hAnsi="Times New Roman" w:eastAsia="宋体"/>
          <w:bCs/>
          <w:color w:val="auto"/>
          <w:kern w:val="0"/>
          <w:lang w:val="zh-CN" w:eastAsia="zh-CN"/>
        </w:rPr>
      </w:pPr>
      <w:r>
        <w:rPr>
          <w:rFonts w:hint="eastAsia" w:ascii="Times New Roman" w:hAnsi="Times New Roman" w:eastAsia="宋体"/>
          <w:bCs/>
          <w:color w:val="auto"/>
          <w:kern w:val="0"/>
          <w:lang w:val="zh-CN" w:eastAsia="zh-CN"/>
        </w:rPr>
        <w:t>通过编码标准为定点医疗机构提供疾病诊断分类编码与手术操作编码下载匹配服务；通过协议管理支持对医疗服务机构协议模板进行查询、选择、新增、编辑、另存、删除操作。</w:t>
      </w:r>
    </w:p>
    <w:p>
      <w:pPr>
        <w:pStyle w:val="27"/>
        <w:numPr>
          <w:ilvl w:val="0"/>
          <w:numId w:val="3"/>
        </w:numPr>
        <w:shd w:val="clear"/>
        <w:spacing w:line="400" w:lineRule="exact"/>
        <w:ind w:firstLine="420" w:firstLineChars="0"/>
        <w:rPr>
          <w:rFonts w:hint="eastAsia" w:ascii="Times New Roman" w:hAnsi="Times New Roman" w:eastAsia="宋体"/>
          <w:bCs/>
          <w:color w:val="auto"/>
          <w:kern w:val="0"/>
          <w:lang w:val="zh-CN" w:eastAsia="zh-CN"/>
        </w:rPr>
      </w:pPr>
      <w:r>
        <w:rPr>
          <w:rFonts w:hint="eastAsia" w:ascii="Times New Roman" w:hAnsi="Times New Roman" w:eastAsia="宋体"/>
          <w:bCs/>
          <w:color w:val="auto"/>
          <w:kern w:val="0"/>
          <w:lang w:val="zh-CN" w:eastAsia="zh-CN"/>
        </w:rPr>
        <w:t>数据质控业务</w:t>
      </w:r>
      <w:r>
        <w:rPr>
          <w:rFonts w:hint="eastAsia" w:ascii="Times New Roman" w:hAnsi="Times New Roman" w:eastAsia="宋体"/>
          <w:bCs/>
          <w:color w:val="auto"/>
          <w:kern w:val="0"/>
          <w:lang w:val="en-US" w:eastAsia="zh-CN"/>
        </w:rPr>
        <w:t>配置及调整</w:t>
      </w:r>
      <w:r>
        <w:rPr>
          <w:rFonts w:hint="eastAsia" w:ascii="Times New Roman" w:hAnsi="Times New Roman" w:eastAsia="宋体"/>
          <w:bCs/>
          <w:color w:val="auto"/>
          <w:kern w:val="0"/>
          <w:lang w:val="zh-CN" w:eastAsia="zh-CN"/>
        </w:rPr>
        <w:t>需求分析</w:t>
      </w:r>
    </w:p>
    <w:p>
      <w:pPr>
        <w:pStyle w:val="27"/>
        <w:shd w:val="clear"/>
        <w:spacing w:line="400" w:lineRule="exact"/>
        <w:ind w:firstLine="420" w:firstLineChars="0"/>
        <w:rPr>
          <w:rFonts w:hint="eastAsia" w:ascii="Times New Roman" w:hAnsi="Times New Roman" w:eastAsia="宋体"/>
          <w:bCs/>
          <w:color w:val="auto"/>
          <w:kern w:val="0"/>
          <w:lang w:val="zh-CN" w:eastAsia="zh-CN"/>
        </w:rPr>
      </w:pPr>
      <w:r>
        <w:rPr>
          <w:rFonts w:hint="eastAsia" w:ascii="Times New Roman" w:hAnsi="Times New Roman" w:eastAsia="宋体"/>
          <w:bCs/>
          <w:color w:val="auto"/>
          <w:kern w:val="0"/>
          <w:lang w:val="zh-CN" w:eastAsia="zh-CN"/>
        </w:rPr>
        <w:t>根据结算清单填写规范要求，对上传的结算清单进行质量控制管理</w:t>
      </w:r>
      <w:r>
        <w:rPr>
          <w:rFonts w:hint="eastAsia" w:ascii="Times New Roman" w:hAnsi="Times New Roman"/>
          <w:bCs/>
          <w:color w:val="auto"/>
          <w:kern w:val="0"/>
          <w:lang w:val="en-US" w:eastAsia="zh-CN"/>
        </w:rPr>
        <w:t>,</w:t>
      </w:r>
      <w:r>
        <w:rPr>
          <w:rFonts w:hint="eastAsia" w:ascii="Times New Roman" w:hAnsi="Times New Roman" w:eastAsia="宋体"/>
          <w:bCs/>
          <w:color w:val="auto"/>
          <w:kern w:val="0"/>
          <w:lang w:val="zh-CN" w:eastAsia="zh-CN"/>
        </w:rPr>
        <w:t>保证分组的完整性、合理性和规范性。</w:t>
      </w:r>
    </w:p>
    <w:p>
      <w:pPr>
        <w:pStyle w:val="27"/>
        <w:shd w:val="clear"/>
        <w:spacing w:line="400" w:lineRule="exact"/>
        <w:ind w:firstLine="420" w:firstLineChars="0"/>
        <w:rPr>
          <w:rFonts w:hint="default" w:ascii="Times New Roman" w:hAnsi="Times New Roman" w:eastAsia="宋体"/>
          <w:bCs/>
          <w:color w:val="auto"/>
          <w:kern w:val="0"/>
          <w:lang w:val="en-US" w:eastAsia="zh-CN"/>
        </w:rPr>
      </w:pPr>
      <w:r>
        <w:rPr>
          <w:rFonts w:hint="eastAsia" w:ascii="Times New Roman" w:hAnsi="Times New Roman" w:eastAsia="宋体"/>
          <w:bCs/>
          <w:color w:val="auto"/>
          <w:kern w:val="0"/>
          <w:lang w:val="zh-CN" w:eastAsia="zh-CN"/>
        </w:rPr>
        <w:t>完整性：包括患者病案首页及费用明细信息是否按病案管理规范要求填写完整，核心指标无漏项。</w:t>
      </w:r>
    </w:p>
    <w:p>
      <w:pPr>
        <w:pStyle w:val="27"/>
        <w:shd w:val="clear"/>
        <w:spacing w:line="400" w:lineRule="exact"/>
        <w:ind w:firstLine="420" w:firstLineChars="0"/>
        <w:rPr>
          <w:rFonts w:hint="eastAsia" w:ascii="Times New Roman" w:hAnsi="Times New Roman" w:eastAsia="宋体"/>
          <w:bCs/>
          <w:color w:val="auto"/>
          <w:kern w:val="0"/>
          <w:lang w:val="zh-CN" w:eastAsia="zh-CN"/>
        </w:rPr>
      </w:pPr>
      <w:r>
        <w:rPr>
          <w:rFonts w:hint="eastAsia" w:ascii="Times New Roman" w:hAnsi="Times New Roman" w:eastAsia="宋体"/>
          <w:bCs/>
          <w:color w:val="auto"/>
          <w:kern w:val="0"/>
          <w:lang w:val="zh-CN" w:eastAsia="zh-CN"/>
        </w:rPr>
        <w:t>合理性：包括对患者性别与诊断的相符判断、年龄与诊断的相符判断、出入院时间的逻辑判断、总费用与明细费用是否相等的逻辑判断、诊断与费用是否相符的逻辑判断以及必要费用和无关费用比例的计算等。</w:t>
      </w:r>
    </w:p>
    <w:p>
      <w:pPr>
        <w:pStyle w:val="27"/>
        <w:shd w:val="clear"/>
        <w:spacing w:line="400" w:lineRule="exact"/>
        <w:ind w:firstLine="420" w:firstLineChars="0"/>
        <w:rPr>
          <w:rFonts w:hint="eastAsia" w:ascii="Times New Roman" w:hAnsi="Times New Roman" w:eastAsia="宋体"/>
          <w:bCs/>
          <w:color w:val="auto"/>
          <w:kern w:val="0"/>
          <w:lang w:val="zh-CN" w:eastAsia="zh-CN"/>
        </w:rPr>
      </w:pPr>
      <w:r>
        <w:rPr>
          <w:rFonts w:hint="eastAsia" w:ascii="Times New Roman" w:hAnsi="Times New Roman" w:eastAsia="宋体"/>
          <w:bCs/>
          <w:color w:val="auto"/>
          <w:kern w:val="0"/>
          <w:lang w:val="zh-CN" w:eastAsia="zh-CN"/>
        </w:rPr>
        <w:t>规范性：包括审查病例诊断是否为规范诊断、诊断是否出现顺序排列错误、诊断编码与诊断是否相匹配、诊断编码是否为规范诊断编码等；必要时返回</w:t>
      </w:r>
      <w:r>
        <w:rPr>
          <w:rFonts w:hint="eastAsia" w:ascii="Times New Roman" w:hAnsi="Times New Roman"/>
          <w:bCs/>
          <w:color w:val="auto"/>
          <w:kern w:val="0"/>
          <w:lang w:val="en-US" w:eastAsia="zh-CN"/>
        </w:rPr>
        <w:t>定点</w:t>
      </w:r>
      <w:r>
        <w:rPr>
          <w:rFonts w:hint="eastAsia" w:ascii="Times New Roman" w:hAnsi="Times New Roman" w:eastAsia="宋体"/>
          <w:bCs/>
          <w:color w:val="auto"/>
          <w:kern w:val="0"/>
          <w:lang w:val="zh-CN" w:eastAsia="zh-CN"/>
        </w:rPr>
        <w:t>医疗机构核对并补充完整后进行二次上传。</w:t>
      </w:r>
    </w:p>
    <w:p>
      <w:pPr>
        <w:pStyle w:val="27"/>
        <w:numPr>
          <w:ilvl w:val="0"/>
          <w:numId w:val="3"/>
        </w:numPr>
        <w:shd w:val="clear"/>
        <w:spacing w:line="400" w:lineRule="exact"/>
        <w:ind w:firstLine="420" w:firstLineChars="0"/>
        <w:rPr>
          <w:rFonts w:hint="eastAsia" w:ascii="Times New Roman" w:hAnsi="Times New Roman" w:eastAsia="宋体"/>
          <w:bCs/>
          <w:color w:val="auto"/>
          <w:kern w:val="0"/>
          <w:lang w:val="zh-CN" w:eastAsia="zh-CN"/>
        </w:rPr>
      </w:pPr>
      <w:r>
        <w:rPr>
          <w:rFonts w:hint="eastAsia" w:ascii="Times New Roman" w:hAnsi="Times New Roman"/>
          <w:bCs/>
          <w:color w:val="auto"/>
          <w:kern w:val="0"/>
          <w:lang w:val="zh-CN" w:eastAsia="zh-CN"/>
        </w:rPr>
        <w:t>DIP</w:t>
      </w:r>
      <w:r>
        <w:rPr>
          <w:rFonts w:hint="eastAsia" w:ascii="Times New Roman" w:hAnsi="Times New Roman" w:eastAsia="宋体"/>
          <w:bCs/>
          <w:color w:val="auto"/>
          <w:kern w:val="0"/>
          <w:lang w:val="zh-CN" w:eastAsia="zh-CN"/>
        </w:rPr>
        <w:t>分组业务配置及调整需求分析</w:t>
      </w:r>
    </w:p>
    <w:p>
      <w:pPr>
        <w:pStyle w:val="27"/>
        <w:shd w:val="clear"/>
        <w:spacing w:line="400" w:lineRule="exact"/>
        <w:ind w:firstLine="420" w:firstLineChars="0"/>
        <w:rPr>
          <w:rFonts w:hint="eastAsia" w:ascii="Times New Roman" w:hAnsi="Times New Roman" w:eastAsia="宋体"/>
          <w:bCs/>
          <w:color w:val="auto"/>
          <w:kern w:val="0"/>
          <w:lang w:val="zh-CN" w:eastAsia="zh-CN"/>
        </w:rPr>
      </w:pPr>
      <w:r>
        <w:rPr>
          <w:rFonts w:hint="eastAsia" w:ascii="Times New Roman" w:hAnsi="Times New Roman" w:eastAsia="宋体"/>
          <w:bCs/>
          <w:color w:val="auto"/>
          <w:kern w:val="0"/>
          <w:lang w:val="zh-CN" w:eastAsia="zh-CN"/>
        </w:rPr>
        <w:t>符合国家医保局统一最新的分组标准，支持医保历史数据进行分组器的本地化操作，确定出符合</w:t>
      </w:r>
      <w:r>
        <w:rPr>
          <w:rFonts w:hint="eastAsia" w:ascii="Times New Roman" w:hAnsi="Times New Roman"/>
          <w:bCs/>
          <w:color w:val="auto"/>
          <w:kern w:val="0"/>
          <w:lang w:val="en-US" w:eastAsia="zh-CN"/>
        </w:rPr>
        <w:t>我市</w:t>
      </w:r>
      <w:r>
        <w:rPr>
          <w:rFonts w:hint="eastAsia" w:ascii="Times New Roman" w:hAnsi="Times New Roman" w:eastAsia="宋体"/>
          <w:bCs/>
          <w:color w:val="auto"/>
          <w:kern w:val="0"/>
          <w:lang w:val="zh-CN" w:eastAsia="zh-CN"/>
        </w:rPr>
        <w:t>医保本地情况的分组规则。</w:t>
      </w:r>
      <w:r>
        <w:rPr>
          <w:rFonts w:hint="eastAsia" w:ascii="Times New Roman" w:hAnsi="Times New Roman" w:eastAsia="宋体"/>
          <w:bCs/>
          <w:color w:val="auto"/>
          <w:kern w:val="0"/>
          <w:lang w:val="en-US" w:eastAsia="zh-CN"/>
        </w:rPr>
        <w:t>并</w:t>
      </w:r>
      <w:r>
        <w:rPr>
          <w:rFonts w:hint="eastAsia" w:ascii="Times New Roman" w:hAnsi="Times New Roman" w:eastAsia="宋体"/>
          <w:bCs/>
          <w:color w:val="auto"/>
          <w:kern w:val="0"/>
          <w:lang w:val="zh-CN" w:eastAsia="zh-CN"/>
        </w:rPr>
        <w:t>对于未入组原因进行精准提示。对于</w:t>
      </w:r>
      <w:r>
        <w:rPr>
          <w:rFonts w:hint="eastAsia" w:ascii="Times New Roman" w:hAnsi="Times New Roman"/>
          <w:bCs/>
          <w:color w:val="auto"/>
          <w:kern w:val="0"/>
          <w:lang w:val="zh-CN" w:eastAsia="zh-CN"/>
        </w:rPr>
        <w:t>DIP</w:t>
      </w:r>
      <w:r>
        <w:rPr>
          <w:rFonts w:hint="eastAsia" w:ascii="Times New Roman" w:hAnsi="Times New Roman" w:eastAsia="宋体"/>
          <w:bCs/>
          <w:color w:val="auto"/>
          <w:kern w:val="0"/>
          <w:lang w:val="zh-CN" w:eastAsia="zh-CN"/>
        </w:rPr>
        <w:t>入组合理性进行测评，并筛选因病案首页填报等原因导致的疑似入组错误病例。考虑到医疗服务机构提供医疗行为的复杂性，对于异常费用超支病例，提供申诉渠道，通过一事一议的模式，解决出现的异常费用结算问题。</w:t>
      </w:r>
    </w:p>
    <w:p>
      <w:pPr>
        <w:pStyle w:val="27"/>
        <w:numPr>
          <w:ilvl w:val="0"/>
          <w:numId w:val="3"/>
        </w:numPr>
        <w:shd w:val="clear"/>
        <w:spacing w:line="400" w:lineRule="exact"/>
        <w:ind w:firstLine="420" w:firstLineChars="0"/>
        <w:rPr>
          <w:rFonts w:hint="eastAsia" w:ascii="Times New Roman" w:hAnsi="Times New Roman" w:eastAsia="宋体"/>
          <w:bCs/>
          <w:color w:val="auto"/>
          <w:kern w:val="0"/>
          <w:lang w:val="zh-CN" w:eastAsia="zh-CN"/>
        </w:rPr>
      </w:pPr>
      <w:r>
        <w:rPr>
          <w:rFonts w:hint="eastAsia" w:ascii="Times New Roman" w:hAnsi="Times New Roman"/>
          <w:bCs/>
          <w:color w:val="auto"/>
          <w:kern w:val="0"/>
          <w:lang w:val="zh-CN" w:eastAsia="zh-CN"/>
        </w:rPr>
        <w:t>DIP</w:t>
      </w:r>
      <w:r>
        <w:rPr>
          <w:rFonts w:hint="eastAsia" w:ascii="Times New Roman" w:hAnsi="Times New Roman" w:eastAsia="宋体"/>
          <w:bCs/>
          <w:color w:val="auto"/>
          <w:kern w:val="0"/>
          <w:lang w:val="zh-CN" w:eastAsia="zh-CN"/>
        </w:rPr>
        <w:t>地方支付方案配置及调整</w:t>
      </w:r>
      <w:r>
        <w:rPr>
          <w:rFonts w:hint="eastAsia" w:ascii="Times New Roman" w:hAnsi="Times New Roman"/>
          <w:bCs/>
          <w:color w:val="auto"/>
          <w:kern w:val="0"/>
          <w:lang w:val="en-US" w:eastAsia="zh-CN"/>
        </w:rPr>
        <w:t>需求分析</w:t>
      </w:r>
    </w:p>
    <w:p>
      <w:pPr>
        <w:pStyle w:val="27"/>
        <w:shd w:val="clear"/>
        <w:spacing w:line="400" w:lineRule="exact"/>
        <w:ind w:firstLine="420" w:firstLineChars="0"/>
        <w:rPr>
          <w:rFonts w:hint="eastAsia"/>
          <w:color w:val="auto"/>
        </w:rPr>
      </w:pPr>
      <w:r>
        <w:rPr>
          <w:rFonts w:hint="eastAsia" w:ascii="Times New Roman" w:hAnsi="Times New Roman" w:eastAsia="宋体"/>
          <w:bCs/>
          <w:color w:val="auto"/>
          <w:kern w:val="0"/>
          <w:lang w:val="en-US" w:eastAsia="zh-CN"/>
        </w:rPr>
        <w:t>根据市</w:t>
      </w:r>
      <w:r>
        <w:rPr>
          <w:rFonts w:hint="eastAsia" w:ascii="Times New Roman" w:hAnsi="Times New Roman"/>
          <w:bCs/>
          <w:color w:val="auto"/>
          <w:kern w:val="0"/>
          <w:lang w:val="en-US" w:eastAsia="zh-CN"/>
        </w:rPr>
        <w:t>医保局DIP</w:t>
      </w:r>
      <w:r>
        <w:rPr>
          <w:rFonts w:hint="eastAsia" w:ascii="Times New Roman" w:hAnsi="Times New Roman" w:eastAsia="宋体"/>
          <w:bCs/>
          <w:color w:val="auto"/>
          <w:kern w:val="0"/>
          <w:lang w:val="en-US" w:eastAsia="zh-CN"/>
        </w:rPr>
        <w:t>支付方式具体需要对系统进行配置及调整</w:t>
      </w:r>
      <w:r>
        <w:rPr>
          <w:rFonts w:hint="eastAsia"/>
          <w:color w:val="auto"/>
        </w:rPr>
        <w:t>。</w:t>
      </w:r>
    </w:p>
    <w:p>
      <w:pPr>
        <w:pStyle w:val="27"/>
        <w:numPr>
          <w:ilvl w:val="0"/>
          <w:numId w:val="3"/>
        </w:numPr>
        <w:shd w:val="clear"/>
        <w:spacing w:line="400" w:lineRule="exact"/>
        <w:ind w:firstLine="420" w:firstLineChars="0"/>
        <w:rPr>
          <w:rFonts w:hint="eastAsia" w:ascii="Times New Roman" w:hAnsi="Times New Roman" w:eastAsia="宋体"/>
          <w:bCs/>
          <w:color w:val="auto"/>
          <w:kern w:val="0"/>
          <w:lang w:val="en-US" w:eastAsia="zh-CN"/>
        </w:rPr>
      </w:pPr>
      <w:r>
        <w:rPr>
          <w:rFonts w:hint="eastAsia" w:ascii="Times New Roman" w:hAnsi="Times New Roman"/>
          <w:bCs/>
          <w:color w:val="auto"/>
          <w:kern w:val="0"/>
          <w:lang w:val="en-GB" w:eastAsia="zh-CN"/>
        </w:rPr>
        <w:t>DIP</w:t>
      </w:r>
      <w:r>
        <w:rPr>
          <w:rFonts w:hint="eastAsia" w:ascii="Times New Roman" w:hAnsi="Times New Roman" w:eastAsia="宋体"/>
          <w:bCs/>
          <w:color w:val="auto"/>
          <w:kern w:val="0"/>
          <w:lang w:val="en-GB" w:eastAsia="zh-CN"/>
        </w:rPr>
        <w:t>定额及月度预结算调整</w:t>
      </w:r>
      <w:r>
        <w:rPr>
          <w:rFonts w:hint="eastAsia" w:ascii="Times New Roman" w:hAnsi="Times New Roman" w:eastAsia="宋体"/>
          <w:bCs/>
          <w:color w:val="auto"/>
          <w:kern w:val="0"/>
          <w:lang w:val="en-US" w:eastAsia="zh-CN"/>
        </w:rPr>
        <w:t>需求分析</w:t>
      </w:r>
    </w:p>
    <w:p>
      <w:pPr>
        <w:pStyle w:val="27"/>
        <w:shd w:val="clear"/>
        <w:spacing w:line="400" w:lineRule="exact"/>
        <w:ind w:firstLine="420" w:firstLineChars="0"/>
        <w:rPr>
          <w:rFonts w:hint="default" w:ascii="Times New Roman" w:hAnsi="Times New Roman" w:eastAsia="宋体"/>
          <w:bCs/>
          <w:color w:val="auto"/>
          <w:kern w:val="0"/>
          <w:lang w:val="en-US" w:eastAsia="zh-CN"/>
        </w:rPr>
      </w:pPr>
      <w:r>
        <w:rPr>
          <w:rFonts w:hint="eastAsia" w:ascii="Times New Roman" w:hAnsi="Times New Roman" w:eastAsia="宋体"/>
          <w:bCs/>
          <w:color w:val="auto"/>
          <w:kern w:val="0"/>
          <w:lang w:val="en-US" w:eastAsia="zh-CN"/>
        </w:rPr>
        <w:t>根据</w:t>
      </w:r>
      <w:r>
        <w:rPr>
          <w:rFonts w:hint="eastAsia" w:ascii="Times New Roman" w:hAnsi="Times New Roman"/>
          <w:bCs/>
          <w:color w:val="auto"/>
          <w:kern w:val="0"/>
          <w:lang w:val="en-US" w:eastAsia="zh-CN"/>
        </w:rPr>
        <w:t>我市DIP</w:t>
      </w:r>
      <w:r>
        <w:rPr>
          <w:rFonts w:hint="eastAsia" w:ascii="Times New Roman" w:hAnsi="Times New Roman" w:eastAsia="宋体"/>
          <w:bCs/>
          <w:color w:val="auto"/>
          <w:kern w:val="0"/>
          <w:lang w:val="en-US" w:eastAsia="zh-CN"/>
        </w:rPr>
        <w:t>月度预付规则对符合月度预付规则的结算记录进行月度预付配置及改造。</w:t>
      </w:r>
    </w:p>
    <w:p>
      <w:pPr>
        <w:pStyle w:val="27"/>
        <w:numPr>
          <w:ilvl w:val="0"/>
          <w:numId w:val="3"/>
        </w:numPr>
        <w:shd w:val="clear"/>
        <w:spacing w:line="400" w:lineRule="exact"/>
        <w:ind w:firstLine="420" w:firstLineChars="0"/>
        <w:rPr>
          <w:rFonts w:hint="eastAsia" w:ascii="Times New Roman" w:hAnsi="Times New Roman" w:eastAsia="宋体"/>
          <w:bCs/>
          <w:color w:val="auto"/>
          <w:kern w:val="0"/>
          <w:lang w:val="en-GB" w:eastAsia="zh-CN"/>
        </w:rPr>
      </w:pPr>
      <w:r>
        <w:rPr>
          <w:rFonts w:hint="eastAsia" w:ascii="Times New Roman" w:hAnsi="Times New Roman"/>
          <w:bCs/>
          <w:color w:val="auto"/>
          <w:kern w:val="0"/>
          <w:lang w:val="en-GB" w:eastAsia="zh-CN"/>
        </w:rPr>
        <w:t>DIP</w:t>
      </w:r>
      <w:r>
        <w:rPr>
          <w:rFonts w:hint="eastAsia" w:ascii="Times New Roman" w:hAnsi="Times New Roman" w:eastAsia="宋体"/>
          <w:bCs/>
          <w:color w:val="auto"/>
          <w:kern w:val="0"/>
          <w:lang w:val="en-GB" w:eastAsia="zh-CN"/>
        </w:rPr>
        <w:t>年终清算调整</w:t>
      </w:r>
      <w:r>
        <w:rPr>
          <w:rFonts w:hint="eastAsia" w:ascii="Times New Roman" w:hAnsi="Times New Roman" w:eastAsia="宋体"/>
          <w:bCs/>
          <w:color w:val="auto"/>
          <w:kern w:val="0"/>
          <w:lang w:val="en-US" w:eastAsia="zh-CN"/>
        </w:rPr>
        <w:t>需求分析</w:t>
      </w:r>
    </w:p>
    <w:p>
      <w:pPr>
        <w:pStyle w:val="27"/>
        <w:shd w:val="clear"/>
        <w:spacing w:line="400" w:lineRule="exact"/>
        <w:ind w:firstLine="420" w:firstLineChars="0"/>
        <w:rPr>
          <w:rFonts w:hint="eastAsia" w:ascii="Times New Roman" w:hAnsi="Times New Roman" w:eastAsia="宋体"/>
          <w:bCs/>
          <w:color w:val="auto"/>
          <w:kern w:val="0"/>
          <w:lang w:val="en-US" w:eastAsia="zh-CN"/>
        </w:rPr>
      </w:pPr>
      <w:r>
        <w:rPr>
          <w:rFonts w:hint="eastAsia" w:ascii="Times New Roman" w:hAnsi="Times New Roman" w:eastAsia="宋体"/>
          <w:bCs/>
          <w:color w:val="auto"/>
          <w:kern w:val="0"/>
          <w:lang w:val="en-US" w:eastAsia="zh-CN"/>
        </w:rPr>
        <w:t>根据</w:t>
      </w:r>
      <w:r>
        <w:rPr>
          <w:rFonts w:hint="eastAsia" w:ascii="Times New Roman" w:hAnsi="Times New Roman"/>
          <w:bCs/>
          <w:color w:val="auto"/>
          <w:kern w:val="0"/>
          <w:lang w:val="en-US" w:eastAsia="zh-CN"/>
        </w:rPr>
        <w:t>我市DIP</w:t>
      </w:r>
      <w:r>
        <w:rPr>
          <w:rFonts w:hint="eastAsia" w:ascii="Times New Roman" w:hAnsi="Times New Roman" w:eastAsia="宋体"/>
          <w:bCs/>
          <w:color w:val="auto"/>
          <w:kern w:val="0"/>
          <w:lang w:val="en-US" w:eastAsia="zh-CN"/>
        </w:rPr>
        <w:t>年终清算规则对全年符合</w:t>
      </w:r>
      <w:r>
        <w:rPr>
          <w:rFonts w:hint="eastAsia" w:ascii="Times New Roman" w:hAnsi="Times New Roman"/>
          <w:bCs/>
          <w:color w:val="auto"/>
          <w:kern w:val="0"/>
          <w:lang w:val="en-US" w:eastAsia="zh-CN"/>
        </w:rPr>
        <w:t>DIP</w:t>
      </w:r>
      <w:r>
        <w:rPr>
          <w:rFonts w:hint="eastAsia" w:ascii="Times New Roman" w:hAnsi="Times New Roman" w:eastAsia="宋体"/>
          <w:bCs/>
          <w:color w:val="auto"/>
          <w:kern w:val="0"/>
          <w:lang w:val="en-US" w:eastAsia="zh-CN"/>
        </w:rPr>
        <w:t>清算方式的结算记录</w:t>
      </w:r>
      <w:r>
        <w:rPr>
          <w:rFonts w:hint="eastAsia" w:ascii="Times New Roman" w:hAnsi="Times New Roman"/>
          <w:bCs/>
          <w:color w:val="auto"/>
          <w:kern w:val="0"/>
          <w:lang w:val="en-US" w:eastAsia="zh-CN"/>
        </w:rPr>
        <w:t>，</w:t>
      </w:r>
      <w:r>
        <w:rPr>
          <w:rFonts w:hint="eastAsia" w:ascii="Times New Roman" w:hAnsi="Times New Roman" w:eastAsia="宋体"/>
          <w:bCs/>
          <w:color w:val="auto"/>
          <w:kern w:val="0"/>
          <w:lang w:val="en-US" w:eastAsia="zh-CN"/>
        </w:rPr>
        <w:t>进行年终清算配置及改造。</w:t>
      </w:r>
    </w:p>
    <w:p>
      <w:pPr>
        <w:pStyle w:val="27"/>
        <w:numPr>
          <w:ilvl w:val="0"/>
          <w:numId w:val="3"/>
        </w:numPr>
        <w:shd w:val="clear"/>
        <w:spacing w:line="400" w:lineRule="exact"/>
        <w:ind w:firstLine="420" w:firstLineChars="0"/>
        <w:rPr>
          <w:rFonts w:hint="eastAsia" w:ascii="Times New Roman" w:hAnsi="Times New Roman" w:eastAsia="宋体"/>
          <w:bCs/>
          <w:color w:val="auto"/>
          <w:kern w:val="0"/>
          <w:lang w:val="en-US" w:eastAsia="zh-CN"/>
        </w:rPr>
      </w:pPr>
      <w:r>
        <w:rPr>
          <w:rFonts w:hint="eastAsia" w:ascii="Times New Roman" w:hAnsi="Times New Roman" w:eastAsia="宋体"/>
          <w:bCs/>
          <w:color w:val="auto"/>
          <w:kern w:val="0"/>
          <w:lang w:val="en-US" w:eastAsia="zh-CN"/>
        </w:rPr>
        <w:t>非dip门诊待遇年终清算功能调整</w:t>
      </w:r>
    </w:p>
    <w:p>
      <w:pPr>
        <w:pStyle w:val="27"/>
        <w:shd w:val="clear"/>
        <w:spacing w:line="400" w:lineRule="exact"/>
        <w:ind w:firstLine="420" w:firstLineChars="0"/>
        <w:rPr>
          <w:rFonts w:hint="eastAsia" w:ascii="Times New Roman" w:hAnsi="Times New Roman" w:eastAsia="宋体"/>
          <w:bCs/>
          <w:color w:val="auto"/>
          <w:kern w:val="0"/>
          <w:lang w:val="en-US" w:eastAsia="zh-CN"/>
        </w:rPr>
      </w:pPr>
      <w:r>
        <w:rPr>
          <w:rFonts w:hint="eastAsia" w:ascii="Times New Roman" w:hAnsi="Times New Roman" w:eastAsia="宋体"/>
          <w:bCs/>
          <w:color w:val="auto"/>
          <w:kern w:val="0"/>
          <w:lang w:val="en-US" w:eastAsia="zh-CN"/>
        </w:rPr>
        <w:t>根据</w:t>
      </w:r>
      <w:r>
        <w:rPr>
          <w:rFonts w:hint="eastAsia" w:ascii="Times New Roman" w:hAnsi="Times New Roman"/>
          <w:bCs/>
          <w:color w:val="auto"/>
          <w:kern w:val="0"/>
          <w:lang w:val="en-US" w:eastAsia="zh-CN"/>
        </w:rPr>
        <w:t>我市非DIP</w:t>
      </w:r>
      <w:r>
        <w:rPr>
          <w:rFonts w:hint="eastAsia" w:ascii="Times New Roman" w:hAnsi="Times New Roman" w:eastAsia="宋体"/>
          <w:bCs/>
          <w:color w:val="auto"/>
          <w:kern w:val="0"/>
          <w:lang w:val="en-US" w:eastAsia="zh-CN"/>
        </w:rPr>
        <w:t>年终清算规则对全年符合</w:t>
      </w:r>
      <w:r>
        <w:rPr>
          <w:rFonts w:hint="eastAsia" w:ascii="Times New Roman" w:hAnsi="Times New Roman"/>
          <w:bCs/>
          <w:color w:val="auto"/>
          <w:kern w:val="0"/>
          <w:lang w:val="en-US" w:eastAsia="zh-CN"/>
        </w:rPr>
        <w:t>非DIP</w:t>
      </w:r>
      <w:r>
        <w:rPr>
          <w:rFonts w:hint="eastAsia" w:ascii="Times New Roman" w:hAnsi="Times New Roman" w:eastAsia="宋体"/>
          <w:bCs/>
          <w:color w:val="auto"/>
          <w:kern w:val="0"/>
          <w:lang w:val="en-US" w:eastAsia="zh-CN"/>
        </w:rPr>
        <w:t>清算方式的结算记录</w:t>
      </w:r>
      <w:r>
        <w:rPr>
          <w:rFonts w:hint="eastAsia" w:ascii="Times New Roman" w:hAnsi="Times New Roman"/>
          <w:bCs/>
          <w:color w:val="auto"/>
          <w:kern w:val="0"/>
          <w:lang w:val="en-US" w:eastAsia="zh-CN"/>
        </w:rPr>
        <w:t>，</w:t>
      </w:r>
      <w:r>
        <w:rPr>
          <w:rFonts w:hint="eastAsia" w:ascii="Times New Roman" w:hAnsi="Times New Roman" w:eastAsia="宋体"/>
          <w:bCs/>
          <w:color w:val="auto"/>
          <w:kern w:val="0"/>
          <w:lang w:val="en-US" w:eastAsia="zh-CN"/>
        </w:rPr>
        <w:t>进行年终清算配置及改造</w:t>
      </w:r>
    </w:p>
    <w:p>
      <w:pPr>
        <w:pStyle w:val="27"/>
        <w:numPr>
          <w:ilvl w:val="0"/>
          <w:numId w:val="3"/>
        </w:numPr>
        <w:shd w:val="clear"/>
        <w:spacing w:line="400" w:lineRule="exact"/>
        <w:ind w:firstLine="420" w:firstLineChars="0"/>
        <w:rPr>
          <w:rFonts w:hint="eastAsia" w:ascii="Times New Roman" w:hAnsi="Times New Roman" w:eastAsia="宋体"/>
          <w:bCs/>
          <w:color w:val="auto"/>
          <w:kern w:val="0"/>
          <w:lang w:val="en-GB" w:eastAsia="zh-CN"/>
        </w:rPr>
      </w:pPr>
      <w:r>
        <w:rPr>
          <w:rFonts w:hint="eastAsia" w:ascii="Times New Roman" w:hAnsi="Times New Roman" w:eastAsia="宋体"/>
          <w:bCs/>
          <w:color w:val="auto"/>
          <w:kern w:val="0"/>
          <w:lang w:val="en-GB" w:eastAsia="zh-CN"/>
        </w:rPr>
        <w:t>业务基础子系统调整</w:t>
      </w:r>
      <w:r>
        <w:rPr>
          <w:rFonts w:hint="eastAsia" w:ascii="Times New Roman" w:hAnsi="Times New Roman" w:eastAsia="宋体"/>
          <w:bCs/>
          <w:color w:val="auto"/>
          <w:kern w:val="0"/>
          <w:lang w:val="en-US" w:eastAsia="zh-CN"/>
        </w:rPr>
        <w:t>需求分析</w:t>
      </w:r>
    </w:p>
    <w:p>
      <w:pPr>
        <w:pStyle w:val="27"/>
        <w:shd w:val="clear"/>
        <w:spacing w:line="400" w:lineRule="exact"/>
        <w:ind w:firstLine="420" w:firstLineChars="0"/>
        <w:rPr>
          <w:rFonts w:hint="eastAsia" w:ascii="Times New Roman" w:hAnsi="Times New Roman"/>
          <w:bCs/>
          <w:color w:val="auto"/>
          <w:kern w:val="0"/>
          <w:lang w:val="en-US" w:eastAsia="zh-CN"/>
        </w:rPr>
      </w:pPr>
      <w:r>
        <w:rPr>
          <w:rFonts w:hint="eastAsia" w:ascii="Times New Roman" w:hAnsi="Times New Roman"/>
          <w:bCs/>
          <w:color w:val="auto"/>
          <w:kern w:val="0"/>
          <w:lang w:val="en-US" w:eastAsia="zh-CN"/>
        </w:rPr>
        <w:t>根据DIP业务需求，涉及到原有业务基础子系统配套的功能也需要进行调整</w:t>
      </w:r>
    </w:p>
    <w:p>
      <w:pPr>
        <w:pStyle w:val="4"/>
        <w:shd w:val="clear"/>
        <w:bidi w:val="0"/>
        <w:rPr>
          <w:rFonts w:hint="eastAsia"/>
          <w:color w:val="auto"/>
          <w:lang w:val="en-US" w:eastAsia="zh-CN"/>
        </w:rPr>
      </w:pPr>
      <w:r>
        <w:rPr>
          <w:rFonts w:hint="eastAsia"/>
          <w:color w:val="auto"/>
          <w:lang w:val="en-US" w:eastAsia="zh-CN"/>
        </w:rPr>
        <w:t>性能需求</w:t>
      </w:r>
      <w:bookmarkEnd w:id="8"/>
    </w:p>
    <w:p>
      <w:pPr>
        <w:shd w:val="clear"/>
        <w:bidi w:val="0"/>
        <w:spacing w:line="360" w:lineRule="auto"/>
        <w:ind w:firstLine="480" w:firstLineChars="200"/>
        <w:rPr>
          <w:rFonts w:hint="eastAsia" w:asciiTheme="minorAscii" w:hAnsiTheme="minorAscii"/>
          <w:color w:val="auto"/>
          <w:sz w:val="24"/>
          <w:lang w:val="en-US" w:eastAsia="zh-CN"/>
        </w:rPr>
      </w:pPr>
      <w:r>
        <w:rPr>
          <w:rFonts w:hint="eastAsia" w:asciiTheme="minorAscii" w:hAnsiTheme="minorAscii"/>
          <w:color w:val="auto"/>
          <w:sz w:val="24"/>
          <w:lang w:val="en-US" w:eastAsia="zh-CN"/>
        </w:rPr>
        <w:t>本项目要求系统能够实现快速响应，同时应充分考虑业务的特殊性和复杂性，确保系统的总体性能满足要求，不发生长时间业务中断、阻塞、死锁等情况。并保证在今后一段时期内业务增长的情况下，系统需要具有较高的性能。。</w:t>
      </w:r>
    </w:p>
    <w:p>
      <w:pPr>
        <w:pStyle w:val="4"/>
        <w:shd w:val="clear"/>
        <w:bidi w:val="0"/>
        <w:rPr>
          <w:rFonts w:hint="default"/>
          <w:color w:val="auto"/>
          <w:lang w:val="en-US" w:eastAsia="zh-CN"/>
        </w:rPr>
      </w:pPr>
      <w:bookmarkStart w:id="9" w:name="_Toc31328"/>
      <w:r>
        <w:rPr>
          <w:rFonts w:hint="default"/>
          <w:color w:val="auto"/>
          <w:lang w:val="en-US" w:eastAsia="zh-CN"/>
        </w:rPr>
        <w:t>安全需求</w:t>
      </w:r>
      <w:bookmarkEnd w:id="9"/>
    </w:p>
    <w:p>
      <w:pPr>
        <w:shd w:val="clear"/>
        <w:bidi w:val="0"/>
        <w:spacing w:line="360" w:lineRule="auto"/>
        <w:ind w:firstLine="480" w:firstLineChars="200"/>
        <w:rPr>
          <w:rFonts w:hint="eastAsia" w:eastAsia="宋体" w:asciiTheme="minorAscii" w:hAnsiTheme="minorAscii"/>
          <w:color w:val="auto"/>
          <w:sz w:val="24"/>
          <w:lang w:val="en-US" w:eastAsia="zh-CN"/>
        </w:rPr>
      </w:pPr>
      <w:bookmarkStart w:id="10" w:name="_Toc24770"/>
      <w:r>
        <w:rPr>
          <w:rFonts w:hint="eastAsia" w:eastAsia="宋体" w:asciiTheme="minorAscii" w:hAnsiTheme="minorAscii"/>
          <w:color w:val="auto"/>
          <w:sz w:val="24"/>
          <w:lang w:val="en-US" w:eastAsia="zh-CN"/>
        </w:rPr>
        <w:t>应用软件必须对每一位使用应用软件的操作人员，都要验证其身份和权限。</w:t>
      </w:r>
    </w:p>
    <w:p>
      <w:pPr>
        <w:shd w:val="clear"/>
        <w:bidi w:val="0"/>
        <w:spacing w:line="360" w:lineRule="auto"/>
        <w:ind w:firstLine="480" w:firstLineChars="200"/>
        <w:rPr>
          <w:rFonts w:hint="eastAsia" w:eastAsia="宋体" w:asciiTheme="minorAscii" w:hAnsiTheme="minorAscii"/>
          <w:color w:val="auto"/>
          <w:sz w:val="24"/>
          <w:lang w:val="en-US" w:eastAsia="zh-CN"/>
        </w:rPr>
      </w:pPr>
      <w:r>
        <w:rPr>
          <w:rFonts w:hint="eastAsia" w:eastAsia="宋体" w:asciiTheme="minorAscii" w:hAnsiTheme="minorAscii"/>
          <w:color w:val="auto"/>
          <w:sz w:val="24"/>
          <w:lang w:val="en-US" w:eastAsia="zh-CN"/>
        </w:rPr>
        <w:t>应用软件对于启动任何一个有潜在风险的功能，至少有两个或两个以上的确认动作，给业务经办人以纠正错误的机会，借以避免偶然的误操作造成不可恢复错误。</w:t>
      </w:r>
    </w:p>
    <w:p>
      <w:pPr>
        <w:pStyle w:val="3"/>
        <w:shd w:val="clear"/>
        <w:bidi w:val="0"/>
        <w:rPr>
          <w:rFonts w:hint="default"/>
          <w:color w:val="auto"/>
          <w:lang w:val="en-US" w:eastAsia="zh-CN"/>
        </w:rPr>
      </w:pPr>
      <w:r>
        <w:rPr>
          <w:rFonts w:hint="eastAsia"/>
          <w:color w:val="auto"/>
          <w:lang w:val="en-US" w:eastAsia="zh-CN"/>
        </w:rPr>
        <w:t>项目实施要求</w:t>
      </w:r>
      <w:bookmarkEnd w:id="10"/>
    </w:p>
    <w:p>
      <w:pPr>
        <w:pStyle w:val="4"/>
        <w:shd w:val="clear"/>
        <w:bidi w:val="0"/>
        <w:rPr>
          <w:rFonts w:hint="default"/>
          <w:color w:val="auto"/>
          <w:lang w:val="en-US" w:eastAsia="zh-CN"/>
        </w:rPr>
      </w:pPr>
      <w:bookmarkStart w:id="11" w:name="_Toc8725"/>
      <w:r>
        <w:rPr>
          <w:rFonts w:hint="default"/>
          <w:color w:val="auto"/>
          <w:lang w:val="en-US" w:eastAsia="zh-CN"/>
        </w:rPr>
        <w:t>项目组织管理要求</w:t>
      </w:r>
      <w:bookmarkEnd w:id="11"/>
    </w:p>
    <w:p>
      <w:pPr>
        <w:shd w:val="clear"/>
        <w:bidi w:val="0"/>
        <w:spacing w:line="360" w:lineRule="auto"/>
        <w:ind w:firstLine="480" w:firstLineChars="200"/>
        <w:rPr>
          <w:rFonts w:hint="default" w:eastAsia="宋体" w:asciiTheme="minorAscii" w:hAnsiTheme="minorAscii"/>
          <w:color w:val="auto"/>
          <w:sz w:val="24"/>
          <w:lang w:val="en-US" w:eastAsia="zh-CN"/>
        </w:rPr>
      </w:pPr>
      <w:r>
        <w:rPr>
          <w:rFonts w:hint="default" w:eastAsia="宋体" w:asciiTheme="minorAscii" w:hAnsiTheme="minorAscii"/>
          <w:color w:val="auto"/>
          <w:sz w:val="24"/>
          <w:lang w:val="en-US" w:eastAsia="zh-CN"/>
        </w:rPr>
        <w:t>1、投标人应充分考虑满足投标项目的建设要求，提出完整的项目组织管理方案，包括项目组织架构、人力资源管理等，并阐述项目建设中业主方的职责。</w:t>
      </w:r>
    </w:p>
    <w:p>
      <w:pPr>
        <w:shd w:val="clear"/>
        <w:bidi w:val="0"/>
        <w:spacing w:line="360" w:lineRule="auto"/>
        <w:ind w:firstLine="480" w:firstLineChars="200"/>
        <w:rPr>
          <w:rFonts w:hint="default" w:eastAsia="宋体" w:asciiTheme="minorAscii" w:hAnsiTheme="minorAscii"/>
          <w:color w:val="auto"/>
          <w:sz w:val="24"/>
          <w:lang w:val="en-US" w:eastAsia="zh-CN"/>
        </w:rPr>
      </w:pPr>
      <w:r>
        <w:rPr>
          <w:rFonts w:hint="eastAsia" w:eastAsia="宋体" w:asciiTheme="minorAscii" w:hAnsiTheme="minorAscii"/>
          <w:color w:val="auto"/>
          <w:sz w:val="24"/>
          <w:lang w:val="en-US" w:eastAsia="zh-CN"/>
        </w:rPr>
        <w:t>2</w:t>
      </w:r>
      <w:r>
        <w:rPr>
          <w:rFonts w:hint="default" w:eastAsia="宋体" w:asciiTheme="minorAscii" w:hAnsiTheme="minorAscii"/>
          <w:color w:val="auto"/>
          <w:sz w:val="24"/>
          <w:lang w:val="en-US" w:eastAsia="zh-CN"/>
        </w:rPr>
        <w:t>、项目核心人员的更替需要提出书面申请，并征得</w:t>
      </w:r>
      <w:r>
        <w:rPr>
          <w:rFonts w:hint="eastAsia" w:eastAsia="宋体" w:asciiTheme="minorAscii" w:hAnsiTheme="minorAscii"/>
          <w:color w:val="auto"/>
          <w:sz w:val="24"/>
          <w:lang w:val="en-US" w:eastAsia="zh-CN"/>
        </w:rPr>
        <w:t>业主方</w:t>
      </w:r>
      <w:r>
        <w:rPr>
          <w:rFonts w:hint="default" w:eastAsia="宋体" w:asciiTheme="minorAscii" w:hAnsiTheme="minorAscii"/>
          <w:color w:val="auto"/>
          <w:sz w:val="24"/>
          <w:lang w:val="en-US" w:eastAsia="zh-CN"/>
        </w:rPr>
        <w:t>同意后方可替换。</w:t>
      </w:r>
    </w:p>
    <w:p>
      <w:pPr>
        <w:pStyle w:val="4"/>
        <w:shd w:val="clear"/>
        <w:bidi w:val="0"/>
        <w:rPr>
          <w:rFonts w:hint="default"/>
          <w:color w:val="auto"/>
          <w:lang w:val="en-US" w:eastAsia="zh-CN"/>
        </w:rPr>
      </w:pPr>
      <w:r>
        <w:rPr>
          <w:rFonts w:hint="default"/>
          <w:color w:val="auto"/>
          <w:lang w:val="en-US" w:eastAsia="zh-CN"/>
        </w:rPr>
        <w:tab/>
      </w:r>
      <w:bookmarkStart w:id="12" w:name="_Toc12690"/>
      <w:r>
        <w:rPr>
          <w:rFonts w:hint="default"/>
          <w:color w:val="auto"/>
          <w:lang w:val="en-US" w:eastAsia="zh-CN"/>
        </w:rPr>
        <w:t>项目进度管理要求</w:t>
      </w:r>
      <w:bookmarkEnd w:id="12"/>
    </w:p>
    <w:p>
      <w:pPr>
        <w:shd w:val="clear"/>
        <w:bidi w:val="0"/>
        <w:spacing w:line="360" w:lineRule="auto"/>
        <w:ind w:firstLine="480" w:firstLineChars="200"/>
        <w:rPr>
          <w:rFonts w:hint="default" w:eastAsia="宋体" w:asciiTheme="minorAscii" w:hAnsiTheme="minorAscii"/>
          <w:color w:val="auto"/>
          <w:sz w:val="24"/>
          <w:lang w:val="en-US" w:eastAsia="zh-CN"/>
        </w:rPr>
      </w:pPr>
      <w:r>
        <w:rPr>
          <w:rFonts w:hint="eastAsia" w:eastAsia="宋体" w:asciiTheme="minorAscii" w:hAnsiTheme="minorAscii"/>
          <w:color w:val="auto"/>
          <w:sz w:val="24"/>
          <w:lang w:val="en-US" w:eastAsia="zh-CN"/>
        </w:rPr>
        <w:t>1、</w:t>
      </w:r>
      <w:r>
        <w:rPr>
          <w:rFonts w:hint="default" w:eastAsia="宋体" w:asciiTheme="minorAscii" w:hAnsiTheme="minorAscii"/>
          <w:color w:val="auto"/>
          <w:sz w:val="24"/>
          <w:lang w:val="en-US" w:eastAsia="zh-CN"/>
        </w:rPr>
        <w:t>投标人需要根据项目工期要求，提出项目实施进度计划，列出详细的工程进度安排表，并提出相应的保障措施。</w:t>
      </w:r>
    </w:p>
    <w:p>
      <w:pPr>
        <w:shd w:val="clear"/>
        <w:bidi w:val="0"/>
        <w:spacing w:line="360" w:lineRule="auto"/>
        <w:ind w:firstLine="480" w:firstLineChars="200"/>
        <w:rPr>
          <w:rFonts w:hint="default" w:eastAsia="宋体" w:asciiTheme="minorAscii" w:hAnsiTheme="minorAscii"/>
          <w:color w:val="auto"/>
          <w:sz w:val="24"/>
          <w:lang w:val="en-US" w:eastAsia="zh-CN"/>
        </w:rPr>
      </w:pPr>
      <w:r>
        <w:rPr>
          <w:rFonts w:hint="default" w:eastAsia="宋体" w:asciiTheme="minorAscii" w:hAnsiTheme="minorAscii"/>
          <w:color w:val="auto"/>
          <w:sz w:val="24"/>
          <w:lang w:val="en-US" w:eastAsia="zh-CN"/>
        </w:rPr>
        <w:t>2、中标人在项目实施过程中需要分别按周、月提交进度报告，对项目问题及进度延迟原因进行说明，制定合理的解决措施并有效执行。</w:t>
      </w:r>
    </w:p>
    <w:p>
      <w:pPr>
        <w:pStyle w:val="4"/>
        <w:shd w:val="clear"/>
        <w:bidi w:val="0"/>
        <w:rPr>
          <w:rFonts w:hint="default"/>
          <w:color w:val="auto"/>
          <w:lang w:val="en-US" w:eastAsia="zh-CN"/>
        </w:rPr>
      </w:pPr>
      <w:bookmarkStart w:id="13" w:name="_Toc23404"/>
      <w:r>
        <w:rPr>
          <w:rFonts w:hint="default"/>
          <w:color w:val="auto"/>
          <w:lang w:val="en-US" w:eastAsia="zh-CN"/>
        </w:rPr>
        <w:t>项目质量管理要求</w:t>
      </w:r>
      <w:bookmarkEnd w:id="13"/>
    </w:p>
    <w:p>
      <w:pPr>
        <w:shd w:val="clear"/>
        <w:bidi w:val="0"/>
        <w:spacing w:line="360" w:lineRule="auto"/>
        <w:ind w:firstLine="480" w:firstLineChars="200"/>
        <w:rPr>
          <w:rFonts w:hint="eastAsia" w:eastAsia="宋体" w:asciiTheme="minorAscii" w:hAnsiTheme="minorAscii"/>
          <w:color w:val="auto"/>
          <w:sz w:val="24"/>
          <w:lang w:val="en-US" w:eastAsia="zh-CN"/>
        </w:rPr>
      </w:pPr>
      <w:r>
        <w:rPr>
          <w:rFonts w:hint="eastAsia" w:eastAsia="宋体" w:asciiTheme="minorAscii" w:hAnsiTheme="minorAscii"/>
          <w:color w:val="auto"/>
          <w:sz w:val="24"/>
          <w:lang w:val="en-US" w:eastAsia="zh-CN"/>
        </w:rPr>
        <w:t>1、投标人应按ISO9001及CMM质量管理体系规范要求，针对招标项目实施过程及交付结果进行质量规划、管理、控制。</w:t>
      </w:r>
    </w:p>
    <w:p>
      <w:pPr>
        <w:shd w:val="clear"/>
        <w:bidi w:val="0"/>
        <w:spacing w:line="360" w:lineRule="auto"/>
        <w:ind w:firstLine="480" w:firstLineChars="200"/>
        <w:rPr>
          <w:rFonts w:hint="eastAsia" w:eastAsia="宋体" w:asciiTheme="minorAscii" w:hAnsiTheme="minorAscii"/>
          <w:color w:val="auto"/>
          <w:sz w:val="24"/>
          <w:lang w:val="en-US" w:eastAsia="zh-CN"/>
        </w:rPr>
      </w:pPr>
      <w:r>
        <w:rPr>
          <w:rFonts w:hint="eastAsia" w:eastAsia="宋体" w:asciiTheme="minorAscii" w:hAnsiTheme="minorAscii"/>
          <w:color w:val="auto"/>
          <w:sz w:val="24"/>
          <w:lang w:val="en-US" w:eastAsia="zh-CN"/>
        </w:rPr>
        <w:t>2、符合国家标准有关软件开发技术规范、软件文档管理和软件验收标准的要求。</w:t>
      </w:r>
    </w:p>
    <w:p>
      <w:pPr>
        <w:shd w:val="clear"/>
        <w:bidi w:val="0"/>
        <w:spacing w:line="360" w:lineRule="auto"/>
        <w:ind w:firstLine="480" w:firstLineChars="200"/>
        <w:rPr>
          <w:rFonts w:hint="eastAsia" w:eastAsia="宋体" w:asciiTheme="minorAscii" w:hAnsiTheme="minorAscii"/>
          <w:color w:val="auto"/>
          <w:sz w:val="24"/>
          <w:lang w:val="en-US" w:eastAsia="zh-CN"/>
        </w:rPr>
      </w:pPr>
      <w:r>
        <w:rPr>
          <w:rFonts w:hint="eastAsia" w:eastAsia="宋体" w:asciiTheme="minorAscii" w:hAnsiTheme="minorAscii"/>
          <w:color w:val="auto"/>
          <w:sz w:val="24"/>
          <w:lang w:val="en-US" w:eastAsia="zh-CN"/>
        </w:rPr>
        <w:t>3、投标人应提供详细的质量保证、质量控制措施，明确质量保证、控制内容与活动。</w:t>
      </w:r>
    </w:p>
    <w:p>
      <w:pPr>
        <w:shd w:val="clear"/>
        <w:bidi w:val="0"/>
        <w:spacing w:line="360" w:lineRule="auto"/>
        <w:ind w:firstLine="480" w:firstLineChars="200"/>
        <w:rPr>
          <w:rFonts w:hint="eastAsia" w:eastAsia="宋体" w:asciiTheme="minorAscii" w:hAnsiTheme="minorAscii"/>
          <w:color w:val="auto"/>
          <w:sz w:val="24"/>
          <w:lang w:val="en-US" w:eastAsia="zh-CN"/>
        </w:rPr>
      </w:pPr>
      <w:r>
        <w:rPr>
          <w:rFonts w:hint="eastAsia" w:eastAsia="宋体" w:asciiTheme="minorAscii" w:hAnsiTheme="minorAscii"/>
          <w:color w:val="auto"/>
          <w:sz w:val="24"/>
          <w:lang w:val="en-US" w:eastAsia="zh-CN"/>
        </w:rPr>
        <w:t>4、投标人一旦中标，需要接受业主方的质量监督检查，提供真实有效的相关质量活动记录、证据，无条件接受业主方提出的质量问题整改要求，承担因质量问题导致的进度延迟责任。</w:t>
      </w:r>
    </w:p>
    <w:p>
      <w:pPr>
        <w:pStyle w:val="4"/>
        <w:shd w:val="clear"/>
        <w:bidi w:val="0"/>
        <w:rPr>
          <w:rFonts w:hint="default"/>
          <w:color w:val="auto"/>
          <w:lang w:val="en-US" w:eastAsia="zh-CN"/>
        </w:rPr>
      </w:pPr>
      <w:r>
        <w:rPr>
          <w:rFonts w:hint="eastAsia"/>
          <w:color w:val="auto"/>
          <w:lang w:val="en-US" w:eastAsia="zh-CN"/>
        </w:rPr>
        <w:t>项目风险管理要求</w:t>
      </w:r>
    </w:p>
    <w:p>
      <w:pPr>
        <w:shd w:val="clear"/>
        <w:bidi w:val="0"/>
        <w:spacing w:line="360" w:lineRule="auto"/>
        <w:ind w:firstLine="480" w:firstLineChars="200"/>
        <w:rPr>
          <w:rFonts w:hint="eastAsia" w:eastAsia="宋体" w:asciiTheme="minorAscii" w:hAnsiTheme="minorAscii"/>
          <w:color w:val="auto"/>
          <w:sz w:val="24"/>
          <w:lang w:val="en-US" w:eastAsia="zh-CN"/>
        </w:rPr>
      </w:pPr>
      <w:r>
        <w:rPr>
          <w:rFonts w:hint="eastAsia" w:eastAsia="宋体" w:asciiTheme="minorAscii" w:hAnsiTheme="minorAscii"/>
          <w:color w:val="auto"/>
          <w:sz w:val="24"/>
          <w:lang w:val="en-US" w:eastAsia="zh-CN"/>
        </w:rPr>
        <w:t>投标人应充分认识到项目风险管理的重要性，在投标文件中必须识别分析项目中的各类风险因素，并提出相应的对策。</w:t>
      </w:r>
    </w:p>
    <w:p>
      <w:pPr>
        <w:pStyle w:val="4"/>
        <w:shd w:val="clear"/>
        <w:bidi w:val="0"/>
        <w:rPr>
          <w:rFonts w:hint="default"/>
          <w:color w:val="auto"/>
          <w:lang w:val="en-US" w:eastAsia="zh-CN"/>
        </w:rPr>
      </w:pPr>
      <w:r>
        <w:rPr>
          <w:rFonts w:hint="eastAsia"/>
          <w:color w:val="auto"/>
          <w:lang w:val="en-US" w:eastAsia="zh-CN"/>
        </w:rPr>
        <w:t>项目测试要求</w:t>
      </w:r>
    </w:p>
    <w:p>
      <w:pPr>
        <w:shd w:val="clear"/>
        <w:bidi w:val="0"/>
        <w:spacing w:line="360" w:lineRule="auto"/>
        <w:ind w:firstLine="480" w:firstLineChars="200"/>
        <w:rPr>
          <w:rFonts w:hint="eastAsia" w:eastAsia="宋体" w:asciiTheme="minorAscii" w:hAnsiTheme="minorAscii"/>
          <w:color w:val="auto"/>
          <w:sz w:val="24"/>
          <w:lang w:val="en-US" w:eastAsia="zh-CN"/>
        </w:rPr>
      </w:pPr>
      <w:r>
        <w:rPr>
          <w:rFonts w:hint="eastAsia" w:eastAsia="宋体" w:asciiTheme="minorAscii" w:hAnsiTheme="minorAscii"/>
          <w:color w:val="auto"/>
          <w:sz w:val="24"/>
          <w:lang w:val="en-US" w:eastAsia="zh-CN"/>
        </w:rPr>
        <w:t>1、投标人必须提供详细测试方案，包括采用测试目的、测试方法与技术以及测试流程等，并能对测试问题进行有效处理。</w:t>
      </w:r>
    </w:p>
    <w:p>
      <w:pPr>
        <w:shd w:val="clear"/>
        <w:bidi w:val="0"/>
        <w:spacing w:line="360" w:lineRule="auto"/>
        <w:ind w:firstLine="480" w:firstLineChars="200"/>
        <w:rPr>
          <w:rFonts w:hint="eastAsia" w:eastAsia="宋体" w:asciiTheme="minorAscii" w:hAnsiTheme="minorAscii"/>
          <w:color w:val="auto"/>
          <w:sz w:val="24"/>
          <w:lang w:val="en-US" w:eastAsia="zh-CN"/>
        </w:rPr>
      </w:pPr>
      <w:r>
        <w:rPr>
          <w:rFonts w:hint="eastAsia" w:eastAsia="宋体" w:asciiTheme="minorAscii" w:hAnsiTheme="minorAscii"/>
          <w:color w:val="auto"/>
          <w:sz w:val="24"/>
          <w:lang w:val="en-US" w:eastAsia="zh-CN"/>
        </w:rPr>
        <w:t>2、在工程实施过程中，中标方应先拟出一个测试方案，具体到每一个测试步骤，与用户讨论通过后，方可按计划进行测试。</w:t>
      </w:r>
    </w:p>
    <w:p>
      <w:pPr>
        <w:pStyle w:val="4"/>
        <w:shd w:val="clear"/>
        <w:bidi w:val="0"/>
        <w:rPr>
          <w:rFonts w:hint="eastAsia"/>
          <w:color w:val="auto"/>
          <w:lang w:val="en-US" w:eastAsia="zh-CN"/>
        </w:rPr>
      </w:pPr>
      <w:r>
        <w:rPr>
          <w:rFonts w:hint="eastAsia"/>
          <w:color w:val="auto"/>
          <w:lang w:val="en-US" w:eastAsia="zh-CN"/>
        </w:rPr>
        <w:t>项目培训要求</w:t>
      </w:r>
    </w:p>
    <w:p>
      <w:pPr>
        <w:numPr>
          <w:ilvl w:val="0"/>
          <w:numId w:val="4"/>
        </w:numPr>
        <w:shd w:val="clear"/>
        <w:spacing w:line="360" w:lineRule="auto"/>
        <w:ind w:firstLine="480" w:firstLineChars="200"/>
        <w:rPr>
          <w:rFonts w:hint="eastAsia" w:ascii="宋体" w:hAnsi="宋体" w:cs="宋体"/>
          <w:color w:val="auto"/>
          <w:sz w:val="24"/>
        </w:rPr>
      </w:pPr>
      <w:r>
        <w:rPr>
          <w:rFonts w:hint="eastAsia" w:ascii="宋体" w:hAnsi="宋体" w:cs="宋体"/>
          <w:color w:val="auto"/>
          <w:sz w:val="24"/>
        </w:rPr>
        <w:t>培训目的：</w:t>
      </w:r>
      <w:r>
        <w:rPr>
          <w:rFonts w:hint="eastAsia" w:ascii="宋体" w:hAnsi="宋体" w:cs="宋体"/>
          <w:color w:val="auto"/>
          <w:sz w:val="24"/>
          <w:lang w:eastAsia="zh-CN"/>
        </w:rPr>
        <w:t>中标人</w:t>
      </w:r>
      <w:r>
        <w:rPr>
          <w:rFonts w:hint="eastAsia" w:ascii="宋体" w:hAnsi="宋体" w:cs="宋体"/>
          <w:color w:val="auto"/>
          <w:sz w:val="24"/>
        </w:rPr>
        <w:t>负责对</w:t>
      </w:r>
      <w:r>
        <w:rPr>
          <w:rFonts w:hint="eastAsia" w:ascii="宋体" w:hAnsi="宋体" w:cs="宋体"/>
          <w:color w:val="auto"/>
          <w:sz w:val="24"/>
          <w:lang w:eastAsia="zh-CN"/>
        </w:rPr>
        <w:t>甲方</w:t>
      </w:r>
      <w:r>
        <w:rPr>
          <w:rFonts w:hint="eastAsia" w:ascii="宋体" w:hAnsi="宋体" w:cs="宋体"/>
          <w:color w:val="auto"/>
          <w:sz w:val="24"/>
        </w:rPr>
        <w:t>进行全面的技术培训（培训费用包含在投标报价中），使</w:t>
      </w:r>
      <w:r>
        <w:rPr>
          <w:rFonts w:hint="eastAsia" w:ascii="宋体" w:hAnsi="宋体" w:cs="宋体"/>
          <w:color w:val="auto"/>
          <w:sz w:val="24"/>
          <w:lang w:eastAsia="zh-CN"/>
        </w:rPr>
        <w:t>甲方</w:t>
      </w:r>
      <w:r>
        <w:rPr>
          <w:rFonts w:hint="eastAsia" w:ascii="宋体" w:hAnsi="宋体" w:cs="宋体"/>
          <w:color w:val="auto"/>
          <w:sz w:val="24"/>
        </w:rPr>
        <w:t>达到能独立进行管理、维护和故障处理等工作，以便</w:t>
      </w:r>
      <w:r>
        <w:rPr>
          <w:rFonts w:hint="eastAsia" w:ascii="宋体" w:hAnsi="宋体" w:cs="宋体"/>
          <w:color w:val="auto"/>
          <w:sz w:val="24"/>
          <w:lang w:eastAsia="zh-CN"/>
        </w:rPr>
        <w:t>甲方</w:t>
      </w:r>
      <w:r>
        <w:rPr>
          <w:rFonts w:hint="eastAsia" w:ascii="宋体" w:hAnsi="宋体" w:cs="宋体"/>
          <w:color w:val="auto"/>
          <w:sz w:val="24"/>
        </w:rPr>
        <w:t>所使用的软件产品能够正常、安全地运行。</w:t>
      </w:r>
    </w:p>
    <w:p>
      <w:pPr>
        <w:numPr>
          <w:ilvl w:val="0"/>
          <w:numId w:val="4"/>
        </w:numPr>
        <w:shd w:val="clear"/>
        <w:spacing w:line="360" w:lineRule="auto"/>
        <w:ind w:firstLine="480" w:firstLineChars="200"/>
        <w:rPr>
          <w:rFonts w:hint="eastAsia" w:ascii="宋体" w:hAnsi="宋体" w:cs="宋体"/>
          <w:color w:val="auto"/>
          <w:sz w:val="24"/>
        </w:rPr>
      </w:pPr>
      <w:r>
        <w:rPr>
          <w:rFonts w:hint="eastAsia" w:ascii="宋体" w:hAnsi="宋体" w:cs="宋体"/>
          <w:color w:val="auto"/>
          <w:sz w:val="24"/>
        </w:rPr>
        <w:t>培训对象及资料：系统管理员和系统使用人员，由</w:t>
      </w:r>
      <w:r>
        <w:rPr>
          <w:rFonts w:hint="eastAsia" w:ascii="宋体" w:hAnsi="宋体" w:cs="宋体"/>
          <w:color w:val="auto"/>
          <w:sz w:val="24"/>
          <w:lang w:eastAsia="zh-CN"/>
        </w:rPr>
        <w:t>中标人</w:t>
      </w:r>
      <w:r>
        <w:rPr>
          <w:rFonts w:hint="eastAsia" w:ascii="宋体" w:hAnsi="宋体" w:cs="宋体"/>
          <w:color w:val="auto"/>
          <w:sz w:val="24"/>
        </w:rPr>
        <w:t>提供培训教材。</w:t>
      </w:r>
    </w:p>
    <w:p>
      <w:pPr>
        <w:numPr>
          <w:ilvl w:val="0"/>
          <w:numId w:val="4"/>
        </w:numPr>
        <w:shd w:val="clear"/>
        <w:spacing w:line="360" w:lineRule="auto"/>
        <w:ind w:firstLine="480" w:firstLineChars="200"/>
        <w:rPr>
          <w:rFonts w:hint="eastAsia" w:ascii="宋体" w:hAnsi="宋体" w:cs="宋体"/>
          <w:color w:val="auto"/>
          <w:sz w:val="24"/>
        </w:rPr>
      </w:pPr>
      <w:r>
        <w:rPr>
          <w:rFonts w:hint="eastAsia" w:ascii="宋体" w:hAnsi="宋体" w:cs="宋体"/>
          <w:color w:val="auto"/>
          <w:sz w:val="24"/>
        </w:rPr>
        <w:t>培训要求：</w:t>
      </w:r>
      <w:r>
        <w:rPr>
          <w:rFonts w:hint="eastAsia" w:ascii="宋体" w:hAnsi="宋体" w:cs="宋体"/>
          <w:color w:val="auto"/>
          <w:sz w:val="24"/>
          <w:lang w:eastAsia="zh-CN"/>
        </w:rPr>
        <w:t>中标人</w:t>
      </w:r>
      <w:r>
        <w:rPr>
          <w:rFonts w:hint="eastAsia" w:ascii="宋体" w:hAnsi="宋体" w:cs="宋体"/>
          <w:color w:val="auto"/>
          <w:sz w:val="24"/>
        </w:rPr>
        <w:t>除了对业务经办人员的专项培训以外，应对</w:t>
      </w:r>
      <w:r>
        <w:rPr>
          <w:rFonts w:hint="eastAsia" w:ascii="宋体" w:hAnsi="宋体" w:cs="宋体"/>
          <w:color w:val="auto"/>
          <w:sz w:val="24"/>
          <w:lang w:eastAsia="zh-CN"/>
        </w:rPr>
        <w:t>甲方</w:t>
      </w:r>
      <w:r>
        <w:rPr>
          <w:rFonts w:hint="eastAsia" w:ascii="宋体" w:hAnsi="宋体" w:cs="宋体"/>
          <w:color w:val="auto"/>
          <w:sz w:val="24"/>
        </w:rPr>
        <w:t>的系统维护人员进行系统维护培训。</w:t>
      </w:r>
    </w:p>
    <w:p>
      <w:pPr>
        <w:shd w:val="clear"/>
        <w:spacing w:before="0" w:beforeLines="0" w:line="360" w:lineRule="auto"/>
        <w:ind w:firstLine="480" w:firstLineChars="200"/>
        <w:rPr>
          <w:rFonts w:hint="eastAsia" w:ascii="宋体" w:hAnsi="宋体" w:cs="TimesNewRomanPSMT"/>
          <w:color w:val="auto"/>
          <w:kern w:val="0"/>
          <w:sz w:val="24"/>
        </w:rPr>
      </w:pPr>
      <w:r>
        <w:rPr>
          <w:rFonts w:hint="eastAsia" w:ascii="宋体" w:hAnsi="宋体" w:cs="TimesNewRomanPSMT"/>
          <w:color w:val="auto"/>
          <w:kern w:val="0"/>
          <w:sz w:val="24"/>
        </w:rPr>
        <w:t>对于所有培训，</w:t>
      </w:r>
      <w:r>
        <w:rPr>
          <w:rFonts w:hint="eastAsia" w:ascii="宋体" w:hAnsi="宋体" w:cs="宋体"/>
          <w:color w:val="auto"/>
          <w:sz w:val="24"/>
          <w:lang w:eastAsia="zh-CN"/>
        </w:rPr>
        <w:t>中标人</w:t>
      </w:r>
      <w:r>
        <w:rPr>
          <w:rFonts w:hint="eastAsia" w:ascii="宋体" w:hAnsi="宋体" w:cs="TimesNewRomanPSMT"/>
          <w:color w:val="auto"/>
          <w:kern w:val="0"/>
          <w:sz w:val="24"/>
        </w:rPr>
        <w:t>必须派出具有相应专业资格和实际工作、教育经验的教师和相应的辅导人员进行培训，主要培训教员应至少具有三年的教学经验，培训所使用的语言必须是中文，否则</w:t>
      </w:r>
      <w:r>
        <w:rPr>
          <w:rFonts w:hint="eastAsia" w:ascii="宋体" w:hAnsi="宋体" w:cs="TimesNewRomanPSMT"/>
          <w:color w:val="auto"/>
          <w:kern w:val="0"/>
          <w:sz w:val="24"/>
          <w:lang w:eastAsia="zh-CN"/>
        </w:rPr>
        <w:t>乙方</w:t>
      </w:r>
      <w:r>
        <w:rPr>
          <w:rFonts w:hint="eastAsia" w:ascii="宋体" w:hAnsi="宋体" w:cs="TimesNewRomanPSMT"/>
          <w:color w:val="auto"/>
          <w:kern w:val="0"/>
          <w:sz w:val="24"/>
        </w:rPr>
        <w:t>必须提供相应的翻译。</w:t>
      </w:r>
    </w:p>
    <w:p>
      <w:pPr>
        <w:shd w:val="clear"/>
        <w:spacing w:before="0" w:beforeLines="0" w:line="360" w:lineRule="auto"/>
        <w:ind w:firstLine="480" w:firstLineChars="200"/>
        <w:rPr>
          <w:rFonts w:hint="eastAsia" w:ascii="宋体" w:hAnsi="宋体" w:cs="TimesNewRomanPSMT"/>
          <w:color w:val="auto"/>
          <w:kern w:val="0"/>
          <w:sz w:val="24"/>
        </w:rPr>
      </w:pPr>
      <w:r>
        <w:rPr>
          <w:rFonts w:hint="eastAsia" w:ascii="宋体" w:hAnsi="宋体" w:cs="宋体"/>
          <w:color w:val="auto"/>
          <w:sz w:val="24"/>
          <w:lang w:eastAsia="zh-CN"/>
        </w:rPr>
        <w:t>中标人</w:t>
      </w:r>
      <w:r>
        <w:rPr>
          <w:rFonts w:hint="eastAsia" w:ascii="宋体" w:hAnsi="宋体" w:cs="TimesNewRomanPSMT"/>
          <w:color w:val="auto"/>
          <w:kern w:val="0"/>
          <w:sz w:val="24"/>
        </w:rPr>
        <w:t>应将所有培训费用（含培训教材费）及各项支出列入培训费用价格中，计入总价。</w:t>
      </w:r>
    </w:p>
    <w:p>
      <w:pPr>
        <w:shd w:val="clear"/>
        <w:spacing w:before="0" w:beforeLines="0" w:line="360" w:lineRule="auto"/>
        <w:ind w:firstLine="480" w:firstLineChars="200"/>
        <w:rPr>
          <w:rFonts w:hint="eastAsia" w:ascii="宋体" w:hAnsi="宋体" w:cs="TimesNewRomanPSMT"/>
          <w:color w:val="auto"/>
          <w:kern w:val="0"/>
          <w:sz w:val="24"/>
        </w:rPr>
      </w:pPr>
      <w:r>
        <w:rPr>
          <w:rFonts w:hint="eastAsia" w:ascii="宋体" w:hAnsi="宋体" w:cs="TimesNewRomanPSMT"/>
          <w:color w:val="auto"/>
          <w:kern w:val="0"/>
          <w:sz w:val="24"/>
        </w:rPr>
        <w:t>所有的培训资料必须是中文书写。</w:t>
      </w:r>
    </w:p>
    <w:p>
      <w:pPr>
        <w:pStyle w:val="4"/>
        <w:shd w:val="clear"/>
        <w:bidi w:val="0"/>
        <w:rPr>
          <w:rFonts w:hint="default"/>
          <w:color w:val="auto"/>
          <w:lang w:val="en-US" w:eastAsia="zh-CN"/>
        </w:rPr>
      </w:pPr>
      <w:bookmarkStart w:id="14" w:name="_Toc7386"/>
      <w:r>
        <w:rPr>
          <w:rFonts w:hint="eastAsia"/>
          <w:color w:val="auto"/>
          <w:lang w:val="en-US" w:eastAsia="zh-CN"/>
        </w:rPr>
        <w:t>项目验收要求</w:t>
      </w:r>
      <w:bookmarkEnd w:id="14"/>
    </w:p>
    <w:p>
      <w:pPr>
        <w:shd w:val="clear"/>
        <w:spacing w:before="0" w:beforeLines="0" w:line="360" w:lineRule="auto"/>
        <w:ind w:firstLine="480" w:firstLineChars="200"/>
        <w:rPr>
          <w:rFonts w:hint="eastAsia" w:ascii="宋体" w:hAnsi="宋体" w:eastAsia="宋体" w:cs="TimesNewRomanPSMT"/>
          <w:color w:val="auto"/>
          <w:kern w:val="0"/>
          <w:sz w:val="24"/>
          <w:lang w:val="en-US" w:eastAsia="zh-CN"/>
        </w:rPr>
      </w:pPr>
      <w:r>
        <w:rPr>
          <w:rFonts w:hint="eastAsia" w:ascii="宋体" w:hAnsi="宋体" w:eastAsia="宋体" w:cs="TimesNewRomanPSMT"/>
          <w:color w:val="auto"/>
          <w:kern w:val="0"/>
          <w:sz w:val="24"/>
          <w:lang w:val="en-US" w:eastAsia="zh-CN"/>
        </w:rPr>
        <w:t>1、验收安排</w:t>
      </w:r>
    </w:p>
    <w:p>
      <w:pPr>
        <w:shd w:val="clear"/>
        <w:spacing w:before="0" w:beforeLines="0" w:line="360" w:lineRule="auto"/>
        <w:ind w:firstLine="480" w:firstLineChars="200"/>
        <w:rPr>
          <w:rFonts w:hint="eastAsia" w:ascii="宋体" w:hAnsi="宋体" w:eastAsia="宋体" w:cs="TimesNewRomanPSMT"/>
          <w:color w:val="auto"/>
          <w:kern w:val="0"/>
          <w:sz w:val="24"/>
          <w:lang w:val="en-US" w:eastAsia="zh-CN"/>
        </w:rPr>
      </w:pPr>
      <w:r>
        <w:rPr>
          <w:rFonts w:hint="eastAsia" w:ascii="宋体" w:hAnsi="宋体" w:eastAsia="宋体" w:cs="TimesNewRomanPSMT"/>
          <w:color w:val="auto"/>
          <w:kern w:val="0"/>
          <w:sz w:val="24"/>
          <w:lang w:val="en-US" w:eastAsia="zh-CN"/>
        </w:rPr>
        <w:t>上线前，中标人需独立对系统进行为期一周的连续运行，未出现较大问题（影响系统正常使用）后通知用户方，发布到正式环境，系统正常运行15天后中标人可提出验收申请，由用户方组织验收。</w:t>
      </w:r>
    </w:p>
    <w:p>
      <w:pPr>
        <w:shd w:val="clear"/>
        <w:spacing w:before="0" w:beforeLines="0" w:line="360" w:lineRule="auto"/>
        <w:ind w:firstLine="480" w:firstLineChars="200"/>
        <w:rPr>
          <w:rFonts w:hint="eastAsia" w:ascii="宋体" w:hAnsi="宋体" w:eastAsia="宋体" w:cs="TimesNewRomanPSMT"/>
          <w:color w:val="auto"/>
          <w:kern w:val="0"/>
          <w:sz w:val="24"/>
          <w:lang w:val="en-US" w:eastAsia="zh-CN"/>
        </w:rPr>
      </w:pPr>
      <w:r>
        <w:rPr>
          <w:rFonts w:hint="eastAsia" w:ascii="宋体" w:hAnsi="宋体" w:eastAsia="宋体" w:cs="TimesNewRomanPSMT"/>
          <w:color w:val="auto"/>
          <w:kern w:val="0"/>
          <w:sz w:val="24"/>
          <w:lang w:val="en-US" w:eastAsia="zh-CN"/>
        </w:rPr>
        <w:t>在运行期间，中标人应对运行期间所出现的问题及时进行解决、调整，并做好记录，此记录将作为验收的依据之一。</w:t>
      </w:r>
    </w:p>
    <w:p>
      <w:pPr>
        <w:shd w:val="clear"/>
        <w:spacing w:before="0" w:beforeLines="0" w:line="360" w:lineRule="auto"/>
        <w:ind w:firstLine="480" w:firstLineChars="200"/>
        <w:rPr>
          <w:rFonts w:hint="eastAsia" w:ascii="宋体" w:hAnsi="宋体" w:eastAsia="宋体" w:cs="TimesNewRomanPSMT"/>
          <w:color w:val="auto"/>
          <w:kern w:val="0"/>
          <w:sz w:val="24"/>
          <w:lang w:val="en-US" w:eastAsia="zh-CN"/>
        </w:rPr>
      </w:pPr>
      <w:r>
        <w:rPr>
          <w:rFonts w:hint="eastAsia" w:ascii="宋体" w:hAnsi="宋体" w:eastAsia="宋体" w:cs="TimesNewRomanPSMT"/>
          <w:color w:val="auto"/>
          <w:kern w:val="0"/>
          <w:sz w:val="24"/>
          <w:lang w:val="en-US" w:eastAsia="zh-CN"/>
        </w:rPr>
        <w:t>2、文档交付要求</w:t>
      </w:r>
    </w:p>
    <w:p>
      <w:pPr>
        <w:shd w:val="clear"/>
        <w:spacing w:before="0" w:beforeLines="0" w:line="360" w:lineRule="auto"/>
        <w:ind w:firstLine="480" w:firstLineChars="200"/>
        <w:rPr>
          <w:rFonts w:hint="default" w:ascii="宋体" w:hAnsi="宋体" w:eastAsia="宋体" w:cs="TimesNewRomanPSMT"/>
          <w:color w:val="auto"/>
          <w:kern w:val="0"/>
          <w:sz w:val="24"/>
          <w:lang w:val="en-US" w:eastAsia="zh-CN"/>
        </w:rPr>
      </w:pPr>
      <w:r>
        <w:rPr>
          <w:rFonts w:hint="eastAsia" w:ascii="宋体" w:hAnsi="宋体" w:eastAsia="宋体" w:cs="TimesNewRomanPSMT"/>
          <w:color w:val="auto"/>
          <w:kern w:val="0"/>
          <w:sz w:val="24"/>
          <w:lang w:val="en-US" w:eastAsia="zh-CN"/>
        </w:rPr>
        <w:t>投标人</w:t>
      </w:r>
      <w:r>
        <w:rPr>
          <w:rFonts w:hint="default" w:ascii="宋体" w:hAnsi="宋体" w:eastAsia="宋体" w:cs="TimesNewRomanPSMT"/>
          <w:color w:val="auto"/>
          <w:kern w:val="0"/>
          <w:sz w:val="24"/>
          <w:lang w:val="en-US" w:eastAsia="zh-CN"/>
        </w:rPr>
        <w:t>应于验收时向</w:t>
      </w:r>
      <w:r>
        <w:rPr>
          <w:rFonts w:hint="eastAsia" w:ascii="宋体" w:hAnsi="宋体" w:eastAsia="宋体" w:cs="TimesNewRomanPSMT"/>
          <w:color w:val="auto"/>
          <w:kern w:val="0"/>
          <w:sz w:val="24"/>
          <w:lang w:val="en-US" w:eastAsia="zh-CN"/>
        </w:rPr>
        <w:t>业主方</w:t>
      </w:r>
      <w:r>
        <w:rPr>
          <w:rFonts w:hint="default" w:ascii="宋体" w:hAnsi="宋体" w:eastAsia="宋体" w:cs="TimesNewRomanPSMT"/>
          <w:color w:val="auto"/>
          <w:kern w:val="0"/>
          <w:sz w:val="24"/>
          <w:lang w:val="en-US" w:eastAsia="zh-CN"/>
        </w:rPr>
        <w:t>提供完整的信息系统</w:t>
      </w:r>
      <w:r>
        <w:rPr>
          <w:rFonts w:hint="eastAsia" w:ascii="宋体" w:hAnsi="宋体" w:eastAsia="宋体" w:cs="TimesNewRomanPSMT"/>
          <w:color w:val="auto"/>
          <w:kern w:val="0"/>
          <w:sz w:val="24"/>
          <w:lang w:val="en-US" w:eastAsia="zh-CN"/>
        </w:rPr>
        <w:t>改造</w:t>
      </w:r>
      <w:r>
        <w:rPr>
          <w:rFonts w:hint="default" w:ascii="宋体" w:hAnsi="宋体" w:eastAsia="宋体" w:cs="TimesNewRomanPSMT"/>
          <w:color w:val="auto"/>
          <w:kern w:val="0"/>
          <w:sz w:val="24"/>
          <w:lang w:val="en-US" w:eastAsia="zh-CN"/>
        </w:rPr>
        <w:t>技术资料</w:t>
      </w:r>
      <w:r>
        <w:rPr>
          <w:rFonts w:hint="eastAsia" w:ascii="宋体" w:hAnsi="宋体" w:eastAsia="宋体" w:cs="TimesNewRomanPSMT"/>
          <w:color w:val="auto"/>
          <w:kern w:val="0"/>
          <w:sz w:val="24"/>
          <w:lang w:val="en-US" w:eastAsia="zh-CN"/>
        </w:rPr>
        <w:t>，</w:t>
      </w:r>
      <w:r>
        <w:rPr>
          <w:rFonts w:hint="default" w:ascii="宋体" w:hAnsi="宋体" w:eastAsia="宋体" w:cs="TimesNewRomanPSMT"/>
          <w:color w:val="auto"/>
          <w:kern w:val="0"/>
          <w:sz w:val="24"/>
          <w:lang w:val="en-US" w:eastAsia="zh-CN"/>
        </w:rPr>
        <w:t>包括验收报告、完整的技术</w:t>
      </w:r>
      <w:r>
        <w:rPr>
          <w:rFonts w:hint="eastAsia" w:ascii="宋体" w:hAnsi="宋体" w:eastAsia="宋体" w:cs="TimesNewRomanPSMT"/>
          <w:color w:val="auto"/>
          <w:kern w:val="0"/>
          <w:sz w:val="24"/>
          <w:lang w:val="en-US" w:eastAsia="zh-CN"/>
        </w:rPr>
        <w:t>文档</w:t>
      </w:r>
      <w:r>
        <w:rPr>
          <w:rFonts w:hint="default" w:ascii="宋体" w:hAnsi="宋体" w:eastAsia="宋体" w:cs="TimesNewRomanPSMT"/>
          <w:color w:val="auto"/>
          <w:kern w:val="0"/>
          <w:sz w:val="24"/>
          <w:lang w:val="en-US" w:eastAsia="zh-CN"/>
        </w:rPr>
        <w:t>（技术文档要求进行整理、归档及提交）。</w:t>
      </w:r>
    </w:p>
    <w:p>
      <w:pPr>
        <w:pStyle w:val="4"/>
        <w:shd w:val="clear"/>
        <w:bidi w:val="0"/>
        <w:rPr>
          <w:rFonts w:hint="default"/>
          <w:color w:val="auto"/>
          <w:lang w:val="en-US" w:eastAsia="zh-CN"/>
        </w:rPr>
      </w:pPr>
      <w:r>
        <w:rPr>
          <w:rFonts w:hint="eastAsia"/>
          <w:color w:val="auto"/>
          <w:lang w:val="en-US" w:eastAsia="zh-CN"/>
        </w:rPr>
        <w:t>付款方式</w:t>
      </w:r>
    </w:p>
    <w:p>
      <w:pPr>
        <w:shd w:val="clear"/>
        <w:spacing w:before="0" w:beforeLines="0" w:line="360" w:lineRule="auto"/>
        <w:ind w:firstLine="480" w:firstLineChars="200"/>
        <w:rPr>
          <w:rFonts w:hint="eastAsia" w:ascii="宋体" w:hAnsi="宋体" w:eastAsia="宋体" w:cs="TimesNewRomanPSMT"/>
          <w:color w:val="auto"/>
          <w:kern w:val="0"/>
          <w:sz w:val="24"/>
          <w:lang w:val="en-US" w:eastAsia="zh-CN"/>
        </w:rPr>
      </w:pPr>
      <w:r>
        <w:rPr>
          <w:rFonts w:hint="eastAsia" w:ascii="宋体" w:hAnsi="宋体" w:eastAsia="宋体" w:cs="TimesNewRomanPSMT"/>
          <w:color w:val="auto"/>
          <w:kern w:val="0"/>
          <w:sz w:val="24"/>
          <w:lang w:val="en-US" w:eastAsia="zh-CN"/>
        </w:rPr>
        <w:t>1期：支付比例</w:t>
      </w:r>
      <w:r>
        <w:rPr>
          <w:rFonts w:hint="eastAsia" w:ascii="宋体" w:hAnsi="宋体" w:cs="TimesNewRomanPSMT"/>
          <w:color w:val="auto"/>
          <w:kern w:val="0"/>
          <w:sz w:val="24"/>
          <w:lang w:val="en-US" w:eastAsia="zh-CN"/>
        </w:rPr>
        <w:t>3</w:t>
      </w:r>
      <w:r>
        <w:rPr>
          <w:rFonts w:hint="eastAsia" w:ascii="宋体" w:hAnsi="宋体" w:eastAsia="宋体" w:cs="TimesNewRomanPSMT"/>
          <w:color w:val="auto"/>
          <w:kern w:val="0"/>
          <w:sz w:val="24"/>
          <w:lang w:val="en-US" w:eastAsia="zh-CN"/>
        </w:rPr>
        <w:t>0%，合同签订生效后，采购人收到成交供应商开具符合国家财务规定的发票且收到财政拨付资金后的5个工作日内，将项目合同总金额的</w:t>
      </w:r>
      <w:r>
        <w:rPr>
          <w:rFonts w:hint="eastAsia" w:ascii="宋体" w:hAnsi="宋体" w:cs="TimesNewRomanPSMT"/>
          <w:color w:val="auto"/>
          <w:kern w:val="0"/>
          <w:sz w:val="24"/>
          <w:lang w:val="en-US" w:eastAsia="zh-CN"/>
        </w:rPr>
        <w:t>3</w:t>
      </w:r>
      <w:r>
        <w:rPr>
          <w:rFonts w:hint="eastAsia" w:ascii="宋体" w:hAnsi="宋体" w:eastAsia="宋体" w:cs="TimesNewRomanPSMT"/>
          <w:color w:val="auto"/>
          <w:kern w:val="0"/>
          <w:sz w:val="24"/>
          <w:lang w:val="en-US" w:eastAsia="zh-CN"/>
        </w:rPr>
        <w:t>0%支付给成交供应商。</w:t>
      </w:r>
    </w:p>
    <w:p>
      <w:pPr>
        <w:shd w:val="clear"/>
        <w:spacing w:before="0" w:beforeLines="0" w:line="360" w:lineRule="auto"/>
        <w:ind w:firstLine="480" w:firstLineChars="200"/>
        <w:rPr>
          <w:rFonts w:hint="eastAsia" w:ascii="宋体" w:hAnsi="宋体" w:eastAsia="宋体" w:cs="TimesNewRomanPSMT"/>
          <w:color w:val="auto"/>
          <w:kern w:val="0"/>
          <w:sz w:val="24"/>
          <w:lang w:val="en-US" w:eastAsia="zh-CN"/>
        </w:rPr>
      </w:pPr>
      <w:r>
        <w:rPr>
          <w:rFonts w:hint="eastAsia" w:ascii="宋体" w:hAnsi="宋体" w:eastAsia="宋体" w:cs="TimesNewRomanPSMT"/>
          <w:color w:val="auto"/>
          <w:kern w:val="0"/>
          <w:sz w:val="24"/>
          <w:lang w:val="en-US" w:eastAsia="zh-CN"/>
        </w:rPr>
        <w:t>2期：支付比例</w:t>
      </w:r>
      <w:r>
        <w:rPr>
          <w:rFonts w:hint="eastAsia" w:ascii="宋体" w:hAnsi="宋体" w:cs="TimesNewRomanPSMT"/>
          <w:color w:val="auto"/>
          <w:kern w:val="0"/>
          <w:sz w:val="24"/>
          <w:lang w:val="en-US" w:eastAsia="zh-CN"/>
        </w:rPr>
        <w:t>6</w:t>
      </w:r>
      <w:r>
        <w:rPr>
          <w:rFonts w:hint="eastAsia" w:ascii="宋体" w:hAnsi="宋体" w:eastAsia="宋体" w:cs="TimesNewRomanPSMT"/>
          <w:color w:val="auto"/>
          <w:kern w:val="0"/>
          <w:sz w:val="24"/>
          <w:lang w:val="en-US" w:eastAsia="zh-CN"/>
        </w:rPr>
        <w:t>0%，项目</w:t>
      </w:r>
      <w:r>
        <w:rPr>
          <w:rFonts w:hint="eastAsia" w:ascii="宋体" w:hAnsi="宋体" w:cs="TimesNewRomanPSMT"/>
          <w:color w:val="auto"/>
          <w:kern w:val="0"/>
          <w:sz w:val="24"/>
          <w:lang w:val="en-US" w:eastAsia="zh-CN"/>
        </w:rPr>
        <w:t>初</w:t>
      </w:r>
      <w:r>
        <w:rPr>
          <w:rFonts w:hint="eastAsia" w:ascii="宋体" w:hAnsi="宋体" w:eastAsia="宋体" w:cs="TimesNewRomanPSMT"/>
          <w:color w:val="auto"/>
          <w:kern w:val="0"/>
          <w:sz w:val="24"/>
          <w:lang w:val="en-US" w:eastAsia="zh-CN"/>
        </w:rPr>
        <w:t>验合格并经采购人确认，成交供应商可向采购人提供符合国家财务规定的发票和申请付款手续。采购人收到财政拨付资金后的15个工作日内，视实际资金到位情况，向成交供应商支付项目进度款，但2期支付比例不高于项目合同总金额的</w:t>
      </w:r>
      <w:r>
        <w:rPr>
          <w:rFonts w:hint="eastAsia" w:ascii="宋体" w:hAnsi="宋体" w:cs="TimesNewRomanPSMT"/>
          <w:color w:val="auto"/>
          <w:kern w:val="0"/>
          <w:sz w:val="24"/>
          <w:lang w:val="en-US" w:eastAsia="zh-CN"/>
        </w:rPr>
        <w:t>6</w:t>
      </w:r>
      <w:r>
        <w:rPr>
          <w:rFonts w:hint="eastAsia" w:ascii="宋体" w:hAnsi="宋体" w:eastAsia="宋体" w:cs="TimesNewRomanPSMT"/>
          <w:color w:val="auto"/>
          <w:kern w:val="0"/>
          <w:sz w:val="24"/>
          <w:lang w:val="en-US" w:eastAsia="zh-CN"/>
        </w:rPr>
        <w:t>0%。</w:t>
      </w:r>
    </w:p>
    <w:p>
      <w:pPr>
        <w:shd w:val="clear"/>
        <w:spacing w:before="0" w:beforeLines="0" w:line="360" w:lineRule="auto"/>
        <w:ind w:firstLine="480" w:firstLineChars="200"/>
        <w:rPr>
          <w:rFonts w:hint="eastAsia" w:ascii="宋体" w:hAnsi="宋体" w:eastAsia="宋体" w:cs="TimesNewRomanPSMT"/>
          <w:color w:val="auto"/>
          <w:kern w:val="0"/>
          <w:sz w:val="24"/>
          <w:lang w:val="en-US" w:eastAsia="zh-CN"/>
        </w:rPr>
      </w:pPr>
      <w:r>
        <w:rPr>
          <w:rFonts w:hint="eastAsia" w:ascii="宋体" w:hAnsi="宋体" w:eastAsia="宋体" w:cs="TimesNewRomanPSMT"/>
          <w:color w:val="auto"/>
          <w:kern w:val="0"/>
          <w:sz w:val="24"/>
          <w:lang w:val="en-US" w:eastAsia="zh-CN"/>
        </w:rPr>
        <w:t>3期：支付比例10%，项目终验合格并经采购人确认，成交供应商向采购人提供符合国家财务规定的发票后，采购人办理申请付款手续。采购人收到财政拨付资金后的15个工作日内，将余下款项（项目合同总金额的10%）支付给成交供应商。</w:t>
      </w:r>
    </w:p>
    <w:p>
      <w:pPr>
        <w:shd w:val="clear"/>
        <w:spacing w:before="0" w:beforeLines="0" w:line="360" w:lineRule="auto"/>
        <w:ind w:firstLine="480" w:firstLineChars="200"/>
        <w:rPr>
          <w:rFonts w:hint="default" w:ascii="宋体" w:hAnsi="宋体" w:eastAsia="宋体" w:cs="TimesNewRomanPSMT"/>
          <w:color w:val="auto"/>
          <w:kern w:val="0"/>
          <w:sz w:val="24"/>
          <w:lang w:val="en-US" w:eastAsia="zh-CN"/>
        </w:rPr>
      </w:pPr>
      <w:r>
        <w:rPr>
          <w:rFonts w:hint="eastAsia" w:ascii="宋体" w:hAnsi="宋体" w:eastAsia="宋体" w:cs="TimesNewRomanPSMT"/>
          <w:color w:val="auto"/>
          <w:kern w:val="0"/>
          <w:sz w:val="24"/>
          <w:lang w:val="en-US" w:eastAsia="zh-CN"/>
        </w:rPr>
        <w:t>注：因采购人使用的是财政资金，采购人在前款规定的付款时间为向政府采购支付部门提出办理财政支付申请手续的时间（不含政府财政支付部门审核的时间），在规定时间内提出支付申请手续后，即视为采购人已经按期支付，实际付款到账时间及金额以支付单位支付时间及金额为准，采购人不承担任何逾期付款的违约责任。</w:t>
      </w:r>
    </w:p>
    <w:p>
      <w:pPr>
        <w:pStyle w:val="3"/>
        <w:keepNext/>
        <w:keepLines w:val="0"/>
        <w:pageBreakBefore/>
        <w:widowControl w:val="0"/>
        <w:shd w:val="clear"/>
        <w:kinsoku/>
        <w:wordWrap/>
        <w:overflowPunct/>
        <w:topLinePunct w:val="0"/>
        <w:autoSpaceDE/>
        <w:autoSpaceDN/>
        <w:bidi w:val="0"/>
        <w:adjustRightInd/>
        <w:snapToGrid/>
        <w:jc w:val="center"/>
        <w:textAlignment w:val="auto"/>
        <w:rPr>
          <w:rFonts w:hint="default"/>
          <w:color w:val="auto"/>
          <w:sz w:val="32"/>
          <w:szCs w:val="20"/>
          <w:lang w:val="en-US" w:eastAsia="zh-CN"/>
        </w:rPr>
      </w:pPr>
      <w:r>
        <w:rPr>
          <w:rFonts w:hint="eastAsia"/>
          <w:color w:val="auto"/>
          <w:sz w:val="32"/>
          <w:szCs w:val="20"/>
          <w:lang w:val="en-US" w:eastAsia="zh-CN"/>
        </w:rPr>
        <w:t>技术评分表</w:t>
      </w:r>
    </w:p>
    <w:p>
      <w:pPr>
        <w:shd w:val="clear"/>
        <w:spacing w:line="360" w:lineRule="auto"/>
        <w:ind w:firstLine="420" w:firstLineChars="200"/>
        <w:rPr>
          <w:rFonts w:ascii="宋体" w:hAnsi="宋体" w:eastAsia="宋体" w:cs="宋体"/>
          <w:color w:val="auto"/>
        </w:rPr>
      </w:pPr>
      <w:r>
        <w:rPr>
          <w:rFonts w:hint="eastAsia" w:ascii="宋体" w:hAnsi="宋体" w:eastAsia="宋体" w:cs="宋体"/>
          <w:color w:val="auto"/>
        </w:rPr>
        <w:t>本次评标采用综合评分法，即对通过初审的各投标人的价格、技术、商务进行评审、比较，并量化打分，最后根据各项得分之和（其中价格评分占</w:t>
      </w:r>
      <w:r>
        <w:rPr>
          <w:rFonts w:hint="eastAsia" w:ascii="宋体" w:hAnsi="宋体" w:cs="宋体"/>
          <w:color w:val="auto"/>
          <w:lang w:val="en-US" w:eastAsia="zh-CN"/>
        </w:rPr>
        <w:t>1</w:t>
      </w:r>
      <w:r>
        <w:rPr>
          <w:rFonts w:ascii="宋体" w:hAnsi="宋体" w:eastAsia="宋体" w:cs="宋体"/>
          <w:color w:val="auto"/>
        </w:rPr>
        <w:t>0</w:t>
      </w:r>
      <w:r>
        <w:rPr>
          <w:rFonts w:hint="eastAsia" w:ascii="宋体" w:hAnsi="宋体" w:eastAsia="宋体" w:cs="宋体"/>
          <w:color w:val="auto"/>
        </w:rPr>
        <w:t>分，技术、商务评分占</w:t>
      </w:r>
      <w:r>
        <w:rPr>
          <w:rFonts w:hint="eastAsia" w:ascii="宋体" w:hAnsi="宋体" w:cs="宋体"/>
          <w:color w:val="auto"/>
          <w:lang w:val="en-US" w:eastAsia="zh-CN"/>
        </w:rPr>
        <w:t>9</w:t>
      </w:r>
      <w:r>
        <w:rPr>
          <w:rFonts w:ascii="宋体" w:hAnsi="宋体" w:eastAsia="宋体" w:cs="宋体"/>
          <w:color w:val="auto"/>
        </w:rPr>
        <w:t>0</w:t>
      </w:r>
      <w:r>
        <w:rPr>
          <w:rFonts w:hint="eastAsia" w:ascii="宋体" w:hAnsi="宋体" w:eastAsia="宋体" w:cs="宋体"/>
          <w:color w:val="auto"/>
        </w:rPr>
        <w:t>分）计算出通过初审投标人的综合评价得分。评标委员会将按各投标人综合评价得分由高到低的原则对所有通过初审的投标人进行排序，推荐排名最前的投标人为第一中标候选人。</w:t>
      </w:r>
    </w:p>
    <w:tbl>
      <w:tblPr>
        <w:tblStyle w:val="20"/>
        <w:tblW w:w="8877"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3154"/>
        <w:gridCol w:w="3155"/>
        <w:gridCol w:w="2568"/>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154" w:type="dxa"/>
            <w:tcBorders>
              <w:top w:val="single" w:color="auto" w:sz="6" w:space="0"/>
              <w:left w:val="single" w:color="auto" w:sz="6" w:space="0"/>
              <w:bottom w:val="single" w:color="auto" w:sz="6" w:space="0"/>
              <w:right w:val="single" w:color="auto" w:sz="6" w:space="0"/>
            </w:tcBorders>
            <w:vAlign w:val="center"/>
          </w:tcPr>
          <w:p>
            <w:pPr>
              <w:shd w:val="clear"/>
              <w:rPr>
                <w:rFonts w:ascii="宋体" w:hAnsi="宋体" w:eastAsia="宋体" w:cs="宋体"/>
                <w:color w:val="auto"/>
              </w:rPr>
            </w:pPr>
            <w:r>
              <w:rPr>
                <w:rFonts w:ascii="宋体" w:hAnsi="宋体" w:eastAsia="宋体" w:cs="宋体"/>
                <w:color w:val="auto"/>
              </w:rPr>
              <w:t>商务部分</w:t>
            </w:r>
          </w:p>
        </w:tc>
        <w:tc>
          <w:tcPr>
            <w:tcW w:w="3155" w:type="dxa"/>
            <w:tcBorders>
              <w:top w:val="single" w:color="auto" w:sz="6" w:space="0"/>
              <w:left w:val="single" w:color="auto" w:sz="6" w:space="0"/>
              <w:bottom w:val="single" w:color="auto" w:sz="6" w:space="0"/>
              <w:right w:val="single" w:color="auto" w:sz="6" w:space="0"/>
            </w:tcBorders>
            <w:vAlign w:val="center"/>
          </w:tcPr>
          <w:p>
            <w:pPr>
              <w:shd w:val="clear"/>
              <w:rPr>
                <w:rFonts w:ascii="宋体" w:hAnsi="宋体" w:eastAsia="宋体" w:cs="宋体"/>
                <w:color w:val="auto"/>
              </w:rPr>
            </w:pPr>
            <w:r>
              <w:rPr>
                <w:rFonts w:ascii="宋体" w:hAnsi="宋体" w:eastAsia="宋体" w:cs="宋体"/>
                <w:color w:val="auto"/>
              </w:rPr>
              <w:t>技术部分</w:t>
            </w:r>
          </w:p>
        </w:tc>
        <w:tc>
          <w:tcPr>
            <w:tcW w:w="2568" w:type="dxa"/>
            <w:tcBorders>
              <w:top w:val="single" w:color="auto" w:sz="6" w:space="0"/>
              <w:left w:val="single" w:color="auto" w:sz="6" w:space="0"/>
              <w:bottom w:val="single" w:color="auto" w:sz="6" w:space="0"/>
              <w:right w:val="single" w:color="auto" w:sz="6" w:space="0"/>
            </w:tcBorders>
            <w:vAlign w:val="center"/>
          </w:tcPr>
          <w:p>
            <w:pPr>
              <w:shd w:val="clear"/>
              <w:rPr>
                <w:rFonts w:ascii="宋体" w:hAnsi="宋体" w:eastAsia="宋体" w:cs="宋体"/>
                <w:color w:val="auto"/>
              </w:rPr>
            </w:pPr>
            <w:r>
              <w:rPr>
                <w:rFonts w:ascii="宋体" w:hAnsi="宋体" w:eastAsia="宋体" w:cs="宋体"/>
                <w:color w:val="auto"/>
              </w:rPr>
              <w:t>价格部分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154" w:type="dxa"/>
            <w:tcBorders>
              <w:top w:val="single" w:color="auto" w:sz="6" w:space="0"/>
              <w:left w:val="single" w:color="auto" w:sz="6" w:space="0"/>
              <w:bottom w:val="single" w:color="auto" w:sz="6" w:space="0"/>
              <w:right w:val="single" w:color="auto" w:sz="6" w:space="0"/>
            </w:tcBorders>
            <w:vAlign w:val="center"/>
          </w:tcPr>
          <w:p>
            <w:pPr>
              <w:shd w:val="clear"/>
              <w:rPr>
                <w:rFonts w:ascii="宋体" w:hAnsi="宋体" w:eastAsia="宋体" w:cs="宋体"/>
                <w:color w:val="auto"/>
              </w:rPr>
            </w:pPr>
            <w:r>
              <w:rPr>
                <w:rFonts w:hint="eastAsia" w:ascii="宋体" w:hAnsi="宋体" w:cs="宋体"/>
                <w:color w:val="auto"/>
                <w:lang w:val="en-US" w:eastAsia="zh-CN"/>
              </w:rPr>
              <w:t>3</w:t>
            </w:r>
            <w:r>
              <w:rPr>
                <w:rFonts w:ascii="宋体" w:hAnsi="宋体" w:eastAsia="宋体" w:cs="宋体"/>
                <w:color w:val="auto"/>
              </w:rPr>
              <w:t>5.00%</w:t>
            </w:r>
          </w:p>
        </w:tc>
        <w:tc>
          <w:tcPr>
            <w:tcW w:w="3155" w:type="dxa"/>
            <w:tcBorders>
              <w:top w:val="single" w:color="auto" w:sz="6" w:space="0"/>
              <w:left w:val="single" w:color="auto" w:sz="6" w:space="0"/>
              <w:bottom w:val="single" w:color="auto" w:sz="6" w:space="0"/>
              <w:right w:val="single" w:color="auto" w:sz="6" w:space="0"/>
            </w:tcBorders>
            <w:vAlign w:val="center"/>
          </w:tcPr>
          <w:p>
            <w:pPr>
              <w:shd w:val="clear"/>
              <w:rPr>
                <w:rFonts w:ascii="宋体" w:hAnsi="宋体" w:eastAsia="宋体" w:cs="宋体"/>
                <w:color w:val="auto"/>
              </w:rPr>
            </w:pPr>
            <w:r>
              <w:rPr>
                <w:rFonts w:hint="eastAsia" w:ascii="宋体" w:hAnsi="宋体" w:cs="宋体"/>
                <w:color w:val="auto"/>
                <w:lang w:val="en-US" w:eastAsia="zh-CN"/>
              </w:rPr>
              <w:t>5</w:t>
            </w:r>
            <w:r>
              <w:rPr>
                <w:rFonts w:ascii="宋体" w:hAnsi="宋体" w:eastAsia="宋体" w:cs="宋体"/>
                <w:color w:val="auto"/>
              </w:rPr>
              <w:t>5.00%</w:t>
            </w:r>
          </w:p>
        </w:tc>
        <w:tc>
          <w:tcPr>
            <w:tcW w:w="2568" w:type="dxa"/>
            <w:tcBorders>
              <w:top w:val="single" w:color="auto" w:sz="6" w:space="0"/>
              <w:left w:val="single" w:color="auto" w:sz="6" w:space="0"/>
              <w:bottom w:val="single" w:color="auto" w:sz="6" w:space="0"/>
              <w:right w:val="single" w:color="auto" w:sz="6" w:space="0"/>
            </w:tcBorders>
            <w:vAlign w:val="center"/>
          </w:tcPr>
          <w:p>
            <w:pPr>
              <w:shd w:val="clear"/>
              <w:rPr>
                <w:rFonts w:ascii="宋体" w:hAnsi="宋体" w:eastAsia="宋体" w:cs="宋体"/>
                <w:color w:val="auto"/>
              </w:rPr>
            </w:pPr>
            <w:r>
              <w:rPr>
                <w:rFonts w:hint="eastAsia" w:ascii="宋体" w:hAnsi="宋体" w:cs="宋体"/>
                <w:color w:val="auto"/>
                <w:lang w:val="en-US" w:eastAsia="zh-CN"/>
              </w:rPr>
              <w:t>10</w:t>
            </w:r>
            <w:r>
              <w:rPr>
                <w:rFonts w:ascii="宋体" w:hAnsi="宋体" w:eastAsia="宋体" w:cs="宋体"/>
                <w:color w:val="auto"/>
              </w:rPr>
              <w:t>.00%</w:t>
            </w:r>
          </w:p>
        </w:tc>
      </w:tr>
    </w:tbl>
    <w:p>
      <w:pPr>
        <w:shd w:val="clear"/>
        <w:rPr>
          <w:rFonts w:ascii="宋体" w:hAnsi="宋体" w:eastAsia="宋体" w:cs="宋体"/>
          <w:color w:val="auto"/>
        </w:rPr>
      </w:pPr>
    </w:p>
    <w:p>
      <w:pPr>
        <w:pStyle w:val="25"/>
        <w:shd w:val="clear"/>
        <w:rPr>
          <w:rFonts w:hint="eastAsia"/>
          <w:color w:val="auto"/>
          <w:lang w:val="en-US" w:eastAsia="zh-CN"/>
        </w:rPr>
      </w:pPr>
      <w:r>
        <w:rPr>
          <w:color w:val="auto"/>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r>
        <w:rPr>
          <w:rFonts w:hint="eastAsia"/>
          <w:color w:val="auto"/>
          <w:lang w:val="en-US" w:eastAsia="zh-CN"/>
        </w:rPr>
        <w:t>详细评分表如下：</w:t>
      </w:r>
    </w:p>
    <w:p>
      <w:pPr>
        <w:pStyle w:val="25"/>
        <w:shd w:val="clear"/>
        <w:rPr>
          <w:rFonts w:hint="default"/>
          <w:color w:val="auto"/>
          <w:lang w:val="en-US" w:eastAsia="zh-CN"/>
        </w:rPr>
      </w:pPr>
    </w:p>
    <w:tbl>
      <w:tblPr>
        <w:tblStyle w:val="20"/>
        <w:tblW w:w="5384" w:type="pct"/>
        <w:tblInd w:w="-4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1124"/>
        <w:gridCol w:w="1394"/>
        <w:gridCol w:w="6127"/>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评审项</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评分内容</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评分标准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分值（分）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价格部分（10分）</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价格评定 （10分）</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投标报价得分＝（评标基准价/投标报价）×价格分值【注：满足招标文件要求且投标价格最低的投标报价为评标基准价。】</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54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商务部分（35分）</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top"/>
          </w:tcPr>
          <w:p>
            <w:pPr>
              <w:shd w:val="clear"/>
              <w:spacing w:line="288" w:lineRule="auto"/>
              <w:jc w:val="center"/>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color w:val="auto"/>
                <w:kern w:val="0"/>
                <w:sz w:val="21"/>
                <w:szCs w:val="21"/>
                <w:lang w:bidi="ar"/>
              </w:rPr>
              <w:t>企业认证证书 (</w:t>
            </w:r>
            <w:r>
              <w:rPr>
                <w:rFonts w:hint="eastAsia" w:ascii="宋体" w:hAnsi="宋体" w:eastAsia="宋体" w:cs="宋体"/>
                <w:color w:val="auto"/>
                <w:kern w:val="0"/>
                <w:sz w:val="21"/>
                <w:szCs w:val="21"/>
                <w:lang w:val="en-US" w:eastAsia="zh-CN" w:bidi="ar"/>
              </w:rPr>
              <w:t>6</w:t>
            </w:r>
            <w:r>
              <w:rPr>
                <w:rFonts w:hint="eastAsia" w:ascii="宋体" w:hAnsi="宋体" w:eastAsia="宋体" w:cs="宋体"/>
                <w:color w:val="auto"/>
                <w:kern w:val="0"/>
                <w:sz w:val="21"/>
                <w:szCs w:val="21"/>
                <w:lang w:bidi="ar"/>
              </w:rPr>
              <w:t>分)</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top"/>
          </w:tcPr>
          <w:p>
            <w:pPr>
              <w:shd w:val="clear"/>
              <w:spacing w:line="288"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供应商具有国家认证认可监督委员会批准设立的认证机构颁发的质量管理体系认证证书、信息技术服务管理体系认证证书、信息安全管理体系认证证书，每提供一个证书得</w:t>
            </w: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分，最高得</w:t>
            </w:r>
            <w:r>
              <w:rPr>
                <w:rFonts w:hint="eastAsia" w:ascii="宋体" w:hAnsi="宋体" w:eastAsia="宋体" w:cs="宋体"/>
                <w:color w:val="auto"/>
                <w:kern w:val="0"/>
                <w:sz w:val="21"/>
                <w:szCs w:val="21"/>
                <w:lang w:val="en-US" w:eastAsia="zh-CN" w:bidi="ar"/>
              </w:rPr>
              <w:t>6</w:t>
            </w:r>
            <w:r>
              <w:rPr>
                <w:rFonts w:hint="eastAsia" w:ascii="宋体" w:hAnsi="宋体" w:eastAsia="宋体" w:cs="宋体"/>
                <w:color w:val="auto"/>
                <w:kern w:val="0"/>
                <w:sz w:val="21"/>
                <w:szCs w:val="21"/>
                <w:lang w:bidi="ar"/>
              </w:rPr>
              <w:t>分。 注：须提供以上有效期内的证书复印件并加盖公章，并同时提供以上证书在认监委网站（http://cx.cnca.cn/CertECloud/index/index/page）对该证书的信息查询截图作为评审依据，已失效或撤销的不得分。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top"/>
          </w:tcPr>
          <w:p>
            <w:pPr>
              <w:shd w:val="clear"/>
              <w:spacing w:line="288"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color w:val="auto"/>
                <w:sz w:val="21"/>
                <w:szCs w:val="21"/>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88" w:lineRule="auto"/>
              <w:jc w:val="center"/>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color w:val="auto"/>
                <w:kern w:val="0"/>
                <w:sz w:val="21"/>
                <w:szCs w:val="21"/>
                <w:lang w:val="en-US" w:eastAsia="zh-CN" w:bidi="ar"/>
              </w:rPr>
              <w:t>关键技术能力</w:t>
            </w:r>
            <w:r>
              <w:rPr>
                <w:rFonts w:hint="eastAsia" w:ascii="宋体" w:hAnsi="宋体" w:eastAsia="宋体" w:cs="宋体"/>
                <w:color w:val="auto"/>
                <w:kern w:val="0"/>
                <w:sz w:val="21"/>
                <w:szCs w:val="21"/>
                <w:lang w:bidi="ar"/>
              </w:rPr>
              <w:t>(</w:t>
            </w:r>
            <w:r>
              <w:rPr>
                <w:rFonts w:hint="eastAsia" w:ascii="宋体" w:hAnsi="宋体" w:eastAsia="宋体" w:cs="宋体"/>
                <w:color w:val="auto"/>
                <w:kern w:val="0"/>
                <w:sz w:val="21"/>
                <w:szCs w:val="21"/>
                <w:lang w:val="en-US" w:eastAsia="zh-CN" w:bidi="ar"/>
              </w:rPr>
              <w:t>8</w:t>
            </w:r>
            <w:r>
              <w:rPr>
                <w:rFonts w:hint="eastAsia" w:ascii="宋体" w:hAnsi="宋体" w:eastAsia="宋体" w:cs="宋体"/>
                <w:color w:val="auto"/>
                <w:kern w:val="0"/>
                <w:sz w:val="21"/>
                <w:szCs w:val="21"/>
                <w:lang w:bidi="ar"/>
              </w:rPr>
              <w:t>分)</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88" w:lineRule="auto"/>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供应商具有与本项目需求相关的计算机软件著作权登记证书，每提供一项得1分，最高得8分.</w:t>
            </w:r>
          </w:p>
          <w:p>
            <w:pPr>
              <w:shd w:val="clear"/>
              <w:spacing w:line="288"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注：须提供国家</w:t>
            </w:r>
            <w:r>
              <w:rPr>
                <w:rFonts w:hint="eastAsia" w:ascii="宋体" w:hAnsi="宋体" w:eastAsia="宋体" w:cs="宋体"/>
                <w:color w:val="auto"/>
                <w:kern w:val="0"/>
                <w:sz w:val="21"/>
                <w:szCs w:val="21"/>
                <w:lang w:val="en-US" w:eastAsia="zh-CN" w:bidi="ar"/>
              </w:rPr>
              <w:t>版权</w:t>
            </w:r>
            <w:r>
              <w:rPr>
                <w:rFonts w:hint="eastAsia" w:ascii="宋体" w:hAnsi="宋体" w:eastAsia="宋体" w:cs="宋体"/>
                <w:color w:val="auto"/>
                <w:kern w:val="0"/>
                <w:sz w:val="21"/>
                <w:szCs w:val="21"/>
                <w:lang w:bidi="ar"/>
              </w:rPr>
              <w:t>局颁发的带有</w:t>
            </w:r>
            <w:r>
              <w:rPr>
                <w:rFonts w:hint="eastAsia" w:ascii="宋体" w:hAnsi="宋体" w:eastAsia="宋体" w:cs="宋体"/>
                <w:color w:val="auto"/>
                <w:kern w:val="0"/>
                <w:sz w:val="21"/>
                <w:szCs w:val="21"/>
                <w:lang w:eastAsia="zh-CN" w:bidi="ar"/>
              </w:rPr>
              <w:t>供应商</w:t>
            </w:r>
            <w:r>
              <w:rPr>
                <w:rFonts w:hint="eastAsia" w:ascii="宋体" w:hAnsi="宋体" w:eastAsia="宋体" w:cs="宋体"/>
                <w:color w:val="auto"/>
                <w:kern w:val="0"/>
                <w:sz w:val="21"/>
                <w:szCs w:val="21"/>
                <w:lang w:bidi="ar"/>
              </w:rPr>
              <w:t>全称的上述计算机软件的知识产权证明文件或计算机软件的著作权证明文件复印件，不提供不得分。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88"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color w:val="auto"/>
                <w:sz w:val="21"/>
                <w:szCs w:val="21"/>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top"/>
          </w:tcPr>
          <w:p>
            <w:pPr>
              <w:shd w:val="clear"/>
              <w:spacing w:line="288" w:lineRule="auto"/>
              <w:jc w:val="center"/>
              <w:rPr>
                <w:rFonts w:hint="eastAsia" w:ascii="宋体" w:hAnsi="宋体" w:eastAsia="宋体" w:cs="宋体"/>
                <w:i w:val="0"/>
                <w:iCs w:val="0"/>
                <w:caps w:val="0"/>
                <w:color w:val="auto"/>
                <w:spacing w:val="0"/>
                <w:sz w:val="21"/>
                <w:szCs w:val="21"/>
              </w:rPr>
            </w:pPr>
            <w:r>
              <w:rPr>
                <w:rFonts w:hint="eastAsia" w:ascii="宋体" w:hAnsi="宋体" w:eastAsia="宋体" w:cs="宋体"/>
                <w:color w:val="auto"/>
                <w:kern w:val="0"/>
                <w:sz w:val="21"/>
                <w:szCs w:val="21"/>
                <w:lang w:bidi="ar"/>
              </w:rPr>
              <w:t>项目负责人 (</w:t>
            </w:r>
            <w:r>
              <w:rPr>
                <w:rFonts w:hint="eastAsia" w:ascii="宋体" w:hAnsi="宋体" w:eastAsia="宋体" w:cs="宋体"/>
                <w:color w:val="auto"/>
                <w:kern w:val="0"/>
                <w:sz w:val="21"/>
                <w:szCs w:val="21"/>
                <w:lang w:val="en-US" w:eastAsia="zh-CN" w:bidi="ar"/>
              </w:rPr>
              <w:t>6</w:t>
            </w:r>
            <w:r>
              <w:rPr>
                <w:rFonts w:hint="eastAsia" w:ascii="宋体" w:hAnsi="宋体" w:eastAsia="宋体" w:cs="宋体"/>
                <w:color w:val="auto"/>
                <w:kern w:val="0"/>
                <w:sz w:val="21"/>
                <w:szCs w:val="21"/>
                <w:lang w:bidi="ar"/>
              </w:rPr>
              <w:t>分)</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top"/>
          </w:tcPr>
          <w:p>
            <w:pPr>
              <w:shd w:val="clear"/>
              <w:spacing w:line="288"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项目负责人具备以下证书：  ①计算机专业硕士或以上学位，得2分；  ②具有</w:t>
            </w:r>
            <w:r>
              <w:rPr>
                <w:rFonts w:hint="eastAsia" w:ascii="宋体" w:hAnsi="宋体" w:eastAsia="宋体" w:cs="宋体"/>
                <w:color w:val="auto"/>
                <w:kern w:val="0"/>
                <w:sz w:val="21"/>
                <w:szCs w:val="21"/>
                <w:lang w:bidi="ar"/>
              </w:rPr>
              <w:t>高级</w:t>
            </w:r>
            <w:r>
              <w:rPr>
                <w:rFonts w:hint="eastAsia" w:ascii="宋体" w:hAnsi="宋体" w:eastAsia="宋体" w:cs="宋体"/>
                <w:color w:val="auto"/>
                <w:kern w:val="0"/>
                <w:sz w:val="21"/>
                <w:szCs w:val="21"/>
                <w:lang w:bidi="ar"/>
              </w:rPr>
              <w:t>信息系统项目管理师高级资格证书，得2分；  ③具有系统集成项目管理工程师证书，得2分。 注：1、提供项目负责人的相关资格证书和毕业证书（学位证）复印件；2、提供项目负责人任职证明材料应符合以下两项之一：①本项目响应截止日之前3个月以内任意1个月的人员参保证明，须提供加盖社会保险基金管理中心印章的《投保单》或《社会保险参保人员证明》；②本项目响应截止日之前3个月以内任意1个月的单位代缴个人所得税证明，须提供加盖税务部门印章的单位代缴个人所得税税单复印件。</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top"/>
          </w:tcPr>
          <w:p>
            <w:pPr>
              <w:shd w:val="clear"/>
              <w:spacing w:line="288"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color w:val="auto"/>
                <w:sz w:val="21"/>
                <w:szCs w:val="21"/>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top"/>
          </w:tcPr>
          <w:p>
            <w:pPr>
              <w:shd w:val="clear"/>
              <w:spacing w:line="288" w:lineRule="auto"/>
              <w:jc w:val="center"/>
              <w:rPr>
                <w:rFonts w:hint="eastAsia" w:ascii="宋体" w:hAnsi="宋体" w:eastAsia="宋体" w:cs="宋体"/>
                <w:i w:val="0"/>
                <w:iCs w:val="0"/>
                <w:caps w:val="0"/>
                <w:color w:val="auto"/>
                <w:spacing w:val="0"/>
                <w:sz w:val="21"/>
                <w:szCs w:val="21"/>
              </w:rPr>
            </w:pPr>
            <w:r>
              <w:rPr>
                <w:rFonts w:hint="eastAsia" w:ascii="宋体" w:hAnsi="宋体" w:eastAsia="宋体" w:cs="宋体"/>
                <w:color w:val="auto"/>
                <w:kern w:val="0"/>
                <w:sz w:val="21"/>
                <w:szCs w:val="21"/>
                <w:lang w:bidi="ar"/>
              </w:rPr>
              <w:t>实施人员 (</w:t>
            </w:r>
            <w:r>
              <w:rPr>
                <w:rFonts w:hint="eastAsia" w:ascii="宋体" w:hAnsi="宋体" w:eastAsia="宋体" w:cs="宋体"/>
                <w:color w:val="auto"/>
                <w:kern w:val="0"/>
                <w:sz w:val="21"/>
                <w:szCs w:val="21"/>
                <w:lang w:val="en-US" w:eastAsia="zh-CN" w:bidi="ar"/>
              </w:rPr>
              <w:t>5</w:t>
            </w:r>
            <w:r>
              <w:rPr>
                <w:rFonts w:hint="eastAsia" w:ascii="宋体" w:hAnsi="宋体" w:eastAsia="宋体" w:cs="宋体"/>
                <w:color w:val="auto"/>
                <w:kern w:val="0"/>
                <w:sz w:val="21"/>
                <w:szCs w:val="21"/>
                <w:lang w:bidi="ar"/>
              </w:rPr>
              <w:t>分)</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top"/>
          </w:tcPr>
          <w:p>
            <w:pPr>
              <w:shd w:val="clear"/>
              <w:spacing w:line="288"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供应商派驻本项目的实施人员（项目负责人除外）中具有：①</w:t>
            </w:r>
            <w:r>
              <w:rPr>
                <w:rFonts w:hint="eastAsia" w:ascii="宋体" w:hAnsi="宋体" w:eastAsia="宋体" w:cs="宋体"/>
                <w:color w:val="auto"/>
                <w:kern w:val="0"/>
                <w:sz w:val="21"/>
                <w:szCs w:val="21"/>
                <w:lang w:bidi="ar"/>
              </w:rPr>
              <w:t>软件设计师（或高级程序员）</w:t>
            </w:r>
            <w:r>
              <w:rPr>
                <w:rFonts w:hint="eastAsia" w:ascii="宋体" w:hAnsi="宋体" w:eastAsia="宋体" w:cs="宋体"/>
                <w:color w:val="auto"/>
                <w:kern w:val="0"/>
                <w:sz w:val="21"/>
                <w:szCs w:val="21"/>
                <w:lang w:bidi="ar"/>
              </w:rPr>
              <w:t>或高级数据恢复工程师或高级系统架构设计师资质的，</w:t>
            </w:r>
            <w:r>
              <w:rPr>
                <w:rFonts w:hint="eastAsia"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分/人，最高</w:t>
            </w:r>
            <w:r>
              <w:rPr>
                <w:rFonts w:hint="eastAsia" w:ascii="宋体" w:hAnsi="宋体" w:eastAsia="宋体" w:cs="宋体"/>
                <w:color w:val="auto"/>
                <w:kern w:val="0"/>
                <w:sz w:val="21"/>
                <w:szCs w:val="21"/>
                <w:lang w:val="en-US" w:eastAsia="zh-CN" w:bidi="ar"/>
              </w:rPr>
              <w:t>5</w:t>
            </w:r>
            <w:r>
              <w:rPr>
                <w:rFonts w:hint="eastAsia" w:ascii="宋体" w:hAnsi="宋体" w:eastAsia="宋体" w:cs="宋体"/>
                <w:color w:val="auto"/>
                <w:kern w:val="0"/>
                <w:sz w:val="21"/>
                <w:szCs w:val="21"/>
                <w:lang w:bidi="ar"/>
              </w:rPr>
              <w:t>分；注：1、提供技术人员的技术资格证书或职称证书复印件；2、提供以上实施人员任职证明材料应符合以下两项之一：①本项目投标截止日之前3个月以内任意1个月的人员参保证明，须提供加盖社会保险基金管理中心印章的《投保单》或《社会保险参保人员证明》；②本项目投标截止日之前3个月以内任意1个月的单位代缴个人所得税证明，须提供加盖税务部门印章的单位代缴个人所得税税单复印件。一人多证只计一项。</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top"/>
          </w:tcPr>
          <w:p>
            <w:pPr>
              <w:shd w:val="clear"/>
              <w:spacing w:line="288"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541"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color w:val="auto"/>
                <w:sz w:val="21"/>
                <w:szCs w:val="21"/>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top"/>
          </w:tcPr>
          <w:p>
            <w:pPr>
              <w:shd w:val="clear"/>
              <w:spacing w:line="288" w:lineRule="auto"/>
              <w:jc w:val="center"/>
              <w:rPr>
                <w:rFonts w:hint="eastAsia" w:ascii="宋体" w:hAnsi="宋体" w:eastAsia="宋体" w:cs="宋体"/>
                <w:i w:val="0"/>
                <w:iCs w:val="0"/>
                <w:caps w:val="0"/>
                <w:color w:val="auto"/>
                <w:spacing w:val="0"/>
                <w:sz w:val="21"/>
                <w:szCs w:val="21"/>
              </w:rPr>
            </w:pPr>
            <w:r>
              <w:rPr>
                <w:rFonts w:hint="eastAsia" w:ascii="宋体" w:hAnsi="宋体" w:eastAsia="宋体" w:cs="宋体"/>
                <w:color w:val="auto"/>
                <w:kern w:val="0"/>
                <w:sz w:val="21"/>
                <w:szCs w:val="21"/>
                <w:lang w:bidi="ar"/>
              </w:rPr>
              <w:t>同类项目业绩 (10分)</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top"/>
          </w:tcPr>
          <w:p>
            <w:pPr>
              <w:shd w:val="clear"/>
              <w:spacing w:line="288"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供应商202</w:t>
            </w:r>
            <w:r>
              <w:rPr>
                <w:rFonts w:hint="eastAsia"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年1月1日至今独立承担的平台运营或维护项目，提供1份同类业绩得1分，满分10分。 （注：供应商须提供合同复印件。）</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top"/>
          </w:tcPr>
          <w:p>
            <w:pPr>
              <w:shd w:val="clear"/>
              <w:spacing w:line="288"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7</w:t>
            </w:r>
          </w:p>
        </w:tc>
        <w:tc>
          <w:tcPr>
            <w:tcW w:w="54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rPr>
              <w:t>技术</w:t>
            </w:r>
            <w:r>
              <w:rPr>
                <w:rFonts w:hint="eastAsia" w:ascii="宋体" w:hAnsi="宋体" w:eastAsia="宋体" w:cs="宋体"/>
                <w:i w:val="0"/>
                <w:iCs w:val="0"/>
                <w:color w:val="auto"/>
                <w:kern w:val="0"/>
                <w:sz w:val="21"/>
                <w:szCs w:val="21"/>
                <w:u w:val="none"/>
                <w:lang w:val="en-US" w:eastAsia="zh-CN" w:bidi="ar"/>
              </w:rPr>
              <w:t>部分（55分）</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对项目的总体理解及建设优势分析（8分）</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根据投标人对系统现状的理解程度，包括本项目建设背景、信息化现状、具体建设内容、建设需求分析以及投标人优势等进行评分：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1、对本项目建设背景、信息化现状、具体建设内容、建设需求理解透彻，分析准确到位，投标人优势明显，得8分；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2、对本项目建设背景、信息化现状、具体建设内容、建设需求理解清晰，分析基本合理，投标人优势较明显，得5分；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3、对本项目建设背景、信息化现状、具体建设内容、建设需求缺乏了解或分析，投标人优势不明显，得3分；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4、其他情况不得分。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8</w:t>
            </w:r>
          </w:p>
        </w:tc>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项目重点难点分析及解决方案（6分）</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根据投标人基于对项目需求的理解，对项目重点难点分析及解决方案进行评分。</w:t>
            </w:r>
          </w:p>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1、重点非常明确突出、难点非常全面、解决方案和合理化建议可行性强，得6分；</w:t>
            </w:r>
          </w:p>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2、重点较为明确突出、难点比较全面、解决方案和合理化建议可行性一般，得4分；</w:t>
            </w:r>
          </w:p>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3、重点基本不突出、难点不全面、解决方案和合理化建议不太具备可行性，得2分；</w:t>
            </w:r>
          </w:p>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4、其它情况或不提供，得0分。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设计方案评价（15分）</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根据“用户需求书”内容以及相关要求，对投标人提出的</w:t>
            </w:r>
            <w:r>
              <w:rPr>
                <w:rFonts w:hint="eastAsia" w:ascii="宋体" w:hAnsi="宋体" w:cs="宋体"/>
                <w:color w:val="auto"/>
                <w:sz w:val="21"/>
                <w:szCs w:val="21"/>
                <w:lang w:val="en-US" w:eastAsia="zh-CN"/>
              </w:rPr>
              <w:t>dip政策调整</w:t>
            </w:r>
            <w:r>
              <w:rPr>
                <w:rFonts w:hint="eastAsia" w:ascii="宋体" w:hAnsi="宋体" w:eastAsia="宋体" w:cs="宋体"/>
                <w:color w:val="auto"/>
                <w:sz w:val="21"/>
                <w:szCs w:val="21"/>
                <w:lang w:val="en-US" w:eastAsia="zh-CN"/>
              </w:rPr>
              <w:t>工作方案分别进行评分。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1、方案措施详细完善、科学合理、可行性高的，得15分；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2、方案措施基本合理、有一定可行性的，得10分；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3、方案措施缺乏合理性、可行性差的，得5分；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4、其他情况不得分。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2"/>
                <w:szCs w:val="22"/>
                <w:u w:val="none"/>
                <w:lang w:val="en-US" w:eastAsia="zh-CN" w:bidi="ar"/>
              </w:rPr>
              <w:t>10</w:t>
            </w:r>
          </w:p>
        </w:tc>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88" w:lineRule="auto"/>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color w:val="auto"/>
                <w:kern w:val="0"/>
                <w:sz w:val="21"/>
                <w:szCs w:val="21"/>
                <w:lang w:bidi="ar"/>
              </w:rPr>
              <w:t>项目组织实施</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10分</w:t>
            </w:r>
            <w:r>
              <w:rPr>
                <w:rFonts w:hint="eastAsia" w:ascii="宋体" w:hAnsi="宋体" w:eastAsia="宋体" w:cs="宋体"/>
                <w:color w:val="auto"/>
                <w:kern w:val="0"/>
                <w:sz w:val="21"/>
                <w:szCs w:val="21"/>
                <w:lang w:eastAsia="zh-CN" w:bidi="ar"/>
              </w:rPr>
              <w:t>）</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25"/>
              <w:shd w:val="clear"/>
              <w:spacing w:line="288" w:lineRule="auto"/>
              <w:ind w:firstLine="0"/>
              <w:rPr>
                <w:rFonts w:hint="eastAsia" w:ascii="宋体" w:hAnsi="宋体" w:eastAsia="宋体" w:cs="宋体"/>
                <w:color w:val="auto"/>
                <w:sz w:val="21"/>
                <w:szCs w:val="21"/>
              </w:rPr>
            </w:pPr>
            <w:r>
              <w:rPr>
                <w:rFonts w:hint="eastAsia" w:ascii="宋体" w:hAnsi="宋体" w:eastAsia="宋体" w:cs="宋体"/>
                <w:color w:val="auto"/>
                <w:sz w:val="21"/>
                <w:szCs w:val="21"/>
              </w:rPr>
              <w:t>根据对投标人的项目组织运行方案进行比较和评价：</w:t>
            </w:r>
          </w:p>
          <w:p>
            <w:pPr>
              <w:pStyle w:val="25"/>
              <w:numPr>
                <w:ilvl w:val="0"/>
                <w:numId w:val="5"/>
              </w:numPr>
              <w:shd w:val="clear"/>
              <w:spacing w:line="288"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项目组织架构、人员配备与管理详细合理，优于招标文件要求的，得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p>
            <w:pPr>
              <w:pStyle w:val="25"/>
              <w:numPr>
                <w:ilvl w:val="0"/>
                <w:numId w:val="5"/>
              </w:numPr>
              <w:shd w:val="clear"/>
              <w:spacing w:line="288"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项目组织架构、人员配备与管理基本合理，无优于招标文件要求的，得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p>
            <w:pPr>
              <w:pStyle w:val="25"/>
              <w:numPr>
                <w:ilvl w:val="0"/>
                <w:numId w:val="5"/>
              </w:numPr>
              <w:shd w:val="clear"/>
              <w:spacing w:line="288"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项目组织架构、人员配备与管理不够合理，又不利于采购人条款，得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pPr>
              <w:pStyle w:val="25"/>
              <w:numPr>
                <w:ilvl w:val="0"/>
                <w:numId w:val="5"/>
              </w:numPr>
              <w:shd w:val="clear"/>
              <w:spacing w:line="288" w:lineRule="auto"/>
              <w:ind w:left="425" w:leftChars="0" w:hanging="425" w:firstLineChars="0"/>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color w:val="auto"/>
                <w:sz w:val="21"/>
                <w:szCs w:val="21"/>
              </w:rPr>
              <w:t>其它情况或不提供，得0分。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54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88"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bidi="ar"/>
              </w:rPr>
              <w:t>应急处置方案</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8分</w:t>
            </w:r>
            <w:r>
              <w:rPr>
                <w:rFonts w:hint="eastAsia" w:ascii="宋体" w:hAnsi="宋体" w:eastAsia="宋体" w:cs="宋体"/>
                <w:color w:val="auto"/>
                <w:kern w:val="0"/>
                <w:sz w:val="21"/>
                <w:szCs w:val="21"/>
                <w:lang w:eastAsia="zh-CN" w:bidi="ar"/>
              </w:rPr>
              <w:t>）</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25"/>
              <w:shd w:val="clear"/>
              <w:spacing w:line="288" w:lineRule="auto"/>
              <w:ind w:firstLine="0"/>
              <w:rPr>
                <w:rFonts w:hint="eastAsia" w:ascii="宋体" w:hAnsi="宋体" w:eastAsia="宋体" w:cs="宋体"/>
                <w:color w:val="auto"/>
                <w:sz w:val="21"/>
                <w:szCs w:val="21"/>
              </w:rPr>
            </w:pPr>
            <w:r>
              <w:rPr>
                <w:rFonts w:hint="eastAsia" w:ascii="宋体" w:hAnsi="宋体" w:eastAsia="宋体" w:cs="宋体"/>
                <w:color w:val="auto"/>
                <w:sz w:val="21"/>
                <w:szCs w:val="21"/>
              </w:rPr>
              <w:t>针对突发事件而建立完善的应急处理机制、系统发生故障时的系统应急预案。根据对所有投标人制定应急处置预案进行比较和评价：</w:t>
            </w:r>
          </w:p>
          <w:p>
            <w:pPr>
              <w:pStyle w:val="25"/>
              <w:numPr>
                <w:ilvl w:val="0"/>
                <w:numId w:val="6"/>
              </w:numPr>
              <w:shd w:val="clear"/>
              <w:spacing w:line="288"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应急处置预案完善可行，符合本项目要求的，得</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p>
          <w:p>
            <w:pPr>
              <w:pStyle w:val="25"/>
              <w:numPr>
                <w:ilvl w:val="0"/>
                <w:numId w:val="6"/>
              </w:numPr>
              <w:shd w:val="clear"/>
              <w:spacing w:line="288"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应急处置预案较为完善的，得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pPr>
              <w:pStyle w:val="25"/>
              <w:numPr>
                <w:ilvl w:val="0"/>
                <w:numId w:val="6"/>
              </w:numPr>
              <w:shd w:val="clear"/>
              <w:spacing w:line="288"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应急处置预案基本符合的，得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pPr>
              <w:pStyle w:val="25"/>
              <w:numPr>
                <w:ilvl w:val="0"/>
                <w:numId w:val="6"/>
              </w:numPr>
              <w:shd w:val="clear"/>
              <w:spacing w:line="288" w:lineRule="auto"/>
              <w:ind w:left="425" w:leftChars="0" w:hanging="425" w:firstLineChars="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rPr>
              <w:t>其它情况或不提供，得0分。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541"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288"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bidi="ar"/>
              </w:rPr>
              <w:t>质量保证措施及风险控制</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8分</w:t>
            </w:r>
            <w:r>
              <w:rPr>
                <w:rFonts w:hint="eastAsia" w:ascii="宋体" w:hAnsi="宋体" w:eastAsia="宋体" w:cs="宋体"/>
                <w:color w:val="auto"/>
                <w:kern w:val="0"/>
                <w:sz w:val="21"/>
                <w:szCs w:val="21"/>
                <w:lang w:eastAsia="zh-CN" w:bidi="ar"/>
              </w:rPr>
              <w:t>）</w:t>
            </w:r>
          </w:p>
        </w:tc>
        <w:tc>
          <w:tcPr>
            <w:tcW w:w="2949"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25"/>
              <w:shd w:val="clear"/>
              <w:spacing w:line="288" w:lineRule="auto"/>
              <w:ind w:firstLine="0"/>
              <w:rPr>
                <w:rFonts w:hint="eastAsia" w:ascii="宋体" w:hAnsi="宋体" w:eastAsia="宋体" w:cs="宋体"/>
                <w:color w:val="auto"/>
                <w:sz w:val="21"/>
                <w:szCs w:val="21"/>
              </w:rPr>
            </w:pPr>
            <w:r>
              <w:rPr>
                <w:rFonts w:hint="eastAsia" w:ascii="宋体" w:hAnsi="宋体" w:eastAsia="宋体" w:cs="宋体"/>
                <w:color w:val="auto"/>
                <w:sz w:val="21"/>
                <w:szCs w:val="21"/>
              </w:rPr>
              <w:t>根据对投标人的质量保证措施及风险控制方案进行比较和评价：</w:t>
            </w:r>
          </w:p>
          <w:p>
            <w:pPr>
              <w:pStyle w:val="25"/>
              <w:numPr>
                <w:ilvl w:val="0"/>
                <w:numId w:val="7"/>
              </w:numPr>
              <w:shd w:val="clear"/>
              <w:spacing w:line="288"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质量保证措施及风险控制方案详细合理，优于招标文件要求的，得</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p>
          <w:p>
            <w:pPr>
              <w:pStyle w:val="25"/>
              <w:numPr>
                <w:ilvl w:val="0"/>
                <w:numId w:val="7"/>
              </w:numPr>
              <w:shd w:val="clear"/>
              <w:spacing w:line="288"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质量保证措施及风险控制方案基本合理，无优于招标文件要求的，得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pPr>
              <w:pStyle w:val="25"/>
              <w:numPr>
                <w:ilvl w:val="0"/>
                <w:numId w:val="7"/>
              </w:numPr>
              <w:shd w:val="clear"/>
              <w:spacing w:line="288"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质量保证措施及风险控制方案不够合理，有不利于采购人条款，得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pPr>
              <w:pStyle w:val="25"/>
              <w:numPr>
                <w:ilvl w:val="0"/>
                <w:numId w:val="7"/>
              </w:numPr>
              <w:shd w:val="clear"/>
              <w:spacing w:line="288" w:lineRule="auto"/>
              <w:ind w:left="425" w:leftChars="0" w:hanging="425" w:firstLineChars="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rPr>
              <w:t>其它情况或不提供，得0分。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36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60" w:lineRule="exact"/>
              <w:ind w:firstLine="0" w:firstLineChars="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100</w:t>
            </w:r>
          </w:p>
        </w:tc>
      </w:tr>
    </w:tbl>
    <w:p>
      <w:pPr>
        <w:shd w:val="clear"/>
        <w:rPr>
          <w:rFonts w:hint="default"/>
          <w:color w:val="auto"/>
          <w:lang w:val="en-US" w:eastAsia="zh-CN"/>
        </w:rPr>
      </w:pPr>
    </w:p>
    <w:p>
      <w:pPr>
        <w:pStyle w:val="15"/>
        <w:shd w:val="clear"/>
        <w:rPr>
          <w:rFonts w:hint="default"/>
          <w:color w:val="auto"/>
          <w:lang w:val="en-US" w:eastAsia="zh-CN"/>
        </w:rPr>
      </w:pPr>
    </w:p>
    <w:p>
      <w:pPr>
        <w:shd w:val="clear"/>
        <w:rPr>
          <w:rFonts w:hint="default"/>
          <w:color w:val="auto"/>
          <w:lang w:val="en-US" w:eastAsia="zh-CN"/>
        </w:rPr>
      </w:pPr>
    </w:p>
    <w:p>
      <w:pPr>
        <w:shd w:val="clear"/>
        <w:bidi w:val="0"/>
        <w:rPr>
          <w:color w:val="auto"/>
        </w:rPr>
      </w:pPr>
    </w:p>
    <w:p>
      <w:pPr>
        <w:pStyle w:val="2"/>
        <w:shd w:val="clear"/>
        <w:rPr>
          <w:color w:val="auto"/>
        </w:rPr>
      </w:pPr>
    </w:p>
    <w:p>
      <w:pPr>
        <w:pStyle w:val="2"/>
        <w:shd w:val="clear"/>
        <w:rPr>
          <w:color w:val="auto"/>
        </w:rPr>
      </w:pPr>
    </w:p>
    <w:p>
      <w:pPr>
        <w:pStyle w:val="2"/>
        <w:shd w:val="clear"/>
        <w:rPr>
          <w:color w:val="auto"/>
        </w:rPr>
      </w:pPr>
    </w:p>
    <w:p>
      <w:pPr>
        <w:pStyle w:val="2"/>
        <w:shd w:val="clear"/>
        <w:rPr>
          <w:color w:val="auto"/>
        </w:rPr>
      </w:pPr>
    </w:p>
    <w:p>
      <w:pPr>
        <w:shd w:val="clear"/>
        <w:bidi w:val="0"/>
        <w:rPr>
          <w:color w:val="auto"/>
        </w:rPr>
      </w:pPr>
    </w:p>
    <w:p>
      <w:pPr>
        <w:shd w:val="clear"/>
        <w:bidi w:val="0"/>
        <w:rPr>
          <w:color w:val="auto"/>
        </w:rPr>
      </w:pPr>
    </w:p>
    <w:p>
      <w:pPr>
        <w:shd w:val="clear"/>
        <w:bidi w:val="0"/>
        <w:rPr>
          <w:color w:val="auto"/>
        </w:rPr>
      </w:pPr>
    </w:p>
    <w:p>
      <w:pPr>
        <w:shd w:val="clear"/>
        <w:bidi w:val="0"/>
        <w:rPr>
          <w:color w:val="auto"/>
        </w:rPr>
      </w:pPr>
    </w:p>
    <w:p>
      <w:pPr>
        <w:shd w:val="clear"/>
        <w:bidi w:val="0"/>
        <w:rPr>
          <w:color w:val="auto"/>
        </w:rPr>
      </w:pPr>
    </w:p>
    <w:p>
      <w:pPr>
        <w:shd w:val="clear"/>
        <w:bidi w:val="0"/>
        <w:rPr>
          <w:color w:val="auto"/>
        </w:rPr>
      </w:pPr>
    </w:p>
    <w:p>
      <w:pPr>
        <w:shd w:val="clear"/>
        <w:bidi w:val="0"/>
        <w:rPr>
          <w:color w:val="auto"/>
        </w:rPr>
      </w:pPr>
    </w:p>
    <w:p>
      <w:pPr>
        <w:shd w:val="clear"/>
        <w:bidi w:val="0"/>
        <w:rPr>
          <w:color w:val="auto"/>
        </w:rPr>
      </w:pPr>
    </w:p>
    <w:p>
      <w:pPr>
        <w:shd w:val="clear"/>
        <w:bidi w:val="0"/>
        <w:rPr>
          <w:color w:val="auto"/>
        </w:rPr>
      </w:pPr>
    </w:p>
    <w:p>
      <w:pPr>
        <w:shd w:val="clear"/>
        <w:bidi w:val="0"/>
        <w:rPr>
          <w:color w:val="auto"/>
        </w:rPr>
      </w:pPr>
    </w:p>
    <w:p>
      <w:pPr>
        <w:shd w:val="clear"/>
        <w:bidi w:val="0"/>
        <w:rPr>
          <w:color w:val="auto"/>
        </w:rPr>
      </w:pPr>
    </w:p>
    <w:p>
      <w:pPr>
        <w:pStyle w:val="3"/>
        <w:shd w:val="clear"/>
        <w:bidi w:val="0"/>
        <w:jc w:val="center"/>
        <w:rPr>
          <w:rFonts w:hint="eastAsia"/>
          <w:color w:val="auto"/>
          <w:lang w:eastAsia="zh-CN"/>
        </w:rPr>
      </w:pPr>
      <w:r>
        <w:rPr>
          <w:rFonts w:hint="eastAsia"/>
          <w:color w:val="auto"/>
          <w:lang w:val="en-US" w:eastAsia="zh-CN"/>
        </w:rPr>
        <w:t>合同范本</w:t>
      </w:r>
    </w:p>
    <w:p>
      <w:pPr>
        <w:shd w:val="clear"/>
        <w:bidi w:val="0"/>
        <w:ind w:left="0" w:leftChars="0" w:firstLine="0" w:firstLineChars="0"/>
        <w:jc w:val="center"/>
        <w:rPr>
          <w:rFonts w:hint="eastAsia"/>
          <w:b/>
          <w:bCs/>
          <w:color w:val="auto"/>
          <w:sz w:val="44"/>
          <w:szCs w:val="44"/>
          <w:lang w:eastAsia="zh-CN"/>
        </w:rPr>
      </w:pPr>
    </w:p>
    <w:p>
      <w:pPr>
        <w:shd w:val="clear"/>
        <w:bidi w:val="0"/>
        <w:jc w:val="center"/>
        <w:rPr>
          <w:rFonts w:hint="eastAsia"/>
          <w:b/>
          <w:bCs/>
          <w:color w:val="auto"/>
          <w:sz w:val="44"/>
          <w:szCs w:val="44"/>
          <w:lang w:eastAsia="zh-CN"/>
        </w:rPr>
      </w:pPr>
    </w:p>
    <w:p>
      <w:pPr>
        <w:shd w:val="clear"/>
        <w:bidi w:val="0"/>
        <w:jc w:val="center"/>
        <w:rPr>
          <w:rFonts w:ascii="Times New Roman" w:hAnsi="Times New Roman" w:eastAsia="宋体"/>
          <w:b/>
          <w:bCs/>
          <w:color w:val="auto"/>
          <w:sz w:val="44"/>
          <w:szCs w:val="44"/>
        </w:rPr>
      </w:pPr>
      <w:r>
        <w:rPr>
          <w:rFonts w:hint="eastAsia"/>
          <w:b/>
          <w:bCs/>
          <w:color w:val="auto"/>
          <w:sz w:val="44"/>
          <w:szCs w:val="44"/>
          <w:lang w:eastAsia="zh-CN"/>
        </w:rPr>
        <w:t>医保局国家医保信息平台政策调整改造( 2023年)项目</w:t>
      </w:r>
      <w:r>
        <w:rPr>
          <w:rFonts w:ascii="Times New Roman" w:hAnsi="Times New Roman" w:eastAsia="宋体"/>
          <w:b/>
          <w:bCs/>
          <w:color w:val="auto"/>
          <w:sz w:val="44"/>
          <w:szCs w:val="44"/>
        </w:rPr>
        <w:t>采购合同</w:t>
      </w:r>
    </w:p>
    <w:p>
      <w:pPr>
        <w:shd w:val="clear"/>
        <w:bidi w:val="0"/>
        <w:jc w:val="center"/>
        <w:rPr>
          <w:rFonts w:ascii="Times New Roman" w:hAnsi="Times New Roman" w:eastAsia="宋体"/>
          <w:b/>
          <w:bCs/>
          <w:color w:val="auto"/>
          <w:sz w:val="44"/>
          <w:szCs w:val="44"/>
        </w:rPr>
      </w:pPr>
      <w:r>
        <w:rPr>
          <w:rFonts w:ascii="Times New Roman" w:hAnsi="Times New Roman" w:eastAsia="宋体"/>
          <w:b/>
          <w:bCs/>
          <w:color w:val="auto"/>
          <w:sz w:val="44"/>
          <w:szCs w:val="44"/>
        </w:rPr>
        <w:t>（参考范本）</w:t>
      </w:r>
    </w:p>
    <w:p>
      <w:pPr>
        <w:shd w:val="clear"/>
        <w:bidi w:val="0"/>
        <w:rPr>
          <w:b/>
          <w:bCs/>
          <w:color w:val="auto"/>
          <w:sz w:val="44"/>
          <w:szCs w:val="44"/>
        </w:rPr>
        <w:sectPr>
          <w:headerReference r:id="rId4" w:type="default"/>
          <w:footerReference r:id="rId5" w:type="default"/>
          <w:pgSz w:w="11910" w:h="16850"/>
          <w:pgMar w:top="1420" w:right="1120" w:bottom="960" w:left="1360" w:header="877" w:footer="763" w:gutter="0"/>
          <w:pgNumType w:start="44"/>
          <w:cols w:space="720" w:num="1"/>
        </w:sectPr>
      </w:pPr>
    </w:p>
    <w:p>
      <w:pPr>
        <w:shd w:val="clear"/>
        <w:bidi w:val="0"/>
        <w:jc w:val="center"/>
        <w:rPr>
          <w:color w:val="auto"/>
          <w:sz w:val="28"/>
          <w:szCs w:val="28"/>
        </w:rPr>
      </w:pPr>
      <w:r>
        <w:rPr>
          <w:rFonts w:hint="eastAsia"/>
          <w:color w:val="auto"/>
          <w:sz w:val="28"/>
          <w:szCs w:val="28"/>
          <w:lang w:eastAsia="zh-CN"/>
        </w:rPr>
        <w:t>医保局国家医保信息平台政策调整改造( 2023年)项目</w:t>
      </w:r>
      <w:r>
        <w:rPr>
          <w:color w:val="auto"/>
          <w:sz w:val="28"/>
          <w:szCs w:val="28"/>
        </w:rPr>
        <w:t>采购合同</w:t>
      </w:r>
    </w:p>
    <w:p>
      <w:pPr>
        <w:shd w:val="clear"/>
        <w:bidi w:val="0"/>
        <w:jc w:val="center"/>
        <w:rPr>
          <w:color w:val="auto"/>
        </w:rPr>
      </w:pPr>
      <w:r>
        <w:rPr>
          <w:color w:val="auto"/>
        </w:rPr>
        <w:t>（参考范本）</w:t>
      </w:r>
    </w:p>
    <w:p>
      <w:pPr>
        <w:shd w:val="clear"/>
        <w:bidi w:val="0"/>
        <w:rPr>
          <w:color w:val="auto"/>
        </w:rPr>
      </w:pPr>
    </w:p>
    <w:p>
      <w:pPr>
        <w:shd w:val="clear"/>
        <w:bidi w:val="0"/>
        <w:rPr>
          <w:color w:val="auto"/>
        </w:rPr>
      </w:pPr>
      <w:r>
        <w:rPr>
          <w:color w:val="auto"/>
        </w:rPr>
        <w:t>购货单位：</w:t>
      </w:r>
      <w:r>
        <w:rPr>
          <w:rFonts w:hint="eastAsia"/>
          <w:color w:val="auto"/>
          <w:u w:val="single"/>
          <w:lang w:val="en-US" w:eastAsia="zh-CN"/>
        </w:rPr>
        <w:t xml:space="preserve">              </w:t>
      </w:r>
      <w:r>
        <w:rPr>
          <w:color w:val="auto"/>
        </w:rPr>
        <w:t xml:space="preserve"> </w:t>
      </w:r>
      <w:r>
        <w:rPr>
          <w:color w:val="auto"/>
        </w:rPr>
        <w:tab/>
      </w:r>
      <w:r>
        <w:rPr>
          <w:color w:val="auto"/>
        </w:rPr>
        <w:t>（以下简称甲方）</w:t>
      </w:r>
    </w:p>
    <w:p>
      <w:pPr>
        <w:shd w:val="clear"/>
        <w:bidi w:val="0"/>
        <w:rPr>
          <w:color w:val="auto"/>
        </w:rPr>
      </w:pPr>
      <w:r>
        <w:rPr>
          <w:color w:val="auto"/>
        </w:rPr>
        <w:t>供货单位：</w:t>
      </w:r>
      <w:r>
        <w:rPr>
          <w:rFonts w:hint="eastAsia"/>
          <w:color w:val="auto"/>
          <w:u w:val="single"/>
          <w:lang w:val="en-US" w:eastAsia="zh-CN"/>
        </w:rPr>
        <w:t xml:space="preserve">                   </w:t>
      </w:r>
      <w:r>
        <w:rPr>
          <w:color w:val="auto"/>
        </w:rPr>
        <w:t xml:space="preserve"> </w:t>
      </w:r>
      <w:r>
        <w:rPr>
          <w:color w:val="auto"/>
        </w:rPr>
        <w:tab/>
      </w:r>
      <w:r>
        <w:rPr>
          <w:color w:val="auto"/>
        </w:rPr>
        <w:t>（以下简称乙方）</w:t>
      </w:r>
    </w:p>
    <w:p>
      <w:pPr>
        <w:shd w:val="clear"/>
        <w:bidi w:val="0"/>
        <w:rPr>
          <w:color w:val="auto"/>
        </w:rPr>
      </w:pPr>
    </w:p>
    <w:p>
      <w:pPr>
        <w:shd w:val="clear"/>
        <w:bidi w:val="0"/>
        <w:rPr>
          <w:color w:val="auto"/>
        </w:rPr>
      </w:pPr>
      <w:r>
        <w:rPr>
          <w:color w:val="auto"/>
        </w:rPr>
        <w:t>甲乙双方根据《中华人民共和国</w:t>
      </w:r>
      <w:r>
        <w:rPr>
          <w:rFonts w:hint="eastAsia"/>
          <w:color w:val="auto"/>
          <w:lang w:val="en-US" w:eastAsia="zh-CN"/>
        </w:rPr>
        <w:t>民</w:t>
      </w:r>
      <w:r>
        <w:rPr>
          <w:color w:val="auto"/>
        </w:rPr>
        <w:t>法</w:t>
      </w:r>
      <w:r>
        <w:rPr>
          <w:rFonts w:hint="eastAsia"/>
          <w:color w:val="auto"/>
          <w:lang w:val="en-US" w:eastAsia="zh-CN"/>
        </w:rPr>
        <w:t>典</w:t>
      </w:r>
      <w:r>
        <w:rPr>
          <w:color w:val="auto"/>
        </w:rPr>
        <w:t xml:space="preserve">》、《中华人民共和国政府采购法》等有关法律法规的规定，按照 </w:t>
      </w:r>
      <w:r>
        <w:rPr>
          <w:rFonts w:hint="eastAsia"/>
          <w:color w:val="auto"/>
          <w:u w:val="single"/>
          <w:lang w:val="en-US" w:eastAsia="zh-CN"/>
        </w:rPr>
        <w:t xml:space="preserve">                          </w:t>
      </w:r>
      <w:r>
        <w:rPr>
          <w:color w:val="auto"/>
        </w:rPr>
        <w:t>的招标结果、招标文件、乙方的投标文件及澄清文件和中标通知书的要求，经双方协商一致，订立合同如下：</w:t>
      </w:r>
    </w:p>
    <w:p>
      <w:pPr>
        <w:shd w:val="clear"/>
        <w:bidi w:val="0"/>
        <w:rPr>
          <w:color w:val="auto"/>
        </w:rPr>
      </w:pPr>
      <w:r>
        <w:rPr>
          <w:color w:val="auto"/>
        </w:rPr>
        <w:t>第一条 项目的名称、项目总价、技术要求和项目产品的清单（名称、数量、规格、单价、型号、品牌和技术指标等）</w:t>
      </w:r>
    </w:p>
    <w:p>
      <w:pPr>
        <w:shd w:val="clear"/>
        <w:bidi w:val="0"/>
        <w:rPr>
          <w:color w:val="auto"/>
        </w:rPr>
      </w:pPr>
      <w:r>
        <w:rPr>
          <w:color w:val="auto"/>
        </w:rPr>
        <w:t>（一）项目名称：</w:t>
      </w:r>
      <w:r>
        <w:rPr>
          <w:rFonts w:hint="eastAsia"/>
          <w:color w:val="auto"/>
          <w:u w:val="single"/>
          <w:lang w:val="en-US" w:eastAsia="zh-CN"/>
        </w:rPr>
        <w:t xml:space="preserve">                           </w:t>
      </w:r>
      <w:r>
        <w:rPr>
          <w:color w:val="auto"/>
        </w:rPr>
        <w:t xml:space="preserve"> </w:t>
      </w:r>
      <w:r>
        <w:rPr>
          <w:color w:val="auto"/>
        </w:rPr>
        <w:tab/>
      </w:r>
      <w:r>
        <w:rPr>
          <w:color w:val="auto"/>
        </w:rPr>
        <w:t>；</w:t>
      </w:r>
    </w:p>
    <w:p>
      <w:pPr>
        <w:shd w:val="clear"/>
        <w:bidi w:val="0"/>
        <w:rPr>
          <w:color w:val="auto"/>
        </w:rPr>
      </w:pPr>
      <w:r>
        <w:rPr>
          <w:color w:val="auto"/>
        </w:rPr>
        <w:t>（二）项目总价是完成项目的含税全包价，所有价格变动的风险均由乙方承担，甲方不需再向乙方支付任何其他费用。</w:t>
      </w:r>
    </w:p>
    <w:p>
      <w:pPr>
        <w:shd w:val="clear"/>
        <w:bidi w:val="0"/>
        <w:rPr>
          <w:rFonts w:hint="default" w:eastAsia="宋体"/>
          <w:color w:val="auto"/>
          <w:lang w:val="en-US" w:eastAsia="zh-CN"/>
        </w:rPr>
      </w:pPr>
      <w:r>
        <w:rPr>
          <w:color w:val="auto"/>
        </w:rPr>
        <w:t>项目总价为（小写）</w:t>
      </w:r>
      <w:r>
        <w:rPr>
          <w:rFonts w:hint="eastAsia"/>
          <w:color w:val="auto"/>
          <w:u w:val="single"/>
          <w:lang w:val="en-US" w:eastAsia="zh-CN"/>
        </w:rPr>
        <w:t xml:space="preserve">                           </w:t>
      </w:r>
      <w:r>
        <w:rPr>
          <w:rFonts w:hint="eastAsia"/>
          <w:color w:val="auto"/>
          <w:lang w:eastAsia="zh-CN"/>
        </w:rPr>
        <w:t>；</w:t>
      </w:r>
      <w:r>
        <w:rPr>
          <w:rFonts w:hint="eastAsia"/>
          <w:color w:val="auto"/>
          <w:lang w:val="en-US" w:eastAsia="zh-CN"/>
        </w:rPr>
        <w:t xml:space="preserve"> </w:t>
      </w:r>
    </w:p>
    <w:p>
      <w:pPr>
        <w:shd w:val="clear"/>
        <w:bidi w:val="0"/>
        <w:rPr>
          <w:color w:val="auto"/>
        </w:rPr>
      </w:pPr>
      <w:r>
        <w:rPr>
          <w:color w:val="auto"/>
        </w:rPr>
        <w:t>（大写）</w:t>
      </w:r>
      <w:r>
        <w:rPr>
          <w:rFonts w:hint="eastAsia"/>
          <w:color w:val="auto"/>
          <w:u w:val="single"/>
          <w:lang w:val="en-US" w:eastAsia="zh-CN"/>
        </w:rPr>
        <w:t xml:space="preserve">                                  </w:t>
      </w:r>
      <w:r>
        <w:rPr>
          <w:color w:val="auto"/>
        </w:rPr>
        <w:t xml:space="preserve"> </w:t>
      </w:r>
      <w:r>
        <w:rPr>
          <w:color w:val="auto"/>
        </w:rPr>
        <w:tab/>
      </w:r>
      <w:r>
        <w:rPr>
          <w:color w:val="auto"/>
        </w:rPr>
        <w:t>；</w:t>
      </w:r>
    </w:p>
    <w:p>
      <w:pPr>
        <w:shd w:val="clear"/>
        <w:bidi w:val="0"/>
        <w:rPr>
          <w:color w:val="auto"/>
        </w:rPr>
      </w:pPr>
      <w:r>
        <w:rPr>
          <w:color w:val="auto"/>
        </w:rPr>
        <w:t>（三）技术要求：</w:t>
      </w:r>
    </w:p>
    <w:p>
      <w:pPr>
        <w:shd w:val="clear"/>
        <w:bidi w:val="0"/>
        <w:rPr>
          <w:color w:val="auto"/>
        </w:rPr>
      </w:pPr>
      <w:r>
        <w:rPr>
          <w:color w:val="auto"/>
        </w:rPr>
        <w:t>1、乙方根据甲方实际情况有选择性地采用相关技术完成甲方所需项目设计；</w:t>
      </w:r>
    </w:p>
    <w:p>
      <w:pPr>
        <w:shd w:val="clear"/>
        <w:bidi w:val="0"/>
        <w:rPr>
          <w:color w:val="auto"/>
        </w:rPr>
      </w:pPr>
      <w:r>
        <w:rPr>
          <w:color w:val="auto"/>
        </w:rPr>
        <w:t>2、项目的设计和开发中的各项技术功能的实现程度和性能指标应具有安全性、规范性、灵活性及扩展性。</w:t>
      </w:r>
    </w:p>
    <w:p>
      <w:pPr>
        <w:shd w:val="clear"/>
        <w:bidi w:val="0"/>
        <w:rPr>
          <w:rFonts w:hint="default" w:eastAsia="宋体"/>
          <w:color w:val="auto"/>
          <w:u w:val="single"/>
          <w:lang w:val="en-US" w:eastAsia="zh-CN"/>
        </w:rPr>
      </w:pPr>
      <w:r>
        <w:rPr>
          <w:color w:val="auto"/>
        </w:rPr>
        <w:t>3、具体技术要求：</w:t>
      </w:r>
      <w:r>
        <w:rPr>
          <w:rFonts w:hint="eastAsia"/>
          <w:color w:val="auto"/>
          <w:u w:val="single"/>
          <w:lang w:val="en-US" w:eastAsia="zh-CN"/>
        </w:rPr>
        <w:t xml:space="preserve">                                                                                     </w:t>
      </w:r>
    </w:p>
    <w:p>
      <w:pPr>
        <w:shd w:val="clear"/>
        <w:bidi w:val="0"/>
        <w:rPr>
          <w:rFonts w:hint="default" w:eastAsia="宋体"/>
          <w:color w:val="auto"/>
          <w:u w:val="single"/>
          <w:lang w:val="en-US" w:eastAsia="zh-CN"/>
        </w:rPr>
      </w:pPr>
      <w:r>
        <w:rPr>
          <w:rFonts w:hint="eastAsia"/>
          <w:color w:val="auto"/>
          <w:u w:val="single"/>
          <w:lang w:val="en-US" w:eastAsia="zh-CN"/>
        </w:rPr>
        <w:t xml:space="preserve">                                。</w:t>
      </w:r>
    </w:p>
    <w:p>
      <w:pPr>
        <w:shd w:val="clear"/>
        <w:bidi w:val="0"/>
        <w:rPr>
          <w:color w:val="auto"/>
        </w:rPr>
      </w:pPr>
      <w:r>
        <w:rPr>
          <w:rFonts w:hint="eastAsia"/>
          <w:color w:val="auto"/>
          <w:lang w:val="en-US" w:eastAsia="zh-CN"/>
        </w:rPr>
        <w:t xml:space="preserve"> </w:t>
      </w:r>
      <w:r>
        <w:rPr>
          <w:color w:val="auto"/>
        </w:rPr>
        <w:t>（四）产品清单：</w:t>
      </w:r>
      <w:r>
        <w:rPr>
          <w:rFonts w:hint="eastAsia"/>
          <w:color w:val="auto"/>
          <w:u w:val="single"/>
          <w:lang w:val="en-US" w:eastAsia="zh-CN"/>
        </w:rPr>
        <w:t xml:space="preserve">                          </w:t>
      </w:r>
      <w:r>
        <w:rPr>
          <w:color w:val="auto"/>
        </w:rPr>
        <w:t xml:space="preserve"> </w:t>
      </w:r>
      <w:r>
        <w:rPr>
          <w:color w:val="auto"/>
        </w:rPr>
        <w:tab/>
      </w:r>
      <w:r>
        <w:rPr>
          <w:color w:val="auto"/>
        </w:rPr>
        <w:t>；</w:t>
      </w:r>
    </w:p>
    <w:p>
      <w:pPr>
        <w:shd w:val="clear"/>
        <w:bidi w:val="0"/>
        <w:rPr>
          <w:color w:val="auto"/>
        </w:rPr>
      </w:pPr>
      <w:r>
        <w:rPr>
          <w:color w:val="auto"/>
        </w:rPr>
        <w:t>（五）服务内容：</w:t>
      </w:r>
      <w:r>
        <w:rPr>
          <w:rFonts w:hint="eastAsia"/>
          <w:color w:val="auto"/>
          <w:u w:val="single"/>
          <w:lang w:val="en-US" w:eastAsia="zh-CN"/>
        </w:rPr>
        <w:t xml:space="preserve">                                     </w:t>
      </w:r>
      <w:r>
        <w:rPr>
          <w:color w:val="auto"/>
        </w:rPr>
        <w:t xml:space="preserve"> </w:t>
      </w:r>
      <w:r>
        <w:rPr>
          <w:color w:val="auto"/>
        </w:rPr>
        <w:tab/>
      </w:r>
      <w:r>
        <w:rPr>
          <w:color w:val="auto"/>
        </w:rPr>
        <w:t>。</w:t>
      </w:r>
    </w:p>
    <w:p>
      <w:pPr>
        <w:shd w:val="clear"/>
        <w:bidi w:val="0"/>
        <w:rPr>
          <w:color w:val="auto"/>
        </w:rPr>
      </w:pPr>
      <w:r>
        <w:rPr>
          <w:color w:val="auto"/>
        </w:rPr>
        <w:t>第二条 货款的结算</w:t>
      </w:r>
    </w:p>
    <w:p>
      <w:pPr>
        <w:shd w:val="clear"/>
        <w:bidi w:val="0"/>
        <w:rPr>
          <w:color w:val="auto"/>
        </w:rPr>
      </w:pPr>
      <w:r>
        <w:rPr>
          <w:color w:val="auto"/>
        </w:rPr>
        <w:t>具体结算方式：</w:t>
      </w:r>
      <w:r>
        <w:rPr>
          <w:rFonts w:hint="eastAsia"/>
          <w:color w:val="auto"/>
          <w:u w:val="single"/>
          <w:lang w:val="en-US" w:eastAsia="zh-CN"/>
        </w:rPr>
        <w:t xml:space="preserve">                                  </w:t>
      </w:r>
      <w:r>
        <w:rPr>
          <w:color w:val="auto"/>
        </w:rPr>
        <w:t xml:space="preserve"> </w:t>
      </w:r>
      <w:r>
        <w:rPr>
          <w:color w:val="auto"/>
        </w:rPr>
        <w:tab/>
      </w:r>
      <w:r>
        <w:rPr>
          <w:color w:val="auto"/>
        </w:rPr>
        <w:t>。</w:t>
      </w:r>
    </w:p>
    <w:p>
      <w:pPr>
        <w:shd w:val="clear"/>
        <w:bidi w:val="0"/>
        <w:rPr>
          <w:color w:val="auto"/>
        </w:rPr>
      </w:pPr>
      <w:r>
        <w:rPr>
          <w:color w:val="auto"/>
        </w:rPr>
        <w:t>第三条 项目工期</w:t>
      </w:r>
    </w:p>
    <w:p>
      <w:pPr>
        <w:shd w:val="clear"/>
        <w:bidi w:val="0"/>
        <w:rPr>
          <w:color w:val="auto"/>
        </w:rPr>
      </w:pPr>
      <w:r>
        <w:rPr>
          <w:color w:val="auto"/>
        </w:rPr>
        <w:t xml:space="preserve">完工期： </w:t>
      </w:r>
      <w:r>
        <w:rPr>
          <w:color w:val="auto"/>
        </w:rPr>
        <w:tab/>
      </w:r>
      <w:r>
        <w:rPr>
          <w:rFonts w:hint="eastAsia"/>
          <w:color w:val="auto"/>
        </w:rPr>
        <w:t>本项目自合同签订之日起</w:t>
      </w:r>
      <w:r>
        <w:rPr>
          <w:rFonts w:hint="default" w:ascii="Times New Roman" w:hAnsi="Times New Roman" w:cs="Times New Roman"/>
          <w:color w:val="auto"/>
          <w:lang w:val="en-US" w:eastAsia="zh-CN"/>
        </w:rPr>
        <w:t>4</w:t>
      </w:r>
      <w:r>
        <w:rPr>
          <w:rFonts w:hint="default" w:ascii="Times New Roman" w:hAnsi="Times New Roman" w:cs="Times New Roman"/>
          <w:color w:val="auto"/>
        </w:rPr>
        <w:t>个月</w:t>
      </w:r>
      <w:r>
        <w:rPr>
          <w:rFonts w:hint="eastAsia"/>
          <w:color w:val="auto"/>
        </w:rPr>
        <w:t>内完成</w:t>
      </w:r>
      <w:r>
        <w:rPr>
          <w:rFonts w:hint="eastAsia"/>
          <w:color w:val="auto"/>
          <w:lang w:val="en-US" w:eastAsia="zh-CN"/>
        </w:rPr>
        <w:t>上线与验收工作</w:t>
      </w:r>
      <w:r>
        <w:rPr>
          <w:rFonts w:hint="eastAsia"/>
          <w:color w:val="auto"/>
        </w:rPr>
        <w:t>。</w:t>
      </w:r>
    </w:p>
    <w:p>
      <w:pPr>
        <w:shd w:val="clear"/>
        <w:bidi w:val="0"/>
        <w:rPr>
          <w:color w:val="auto"/>
        </w:rPr>
      </w:pPr>
      <w:r>
        <w:rPr>
          <w:color w:val="auto"/>
        </w:rPr>
        <w:t>第四条 甲方责任</w:t>
      </w:r>
    </w:p>
    <w:p>
      <w:pPr>
        <w:shd w:val="clear"/>
        <w:bidi w:val="0"/>
        <w:rPr>
          <w:color w:val="auto"/>
        </w:rPr>
      </w:pPr>
      <w:r>
        <w:rPr>
          <w:color w:val="auto"/>
        </w:rPr>
        <w:t>（一）甲方负责向乙方提供项目设计所需资料（图片、文字等），并保证所提供资料的按时性和准确性；</w:t>
      </w:r>
    </w:p>
    <w:p>
      <w:pPr>
        <w:shd w:val="clear"/>
        <w:bidi w:val="0"/>
        <w:rPr>
          <w:color w:val="auto"/>
        </w:rPr>
      </w:pPr>
      <w:r>
        <w:rPr>
          <w:color w:val="auto"/>
        </w:rPr>
        <w:t>（二）项目设计和开发期间，甲方负责向乙方提出参考意见或修改意见；</w:t>
      </w:r>
    </w:p>
    <w:p>
      <w:pPr>
        <w:shd w:val="clear"/>
        <w:bidi w:val="0"/>
        <w:rPr>
          <w:color w:val="auto"/>
        </w:rPr>
      </w:pPr>
      <w:r>
        <w:rPr>
          <w:color w:val="auto"/>
        </w:rPr>
        <w:t xml:space="preserve">（三） </w:t>
      </w:r>
      <w:r>
        <w:rPr>
          <w:rFonts w:hint="eastAsia"/>
          <w:color w:val="auto"/>
          <w:u w:val="single"/>
          <w:lang w:val="en-US" w:eastAsia="zh-CN"/>
        </w:rPr>
        <w:t xml:space="preserve">                                           </w:t>
      </w:r>
      <w:r>
        <w:rPr>
          <w:color w:val="auto"/>
        </w:rPr>
        <w:tab/>
      </w:r>
      <w:r>
        <w:rPr>
          <w:color w:val="auto"/>
        </w:rPr>
        <w:t xml:space="preserve">                                    </w:t>
      </w:r>
    </w:p>
    <w:p>
      <w:pPr>
        <w:shd w:val="clear"/>
        <w:bidi w:val="0"/>
        <w:rPr>
          <w:color w:val="auto"/>
        </w:rPr>
      </w:pPr>
      <w:r>
        <w:rPr>
          <w:color w:val="auto"/>
        </w:rPr>
        <w:t>第五条 乙方责任</w:t>
      </w:r>
    </w:p>
    <w:p>
      <w:pPr>
        <w:shd w:val="clear"/>
        <w:bidi w:val="0"/>
        <w:rPr>
          <w:color w:val="auto"/>
        </w:rPr>
      </w:pPr>
      <w:r>
        <w:rPr>
          <w:color w:val="auto"/>
        </w:rPr>
        <w:t>（一）乙方负责成立项目工作小组，承担甲方项目的设计；</w:t>
      </w:r>
    </w:p>
    <w:p>
      <w:pPr>
        <w:shd w:val="clear"/>
        <w:bidi w:val="0"/>
        <w:rPr>
          <w:color w:val="auto"/>
        </w:rPr>
      </w:pPr>
      <w:r>
        <w:rPr>
          <w:color w:val="auto"/>
        </w:rPr>
        <w:t>（二）乙方需按合同所规定期限完成甲方项目的设计；</w:t>
      </w:r>
    </w:p>
    <w:p>
      <w:pPr>
        <w:shd w:val="clear"/>
        <w:bidi w:val="0"/>
        <w:rPr>
          <w:color w:val="auto"/>
        </w:rPr>
      </w:pPr>
      <w:r>
        <w:rPr>
          <w:color w:val="auto"/>
        </w:rPr>
        <w:t>（三）项目设计期间，乙方负责听取并研究甲方相关意见；</w:t>
      </w:r>
    </w:p>
    <w:p>
      <w:pPr>
        <w:shd w:val="clear"/>
        <w:bidi w:val="0"/>
        <w:rPr>
          <w:color w:val="auto"/>
        </w:rPr>
      </w:pPr>
      <w:r>
        <w:rPr>
          <w:color w:val="auto"/>
        </w:rPr>
        <w:t>（四）项目目设计期间，若甲方提出异议，经甲乙双方友好协商后，乙方可进行修改；</w:t>
      </w:r>
    </w:p>
    <w:p>
      <w:pPr>
        <w:shd w:val="clear"/>
        <w:bidi w:val="0"/>
        <w:rPr>
          <w:color w:val="auto"/>
        </w:rPr>
      </w:pPr>
      <w:r>
        <w:rPr>
          <w:color w:val="auto"/>
        </w:rPr>
        <w:t xml:space="preserve">（五） </w:t>
      </w:r>
      <w:r>
        <w:rPr>
          <w:rFonts w:hint="eastAsia"/>
          <w:color w:val="auto"/>
          <w:u w:val="single"/>
          <w:lang w:val="en-US" w:eastAsia="zh-CN"/>
        </w:rPr>
        <w:t xml:space="preserve">                              </w:t>
      </w:r>
      <w:r>
        <w:rPr>
          <w:color w:val="auto"/>
        </w:rPr>
        <w:t xml:space="preserve"> </w:t>
      </w:r>
      <w:r>
        <w:rPr>
          <w:color w:val="auto"/>
        </w:rPr>
        <w:tab/>
      </w:r>
    </w:p>
    <w:p>
      <w:pPr>
        <w:shd w:val="clear"/>
        <w:bidi w:val="0"/>
        <w:rPr>
          <w:color w:val="auto"/>
        </w:rPr>
      </w:pPr>
      <w:r>
        <w:rPr>
          <w:color w:val="auto"/>
        </w:rPr>
        <w:t>第六条</w:t>
      </w:r>
      <w:r>
        <w:rPr>
          <w:color w:val="auto"/>
        </w:rPr>
        <w:tab/>
      </w:r>
      <w:r>
        <w:rPr>
          <w:color w:val="auto"/>
        </w:rPr>
        <w:t>版权、源代码及商业机密</w:t>
      </w:r>
    </w:p>
    <w:p>
      <w:pPr>
        <w:shd w:val="clear"/>
        <w:bidi w:val="0"/>
        <w:rPr>
          <w:color w:val="auto"/>
        </w:rPr>
      </w:pPr>
      <w:r>
        <w:rPr>
          <w:color w:val="auto"/>
        </w:rPr>
        <w:t>（一）乙方为甲方所设计的项目的所有权归甲方所有；</w:t>
      </w:r>
    </w:p>
    <w:p>
      <w:pPr>
        <w:shd w:val="clear"/>
        <w:bidi w:val="0"/>
        <w:rPr>
          <w:color w:val="auto"/>
        </w:rPr>
      </w:pPr>
      <w:r>
        <w:rPr>
          <w:color w:val="auto"/>
        </w:rPr>
        <w:t>（二）乙方为甲方严守商业机密，不得将该项目的设计和数据转用于第三方。</w:t>
      </w:r>
    </w:p>
    <w:p>
      <w:pPr>
        <w:shd w:val="clear"/>
        <w:bidi w:val="0"/>
        <w:rPr>
          <w:color w:val="auto"/>
        </w:rPr>
      </w:pPr>
      <w:r>
        <w:rPr>
          <w:color w:val="auto"/>
        </w:rPr>
        <w:t>第七条</w:t>
      </w:r>
      <w:r>
        <w:rPr>
          <w:color w:val="auto"/>
        </w:rPr>
        <w:tab/>
      </w:r>
      <w:r>
        <w:rPr>
          <w:color w:val="auto"/>
        </w:rPr>
        <w:t>系统验收</w:t>
      </w:r>
    </w:p>
    <w:p>
      <w:pPr>
        <w:shd w:val="clear"/>
        <w:bidi w:val="0"/>
        <w:rPr>
          <w:color w:val="auto"/>
        </w:rPr>
      </w:pPr>
      <w:r>
        <w:rPr>
          <w:color w:val="auto"/>
        </w:rPr>
        <w:t>（一）系统的设计完成后，系统的功能均可实现，乙方向甲方提出验收申请，甲方组织有关人员审核验收并盖章或签字确认；</w:t>
      </w:r>
    </w:p>
    <w:p>
      <w:pPr>
        <w:shd w:val="clear"/>
        <w:bidi w:val="0"/>
        <w:rPr>
          <w:color w:val="auto"/>
        </w:rPr>
      </w:pPr>
      <w:r>
        <w:rPr>
          <w:color w:val="auto"/>
        </w:rPr>
        <w:t>（二）验收时间：</w:t>
      </w:r>
      <w:r>
        <w:rPr>
          <w:rFonts w:hint="eastAsia"/>
          <w:color w:val="auto"/>
          <w:u w:val="single"/>
          <w:lang w:val="en-US" w:eastAsia="zh-CN"/>
        </w:rPr>
        <w:t xml:space="preserve">                      </w:t>
      </w:r>
      <w:r>
        <w:rPr>
          <w:color w:val="auto"/>
        </w:rPr>
        <w:t xml:space="preserve"> </w:t>
      </w:r>
      <w:r>
        <w:rPr>
          <w:color w:val="auto"/>
        </w:rPr>
        <w:tab/>
      </w:r>
      <w:r>
        <w:rPr>
          <w:color w:val="auto"/>
        </w:rPr>
        <w:t>。</w:t>
      </w:r>
    </w:p>
    <w:p>
      <w:pPr>
        <w:shd w:val="clear"/>
        <w:bidi w:val="0"/>
        <w:rPr>
          <w:color w:val="auto"/>
        </w:rPr>
      </w:pPr>
      <w:r>
        <w:rPr>
          <w:color w:val="auto"/>
        </w:rPr>
        <w:t>（三）验收标准：符合招标文件、乙方的投标文件、澄清文件和中标通知书的要求； 单证齐全，有产品合格证（或质量保证书）、发票和其它应当具有单证文件。</w:t>
      </w:r>
    </w:p>
    <w:p>
      <w:pPr>
        <w:shd w:val="clear"/>
        <w:bidi w:val="0"/>
        <w:rPr>
          <w:color w:val="auto"/>
        </w:rPr>
      </w:pPr>
      <w:r>
        <w:rPr>
          <w:color w:val="auto"/>
        </w:rPr>
        <w:t>第八条</w:t>
      </w:r>
      <w:r>
        <w:rPr>
          <w:color w:val="auto"/>
        </w:rPr>
        <w:tab/>
      </w:r>
      <w:r>
        <w:rPr>
          <w:color w:val="auto"/>
        </w:rPr>
        <w:t>对产品异议的时间和办法</w:t>
      </w:r>
    </w:p>
    <w:p>
      <w:pPr>
        <w:shd w:val="clear"/>
        <w:bidi w:val="0"/>
        <w:rPr>
          <w:color w:val="auto"/>
        </w:rPr>
      </w:pPr>
      <w:r>
        <w:rPr>
          <w:color w:val="auto"/>
        </w:rPr>
        <w:t>（一）甲方在验收中，如果发现产品的品种、型号、数量、规格、质量或有关软件及有关工程不合规定的，应妥为保管，并在三十日内向乙方提出书面异议；甲方怠于通知或者自产品收到之日起三个月内未通知乙方的，视为产品合乎规定；</w:t>
      </w:r>
    </w:p>
    <w:p>
      <w:pPr>
        <w:shd w:val="clear"/>
        <w:bidi w:val="0"/>
        <w:rPr>
          <w:color w:val="auto"/>
        </w:rPr>
      </w:pPr>
      <w:r>
        <w:rPr>
          <w:color w:val="auto"/>
        </w:rPr>
        <w:t>（二）乙方在接到甲方书面异议后，应在十天内处理，否则，视为乙方承认该产品</w:t>
      </w:r>
    </w:p>
    <w:p>
      <w:pPr>
        <w:shd w:val="clear"/>
        <w:bidi w:val="0"/>
        <w:rPr>
          <w:color w:val="auto"/>
        </w:rPr>
        <w:sectPr>
          <w:pgSz w:w="11910" w:h="16850"/>
          <w:pgMar w:top="1420" w:right="1120" w:bottom="960" w:left="1360" w:header="877" w:footer="763" w:gutter="0"/>
          <w:cols w:space="720" w:num="1"/>
        </w:sectPr>
      </w:pPr>
    </w:p>
    <w:p>
      <w:pPr>
        <w:shd w:val="clear"/>
        <w:bidi w:val="0"/>
        <w:rPr>
          <w:color w:val="auto"/>
        </w:rPr>
      </w:pPr>
      <w:r>
        <w:rPr>
          <w:color w:val="auto"/>
        </w:rPr>
        <w:t>存在甲方所指出的瑕疵并同意甲方提出的处理意见。</w:t>
      </w:r>
    </w:p>
    <w:p>
      <w:pPr>
        <w:shd w:val="clear"/>
        <w:bidi w:val="0"/>
        <w:rPr>
          <w:color w:val="auto"/>
        </w:rPr>
      </w:pPr>
    </w:p>
    <w:p>
      <w:pPr>
        <w:shd w:val="clear"/>
        <w:bidi w:val="0"/>
        <w:rPr>
          <w:color w:val="auto"/>
        </w:rPr>
      </w:pPr>
      <w:r>
        <w:rPr>
          <w:color w:val="auto"/>
        </w:rPr>
        <w:t>第九条</w:t>
      </w:r>
      <w:r>
        <w:rPr>
          <w:color w:val="auto"/>
        </w:rPr>
        <w:tab/>
      </w:r>
      <w:r>
        <w:rPr>
          <w:color w:val="auto"/>
        </w:rPr>
        <w:t>乙方的违约责任</w:t>
      </w:r>
    </w:p>
    <w:p>
      <w:pPr>
        <w:shd w:val="clear"/>
        <w:bidi w:val="0"/>
        <w:rPr>
          <w:color w:val="auto"/>
        </w:rPr>
      </w:pPr>
      <w:r>
        <w:rPr>
          <w:color w:val="auto"/>
        </w:rPr>
        <w:t>（一）乙方不能交</w:t>
      </w:r>
      <w:r>
        <w:rPr>
          <w:rFonts w:hint="eastAsia"/>
          <w:color w:val="auto"/>
          <w:lang w:val="en-US" w:eastAsia="zh-CN"/>
        </w:rPr>
        <w:t>付</w:t>
      </w:r>
      <w:r>
        <w:rPr>
          <w:color w:val="auto"/>
        </w:rPr>
        <w:t>的，甲方不向乙方付款。乙方应向甲方偿付合同总价的百分之</w:t>
      </w:r>
    </w:p>
    <w:p>
      <w:pPr>
        <w:shd w:val="clear"/>
        <w:bidi w:val="0"/>
        <w:rPr>
          <w:color w:val="auto"/>
        </w:rPr>
      </w:pPr>
      <w:r>
        <w:rPr>
          <w:color w:val="auto"/>
        </w:rPr>
        <w:t xml:space="preserve"> </w:t>
      </w:r>
      <w:r>
        <w:rPr>
          <w:color w:val="auto"/>
        </w:rPr>
        <w:tab/>
      </w:r>
      <w:r>
        <w:rPr>
          <w:color w:val="auto"/>
        </w:rPr>
        <w:t>作为违约金；</w:t>
      </w:r>
    </w:p>
    <w:p>
      <w:pPr>
        <w:shd w:val="clear"/>
        <w:bidi w:val="0"/>
        <w:rPr>
          <w:color w:val="auto"/>
        </w:rPr>
      </w:pPr>
      <w:r>
        <w:rPr>
          <w:color w:val="auto"/>
        </w:rPr>
        <mc:AlternateContent>
          <mc:Choice Requires="wps">
            <w:drawing>
              <wp:anchor distT="0" distB="0" distL="114300" distR="114300" simplePos="0" relativeHeight="251659264" behindDoc="1" locked="0" layoutInCell="1" allowOverlap="1">
                <wp:simplePos x="0" y="0"/>
                <wp:positionH relativeFrom="page">
                  <wp:posOffset>5051425</wp:posOffset>
                </wp:positionH>
                <wp:positionV relativeFrom="paragraph">
                  <wp:posOffset>591185</wp:posOffset>
                </wp:positionV>
                <wp:extent cx="304800"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3048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97.75pt;margin-top:46.55pt;height:0pt;width:24pt;mso-position-horizontal-relative:page;z-index:-251657216;mso-width-relative:page;mso-height-relative:page;" filled="f" stroked="t" coordsize="21600,21600" o:gfxdata="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PSXT7XAAAACQEAAA8AAAAAAAAAAQAgAAAAIgAAAGRycy9kb3ducmV2LnhtbFBLAQIU&#10;ABQAAAAIAIdO4kDZEpkC9AEAAOUDAAAOAAAAAAAAAAEAIAAAACYBAABkcnMvZTJvRG9jLnhtbFBL&#10;BQYAAAAABgAGAFkBAACMBQAAAAA=&#10;">
                <v:fill on="f" focussize="0,0"/>
                <v:stroke weight="0.6pt" color="#000000" joinstyle="round"/>
                <v:imagedata o:title=""/>
                <o:lock v:ext="edit" aspectratio="f"/>
              </v:line>
            </w:pict>
          </mc:Fallback>
        </mc:AlternateContent>
      </w:r>
      <w:r>
        <w:rPr>
          <w:color w:val="auto"/>
        </w:rPr>
        <w:t>（二）乙方所交系统不符合合同规定的，由乙方负责修改或更换，并承担修改、维护或退货而支付的实际费用，并向甲方偿付合同总价的百分之</w:t>
      </w:r>
      <w:r>
        <w:rPr>
          <w:color w:val="auto"/>
        </w:rPr>
        <w:tab/>
      </w:r>
      <w:r>
        <w:rPr>
          <w:color w:val="auto"/>
        </w:rPr>
        <w:t>作为违约金；</w:t>
      </w:r>
    </w:p>
    <w:p>
      <w:pPr>
        <w:shd w:val="clear"/>
        <w:bidi w:val="0"/>
        <w:rPr>
          <w:color w:val="auto"/>
        </w:rPr>
      </w:pPr>
      <w:r>
        <w:rPr>
          <w:color w:val="auto"/>
        </w:rPr>
        <mc:AlternateContent>
          <mc:Choice Requires="wps">
            <w:drawing>
              <wp:anchor distT="0" distB="0" distL="114300" distR="114300" simplePos="0" relativeHeight="251663360" behindDoc="0" locked="0" layoutInCell="1" allowOverlap="1">
                <wp:simplePos x="0" y="0"/>
                <wp:positionH relativeFrom="page">
                  <wp:posOffset>5356225</wp:posOffset>
                </wp:positionH>
                <wp:positionV relativeFrom="paragraph">
                  <wp:posOffset>177800</wp:posOffset>
                </wp:positionV>
                <wp:extent cx="228600" cy="0"/>
                <wp:effectExtent l="0" t="4445" r="0" b="5080"/>
                <wp:wrapNone/>
                <wp:docPr id="15" name="直接连接符 15"/>
                <wp:cNvGraphicFramePr/>
                <a:graphic xmlns:a="http://schemas.openxmlformats.org/drawingml/2006/main">
                  <a:graphicData uri="http://schemas.microsoft.com/office/word/2010/wordprocessingShape">
                    <wps:wsp>
                      <wps:cNvCnPr/>
                      <wps:spPr>
                        <a:xfrm>
                          <a:off x="0" y="0"/>
                          <a:ext cx="2286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1.75pt;margin-top:14pt;height:0pt;width:18pt;mso-position-horizontal-relative:page;z-index:251663360;mso-width-relative:page;mso-height-relative:page;" filled="f" stroked="t" coordsize="21600,21600" o:gfxdata="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w4QZPVAAAACQEAAA8AAAAAAAAAAQAgAAAAIgAAAGRycy9kb3ducmV2LnhtbFBLAQIUABQA&#10;AAAIAIdO4kA/sRnN8wEAAOUDAAAOAAAAAAAAAAEAIAAAACQBAABkcnMvZTJvRG9jLnhtbFBLBQYA&#10;AAAABgAGAFkBAACJBQAAAAA=&#10;">
                <v:fill on="f" focussize="0,0"/>
                <v:stroke weight="0.6pt" color="#000000" joinstyle="round"/>
                <v:imagedata o:title=""/>
                <o:lock v:ext="edit" aspectratio="f"/>
              </v:line>
            </w:pict>
          </mc:Fallback>
        </mc:AlternateContent>
      </w:r>
      <w:r>
        <w:rPr>
          <w:color w:val="auto"/>
        </w:rPr>
        <w:t>（三）乙方逾期交货的，每日应向甲方偿付合同总额的百分之</w:t>
      </w:r>
      <w:r>
        <w:rPr>
          <w:color w:val="auto"/>
        </w:rPr>
        <w:tab/>
      </w:r>
      <w:r>
        <w:rPr>
          <w:color w:val="auto"/>
        </w:rPr>
        <w:t>作为违约金。</w:t>
      </w:r>
    </w:p>
    <w:p>
      <w:pPr>
        <w:shd w:val="clear"/>
        <w:bidi w:val="0"/>
        <w:rPr>
          <w:color w:val="auto"/>
        </w:rPr>
      </w:pPr>
    </w:p>
    <w:p>
      <w:pPr>
        <w:shd w:val="clear"/>
        <w:bidi w:val="0"/>
        <w:rPr>
          <w:color w:val="auto"/>
        </w:rPr>
      </w:pPr>
      <w:r>
        <w:rPr>
          <w:color w:val="auto"/>
        </w:rPr>
        <w:t>第十条</w:t>
      </w:r>
      <w:r>
        <w:rPr>
          <w:color w:val="auto"/>
        </w:rPr>
        <w:tab/>
      </w:r>
      <w:r>
        <w:rPr>
          <w:color w:val="auto"/>
        </w:rPr>
        <w:t>甲方的违约责任</w:t>
      </w:r>
    </w:p>
    <w:p>
      <w:pPr>
        <w:shd w:val="clear"/>
        <w:bidi w:val="0"/>
        <w:rPr>
          <w:color w:val="auto"/>
        </w:rPr>
      </w:pPr>
      <w:r>
        <w:rPr>
          <w:color w:val="auto"/>
        </w:rPr>
        <w:t xml:space="preserve">（一）甲方逾期付款的（由于项目进度滞后或验收质量不通过原因造成的延期付款违约责任由乙方负责），每日应向乙方偿付合同总额的百分之 </w:t>
      </w:r>
      <w:r>
        <w:rPr>
          <w:color w:val="auto"/>
        </w:rPr>
        <w:tab/>
      </w:r>
      <w:r>
        <w:rPr>
          <w:color w:val="auto"/>
        </w:rPr>
        <w:t>作为违约金；</w:t>
      </w:r>
    </w:p>
    <w:p>
      <w:pPr>
        <w:shd w:val="clear"/>
        <w:bidi w:val="0"/>
        <w:rPr>
          <w:color w:val="auto"/>
        </w:rPr>
      </w:pPr>
      <w:r>
        <w:rPr>
          <w:color w:val="auto"/>
        </w:rPr>
        <w:t>（二）甲方违反合同规定拒绝接受产品的，应当承担由此而对乙方造成的损失。</w:t>
      </w:r>
    </w:p>
    <w:p>
      <w:pPr>
        <w:shd w:val="clear"/>
        <w:bidi w:val="0"/>
        <w:rPr>
          <w:color w:val="auto"/>
        </w:rPr>
      </w:pPr>
    </w:p>
    <w:p>
      <w:pPr>
        <w:shd w:val="clear"/>
        <w:bidi w:val="0"/>
        <w:rPr>
          <w:color w:val="auto"/>
        </w:rPr>
      </w:pPr>
      <w:r>
        <w:rPr>
          <w:color w:val="auto"/>
        </w:rPr>
        <w:t>第十一条 不可抗力</w:t>
      </w:r>
    </w:p>
    <w:p>
      <w:pPr>
        <w:shd w:val="clear"/>
        <w:bidi w:val="0"/>
        <w:rPr>
          <w:color w:val="auto"/>
        </w:rPr>
      </w:pPr>
      <w:r>
        <w:rPr>
          <w:color w:val="auto"/>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shd w:val="clear"/>
        <w:bidi w:val="0"/>
        <w:rPr>
          <w:color w:val="auto"/>
        </w:rPr>
      </w:pPr>
      <w:r>
        <w:rPr>
          <w:color w:val="auto"/>
        </w:rPr>
        <w:t>第十二条 争议的解决</w:t>
      </w:r>
    </w:p>
    <w:p>
      <w:pPr>
        <w:shd w:val="clear"/>
        <w:bidi w:val="0"/>
        <w:rPr>
          <w:color w:val="auto"/>
        </w:rPr>
      </w:pPr>
      <w:r>
        <w:rPr>
          <w:color w:val="auto"/>
        </w:rPr>
        <w:t>（一）如因产品的质量问题发生争议，由法定的质量技术鉴定机构进行质量鉴定， 双方应当服从该鉴定的结论；</w:t>
      </w:r>
    </w:p>
    <w:p>
      <w:pPr>
        <w:shd w:val="clear"/>
        <w:bidi w:val="0"/>
        <w:rPr>
          <w:color w:val="auto"/>
        </w:rPr>
      </w:pPr>
      <w:r>
        <w:rPr>
          <w:color w:val="auto"/>
        </w:rPr>
        <w:t>（二）若执行本合同的过程中发生纠纷，双方当事人应当及时协商解决；协商不成时，可向合同签订地人民法院提起诉讼。</w:t>
      </w:r>
    </w:p>
    <w:p>
      <w:pPr>
        <w:shd w:val="clear"/>
        <w:bidi w:val="0"/>
        <w:rPr>
          <w:color w:val="auto"/>
        </w:rPr>
      </w:pPr>
      <w:r>
        <w:rPr>
          <w:color w:val="auto"/>
        </w:rPr>
        <w:t>第十三条</w:t>
      </w:r>
      <w:r>
        <w:rPr>
          <w:color w:val="auto"/>
        </w:rPr>
        <w:tab/>
      </w:r>
      <w:r>
        <w:rPr>
          <w:color w:val="auto"/>
        </w:rPr>
        <w:t>监督和管理</w:t>
      </w:r>
    </w:p>
    <w:p>
      <w:pPr>
        <w:shd w:val="clear"/>
        <w:bidi w:val="0"/>
        <w:rPr>
          <w:color w:val="auto"/>
        </w:rPr>
      </w:pPr>
      <w:r>
        <w:rPr>
          <w:color w:val="auto"/>
        </w:rPr>
        <w:t>（一）甲乙双方经协商一致需变更合同实质性条款或订立补充合同的，应先取得政府采购监督管理部门的同意，并将相关资料报送备案。</w:t>
      </w:r>
    </w:p>
    <w:p>
      <w:pPr>
        <w:shd w:val="clear"/>
        <w:bidi w:val="0"/>
        <w:rPr>
          <w:color w:val="auto"/>
        </w:rPr>
      </w:pPr>
      <w:r>
        <w:rPr>
          <w:color w:val="auto"/>
        </w:rPr>
        <w:t>（二）甲乙双方均应自觉配合政府采购监督管理部门对合同履行情况的监督检查， 如实反映情况，提供有关资料；否则，将对有关单位、当事人按照有关规定予以处罚。</w:t>
      </w:r>
    </w:p>
    <w:p>
      <w:pPr>
        <w:shd w:val="clear"/>
        <w:bidi w:val="0"/>
        <w:rPr>
          <w:color w:val="auto"/>
        </w:rPr>
      </w:pPr>
      <w:r>
        <w:rPr>
          <w:color w:val="auto"/>
        </w:rPr>
        <w:t>第十四条</w:t>
      </w:r>
      <w:r>
        <w:rPr>
          <w:color w:val="auto"/>
        </w:rPr>
        <w:tab/>
      </w:r>
      <w:r>
        <w:rPr>
          <w:color w:val="auto"/>
        </w:rPr>
        <w:t>无效合同</w:t>
      </w:r>
    </w:p>
    <w:p>
      <w:pPr>
        <w:shd w:val="clear"/>
        <w:bidi w:val="0"/>
        <w:rPr>
          <w:color w:val="auto"/>
        </w:rPr>
      </w:pPr>
      <w:r>
        <w:rPr>
          <w:color w:val="auto"/>
        </w:rPr>
        <w:t>甲乙双方如因违反法律和有关规定，合同被宣告无效的，有过错的一方应当承担赔偿责任，双方都有过错的，各自承担相应的责任。</w:t>
      </w:r>
    </w:p>
    <w:p>
      <w:pPr>
        <w:numPr>
          <w:ilvl w:val="0"/>
          <w:numId w:val="8"/>
        </w:numPr>
        <w:shd w:val="clear"/>
        <w:bidi w:val="0"/>
        <w:rPr>
          <w:color w:val="auto"/>
        </w:rPr>
      </w:pPr>
      <w:r>
        <w:rPr>
          <w:color w:val="auto"/>
        </w:rPr>
        <w:t>投诉</w:t>
      </w:r>
    </w:p>
    <w:p>
      <w:pPr>
        <w:shd w:val="clear"/>
        <w:bidi w:val="0"/>
        <w:ind w:left="0" w:leftChars="0" w:firstLine="420" w:firstLineChars="200"/>
        <w:rPr>
          <w:color w:val="auto"/>
        </w:rPr>
      </w:pPr>
      <w:r>
        <w:rPr>
          <w:color w:val="auto"/>
        </w:rPr>
        <w:t>甲方如对乙方所提供的产品质量及服务提出投诉，经核查如属有效投诉并超过三次，政府采购监督管理部门有权取消乙方的中标资格，并按有关规定接受处理。</w:t>
      </w:r>
    </w:p>
    <w:p>
      <w:pPr>
        <w:shd w:val="clear"/>
        <w:bidi w:val="0"/>
        <w:rPr>
          <w:color w:val="auto"/>
        </w:rPr>
      </w:pPr>
      <w:r>
        <w:rPr>
          <w:color w:val="auto"/>
        </w:rPr>
        <w:t>第十六条</w:t>
      </w:r>
      <w:r>
        <w:rPr>
          <w:color w:val="auto"/>
        </w:rPr>
        <w:tab/>
      </w:r>
      <w:r>
        <w:rPr>
          <w:color w:val="auto"/>
        </w:rPr>
        <w:t>附则</w:t>
      </w:r>
    </w:p>
    <w:p>
      <w:pPr>
        <w:shd w:val="clear"/>
        <w:bidi w:val="0"/>
        <w:rPr>
          <w:color w:val="auto"/>
        </w:rPr>
      </w:pPr>
      <w:r>
        <w:rPr>
          <w:color w:val="auto"/>
        </w:rPr>
        <w:t xml:space="preserve">（一）本合同一式 </w:t>
      </w:r>
      <w:r>
        <w:rPr>
          <w:color w:val="auto"/>
        </w:rPr>
        <w:tab/>
      </w:r>
      <w:r>
        <w:rPr>
          <w:color w:val="auto"/>
        </w:rPr>
        <w:t xml:space="preserve">份，甲方执 </w:t>
      </w:r>
      <w:r>
        <w:rPr>
          <w:color w:val="auto"/>
        </w:rPr>
        <w:tab/>
      </w:r>
      <w:r>
        <w:rPr>
          <w:color w:val="auto"/>
        </w:rPr>
        <w:t xml:space="preserve">份，乙方执 </w:t>
      </w:r>
      <w:r>
        <w:rPr>
          <w:color w:val="auto"/>
        </w:rPr>
        <w:tab/>
      </w:r>
      <w:r>
        <w:rPr>
          <w:color w:val="auto"/>
        </w:rPr>
        <w:t>份，二份送招标</w:t>
      </w:r>
      <w:r>
        <w:rPr>
          <w:rFonts w:hint="eastAsia"/>
          <w:color w:val="auto"/>
          <w:lang w:val="en-US" w:eastAsia="zh-CN"/>
        </w:rPr>
        <w:t>代理</w:t>
      </w:r>
      <w:r>
        <w:rPr>
          <w:color w:val="auto"/>
        </w:rPr>
        <w:t>公司归档，一份送江门市财政局备案。每份均具有同等法律效力。</w:t>
      </w:r>
    </w:p>
    <w:p>
      <w:pPr>
        <w:shd w:val="clear"/>
        <w:bidi w:val="0"/>
        <w:rPr>
          <w:color w:val="auto"/>
        </w:rPr>
      </w:pPr>
      <w:r>
        <w:rPr>
          <w:color w:val="auto"/>
        </w:rPr>
        <w:t>（二）本合同自甲乙双方签字盖章后生效。</w:t>
      </w:r>
    </w:p>
    <w:p>
      <w:pPr>
        <w:shd w:val="clear"/>
        <w:bidi w:val="0"/>
        <w:rPr>
          <w:color w:val="auto"/>
        </w:rPr>
      </w:pPr>
    </w:p>
    <w:p>
      <w:pPr>
        <w:shd w:val="clear"/>
        <w:bidi w:val="0"/>
        <w:rPr>
          <w:color w:val="auto"/>
        </w:rPr>
      </w:pPr>
    </w:p>
    <w:p>
      <w:pPr>
        <w:shd w:val="clear"/>
        <w:bidi w:val="0"/>
        <w:rPr>
          <w:color w:val="auto"/>
        </w:rPr>
      </w:pPr>
      <w:r>
        <w:rPr>
          <w:color w:val="auto"/>
        </w:rPr>
        <w:t>购货单位（甲方）：</w:t>
      </w:r>
      <w:r>
        <w:rPr>
          <w:rFonts w:hint="eastAsia"/>
          <w:color w:val="auto"/>
          <w:lang w:val="en-US" w:eastAsia="zh-CN"/>
        </w:rPr>
        <w:t xml:space="preserve">                        </w:t>
      </w:r>
      <w:r>
        <w:rPr>
          <w:color w:val="auto"/>
        </w:rPr>
        <w:tab/>
      </w:r>
      <w:r>
        <w:rPr>
          <w:color w:val="auto"/>
        </w:rPr>
        <w:t>供货单位（乙方）：</w:t>
      </w:r>
    </w:p>
    <w:p>
      <w:pPr>
        <w:shd w:val="clear"/>
        <w:bidi w:val="0"/>
        <w:rPr>
          <w:color w:val="auto"/>
        </w:rPr>
      </w:pPr>
      <w:r>
        <w:rPr>
          <w:color w:val="auto"/>
        </w:rPr>
        <w:t>法定代表人：</w:t>
      </w:r>
      <w:r>
        <w:rPr>
          <w:color w:val="auto"/>
        </w:rPr>
        <w:tab/>
      </w:r>
      <w:r>
        <w:rPr>
          <w:color w:val="auto"/>
        </w:rPr>
        <w:t>法定代表人：</w:t>
      </w:r>
      <w:r>
        <w:rPr>
          <w:rFonts w:hint="eastAsia"/>
          <w:color w:val="auto"/>
          <w:lang w:val="en-US" w:eastAsia="zh-CN"/>
        </w:rPr>
        <w:t xml:space="preserve">                  </w:t>
      </w:r>
      <w:r>
        <w:rPr>
          <w:color w:val="auto"/>
        </w:rPr>
        <w:t>委托代理人：</w:t>
      </w:r>
      <w:r>
        <w:rPr>
          <w:color w:val="auto"/>
        </w:rPr>
        <w:tab/>
      </w:r>
      <w:r>
        <w:rPr>
          <w:color w:val="auto"/>
        </w:rPr>
        <w:t>委托代理人：</w:t>
      </w:r>
    </w:p>
    <w:p>
      <w:pPr>
        <w:shd w:val="clear"/>
        <w:bidi w:val="0"/>
        <w:rPr>
          <w:color w:val="auto"/>
        </w:rPr>
      </w:pPr>
      <w:r>
        <w:rPr>
          <w:color w:val="auto"/>
        </w:rPr>
        <w:t>地址：</w:t>
      </w:r>
      <w:r>
        <w:rPr>
          <w:color w:val="auto"/>
        </w:rPr>
        <w:tab/>
      </w:r>
      <w:r>
        <w:rPr>
          <w:rFonts w:hint="eastAsia"/>
          <w:color w:val="auto"/>
          <w:lang w:val="en-US" w:eastAsia="zh-CN"/>
        </w:rPr>
        <w:t xml:space="preserve">                                    </w:t>
      </w:r>
      <w:r>
        <w:rPr>
          <w:color w:val="auto"/>
        </w:rPr>
        <w:t>地址：</w:t>
      </w:r>
    </w:p>
    <w:p>
      <w:pPr>
        <w:shd w:val="clear"/>
        <w:bidi w:val="0"/>
        <w:rPr>
          <w:color w:val="auto"/>
        </w:rPr>
      </w:pPr>
      <w:r>
        <w:rPr>
          <w:color w:val="auto"/>
        </w:rPr>
        <w:t>开户银行：</w:t>
      </w:r>
      <w:r>
        <w:rPr>
          <w:rFonts w:hint="eastAsia"/>
          <w:color w:val="auto"/>
          <w:lang w:val="en-US" w:eastAsia="zh-CN"/>
        </w:rPr>
        <w:t xml:space="preserve">                                </w:t>
      </w:r>
      <w:r>
        <w:rPr>
          <w:color w:val="auto"/>
        </w:rPr>
        <w:tab/>
      </w:r>
      <w:r>
        <w:rPr>
          <w:color w:val="auto"/>
        </w:rPr>
        <w:t>开户银行：</w:t>
      </w:r>
    </w:p>
    <w:p>
      <w:pPr>
        <w:shd w:val="clear"/>
        <w:bidi w:val="0"/>
        <w:rPr>
          <w:color w:val="auto"/>
        </w:rPr>
      </w:pPr>
      <w:r>
        <w:rPr>
          <w:color w:val="auto"/>
        </w:rPr>
        <w:t>账号：</w:t>
      </w:r>
      <w:r>
        <w:rPr>
          <w:rFonts w:hint="eastAsia"/>
          <w:color w:val="auto"/>
          <w:lang w:val="en-US" w:eastAsia="zh-CN"/>
        </w:rPr>
        <w:t xml:space="preserve">                                    </w:t>
      </w:r>
      <w:r>
        <w:rPr>
          <w:color w:val="auto"/>
        </w:rPr>
        <w:tab/>
      </w:r>
      <w:r>
        <w:rPr>
          <w:color w:val="auto"/>
        </w:rPr>
        <w:t>账号：</w:t>
      </w:r>
    </w:p>
    <w:p>
      <w:pPr>
        <w:shd w:val="clear"/>
        <w:bidi w:val="0"/>
        <w:rPr>
          <w:color w:val="auto"/>
        </w:rPr>
      </w:pPr>
      <w:r>
        <w:rPr>
          <w:color w:val="auto"/>
        </w:rPr>
        <w:t>电话：</w:t>
      </w:r>
      <w:r>
        <w:rPr>
          <w:color w:val="auto"/>
        </w:rPr>
        <w:tab/>
      </w:r>
      <w:r>
        <w:rPr>
          <w:rFonts w:hint="eastAsia"/>
          <w:color w:val="auto"/>
          <w:lang w:val="en-US" w:eastAsia="zh-CN"/>
        </w:rPr>
        <w:t xml:space="preserve">                                    </w:t>
      </w:r>
      <w:r>
        <w:rPr>
          <w:color w:val="auto"/>
        </w:rPr>
        <w:t>电话：</w:t>
      </w:r>
    </w:p>
    <w:p>
      <w:pPr>
        <w:shd w:val="clear"/>
        <w:bidi w:val="0"/>
        <w:rPr>
          <w:color w:val="auto"/>
        </w:rPr>
      </w:pPr>
    </w:p>
    <w:p>
      <w:pPr>
        <w:shd w:val="clear"/>
        <w:bidi w:val="0"/>
        <w:rPr>
          <w:color w:val="auto"/>
        </w:rPr>
      </w:pPr>
      <w:r>
        <w:rPr>
          <w:color w:val="auto"/>
        </w:rPr>
        <w:t>签约时间：</w:t>
      </w:r>
      <w:r>
        <w:rPr>
          <w:color w:val="auto"/>
        </w:rPr>
        <w:tab/>
      </w:r>
      <w:r>
        <w:rPr>
          <w:color w:val="auto"/>
        </w:rPr>
        <w:t>年</w:t>
      </w:r>
      <w:r>
        <w:rPr>
          <w:color w:val="auto"/>
        </w:rPr>
        <w:tab/>
      </w:r>
      <w:r>
        <w:rPr>
          <w:color w:val="auto"/>
        </w:rPr>
        <w:t>月</w:t>
      </w:r>
      <w:r>
        <w:rPr>
          <w:color w:val="auto"/>
        </w:rPr>
        <w:tab/>
      </w:r>
      <w:r>
        <w:rPr>
          <w:color w:val="auto"/>
        </w:rPr>
        <w:t>日签约地点：</w:t>
      </w:r>
    </w:p>
    <w:p>
      <w:pPr>
        <w:shd w:val="clear"/>
        <w:bidi w:val="0"/>
        <w:rPr>
          <w:color w:val="auto"/>
        </w:rPr>
      </w:pPr>
    </w:p>
    <w:p>
      <w:pPr>
        <w:shd w:val="clear"/>
        <w:bidi w:val="0"/>
        <w:rPr>
          <w:color w:val="auto"/>
        </w:rPr>
      </w:pPr>
      <w:r>
        <w:rPr>
          <w:color w:val="auto"/>
        </w:rPr>
        <w:t>注：本合同样本仅供形式上的参考，具体条款内容由采购人和中标供应商协商确定。</w:t>
      </w:r>
    </w:p>
    <w:p>
      <w:pPr>
        <w:shd w:val="clear"/>
        <w:bidi w:val="0"/>
        <w:ind w:left="0" w:leftChars="0" w:firstLine="0" w:firstLineChars="0"/>
        <w:rPr>
          <w:rFonts w:hint="default"/>
          <w:color w:val="auto"/>
          <w:lang w:val="en-US" w:eastAsia="zh-CN"/>
        </w:rPr>
      </w:pP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360"/>
        <w:jc w:val="left"/>
        <w:rPr>
          <w:rFonts w:hint="default" w:ascii="宋体" w:hAnsi="宋体" w:eastAsia="宋体" w:cs="宋体"/>
          <w:i w:val="0"/>
          <w:iCs w:val="0"/>
          <w:caps w:val="0"/>
          <w:color w:val="auto"/>
          <w:spacing w:val="0"/>
          <w:sz w:val="18"/>
          <w:szCs w:val="18"/>
          <w:shd w:val="clear" w:fill="FFFFFF"/>
          <w:lang w:val="en-US" w:eastAsia="zh-CN"/>
        </w:rPr>
      </w:pPr>
    </w:p>
    <w:p>
      <w:pPr>
        <w:shd w:val="clear"/>
        <w:rPr>
          <w:color w:val="auto"/>
        </w:rPr>
      </w:pPr>
    </w:p>
    <w:bookmarkEnd w:id="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ind w:firstLine="90" w:firstLineChars="50"/>
      <w:jc w:val="center"/>
      <w:rPr>
        <w:rFonts w:ascii="宋体" w:hAnsi="宋体"/>
      </w:rPr>
    </w:pPr>
    <w:sdt>
      <w:sdtPr>
        <w:id w:val="1524909560"/>
      </w:sdtPr>
      <w:sdtEndPr>
        <w:rPr>
          <w:rFonts w:ascii="宋体" w:hAnsi="宋体" w:eastAsia="宋体"/>
          <w:sz w:val="21"/>
          <w:szCs w:val="21"/>
        </w:rPr>
      </w:sdtEndPr>
      <w:sdtContent>
        <w:r>
          <w:rPr>
            <w:rFonts w:ascii="宋体" w:hAnsi="宋体" w:eastAsia="宋体"/>
            <w:szCs w:val="21"/>
          </w:rPr>
          <w:fldChar w:fldCharType="begin"/>
        </w:r>
        <w:r>
          <w:rPr>
            <w:rFonts w:ascii="宋体" w:hAnsi="宋体" w:eastAsia="宋体"/>
            <w:szCs w:val="21"/>
          </w:rPr>
          <w:instrText xml:space="preserve">PAGE   \* MERGEFORMAT</w:instrText>
        </w:r>
        <w:r>
          <w:rPr>
            <w:rFonts w:ascii="宋体" w:hAnsi="宋体" w:eastAsia="宋体"/>
            <w:szCs w:val="21"/>
          </w:rPr>
          <w:fldChar w:fldCharType="separate"/>
        </w:r>
        <w:r>
          <w:rPr>
            <w:rFonts w:ascii="宋体" w:hAnsi="宋体" w:eastAsia="宋体"/>
            <w:szCs w:val="21"/>
            <w:lang w:val="zh-CN"/>
          </w:rPr>
          <w:t>20</w:t>
        </w:r>
        <w:r>
          <w:rPr>
            <w:rFonts w:ascii="宋体" w:hAnsi="宋体" w:eastAsia="宋体"/>
            <w:szCs w:val="21"/>
          </w:rPr>
          <w:fldChar w:fldCharType="end"/>
        </w:r>
        <w:r>
          <w:rPr>
            <w:rFonts w:ascii="宋体" w:hAnsi="宋体" w:eastAsia="宋体"/>
            <w:szCs w:val="21"/>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leftChars="0" w:firstLine="0" w:firstLineChars="0"/>
      <w:rPr>
        <w:sz w:val="20"/>
      </w:rPr>
    </w:pPr>
    <w:r>
      <mc:AlternateContent>
        <mc:Choice Requires="wps">
          <w:drawing>
            <wp:anchor distT="0" distB="0" distL="114300" distR="114300" simplePos="0" relativeHeight="251662336" behindDoc="1" locked="0" layoutInCell="1" allowOverlap="1">
              <wp:simplePos x="0" y="0"/>
              <wp:positionH relativeFrom="page">
                <wp:posOffset>5327650</wp:posOffset>
              </wp:positionH>
              <wp:positionV relativeFrom="page">
                <wp:posOffset>10069195</wp:posOffset>
              </wp:positionV>
              <wp:extent cx="998220" cy="1397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98220" cy="139700"/>
                      </a:xfrm>
                      <a:prstGeom prst="rect">
                        <a:avLst/>
                      </a:prstGeom>
                      <a:noFill/>
                      <a:ln>
                        <a:noFill/>
                      </a:ln>
                    </wps:spPr>
                    <wps:txbx>
                      <w:txbxContent>
                        <w:p>
                          <w:pPr>
                            <w:spacing w:before="0" w:line="220" w:lineRule="exact"/>
                            <w:ind w:left="20" w:right="0" w:firstLine="0"/>
                            <w:jc w:val="left"/>
                            <w:rPr>
                              <w:sz w:val="18"/>
                            </w:rPr>
                          </w:pPr>
                          <w:r>
                            <w:rPr>
                              <w:sz w:val="18"/>
                            </w:rPr>
                            <w:t xml:space="preserve">第 </w:t>
                          </w:r>
                          <w:r>
                            <w:fldChar w:fldCharType="begin"/>
                          </w:r>
                          <w:r>
                            <w:rPr>
                              <w:sz w:val="18"/>
                            </w:rPr>
                            <w:instrText xml:space="preserve"> PAGE </w:instrText>
                          </w:r>
                          <w:r>
                            <w:fldChar w:fldCharType="separate"/>
                          </w:r>
                          <w:r>
                            <w:t>44</w:t>
                          </w:r>
                          <w:r>
                            <w:fldChar w:fldCharType="end"/>
                          </w:r>
                          <w:r>
                            <w:rPr>
                              <w:sz w:val="18"/>
                            </w:rPr>
                            <w:t xml:space="preserve"> 页 共 71 页</w:t>
                          </w:r>
                        </w:p>
                      </w:txbxContent>
                    </wps:txbx>
                    <wps:bodyPr lIns="0" tIns="0" rIns="0" bIns="0" upright="1"/>
                  </wps:wsp>
                </a:graphicData>
              </a:graphic>
            </wp:anchor>
          </w:drawing>
        </mc:Choice>
        <mc:Fallback>
          <w:pict>
            <v:shape id="_x0000_s1026" o:spid="_x0000_s1026" o:spt="202" type="#_x0000_t202" style="position:absolute;left:0pt;margin-left:419.5pt;margin-top:792.85pt;height:11pt;width:78.6pt;mso-position-horizontal-relative:page;mso-position-vertical-relative:page;z-index:-251654144;mso-width-relative:page;mso-height-relative:page;" filled="f" stroked="f" coordsize="21600,21600" o:gfxdata="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CBpkHbAAAADQEAAA8AAAAAAAAAAQAgAAAAIgAAAGRycy9kb3ducmV2LnhtbFBL&#10;AQIUABQAAAAIAIdO4kADSHFAugEAAHMDAAAOAAAAAAAAAAEAIAAAACoBAABkcnMvZTJvRG9jLnht&#10;bFBLBQYAAAAABgAGAFkBAABWBQAAAAA=&#10;">
              <v:fill on="f" focussize="0,0"/>
              <v:stroke on="f"/>
              <v:imagedata o:title=""/>
              <o:lock v:ext="edit" aspectratio="f"/>
              <v:textbox inset="0mm,0mm,0mm,0mm">
                <w:txbxContent>
                  <w:p>
                    <w:pPr>
                      <w:spacing w:before="0" w:line="220" w:lineRule="exact"/>
                      <w:ind w:left="20" w:right="0" w:firstLine="0"/>
                      <w:jc w:val="left"/>
                      <w:rPr>
                        <w:sz w:val="18"/>
                      </w:rPr>
                    </w:pPr>
                    <w:r>
                      <w:rPr>
                        <w:sz w:val="18"/>
                      </w:rPr>
                      <w:t xml:space="preserve">第 </w:t>
                    </w:r>
                    <w:r>
                      <w:fldChar w:fldCharType="begin"/>
                    </w:r>
                    <w:r>
                      <w:rPr>
                        <w:sz w:val="18"/>
                      </w:rPr>
                      <w:instrText xml:space="preserve"> PAGE </w:instrText>
                    </w:r>
                    <w:r>
                      <w:fldChar w:fldCharType="separate"/>
                    </w:r>
                    <w:r>
                      <w:t>44</w:t>
                    </w:r>
                    <w:r>
                      <w:fldChar w:fldCharType="end"/>
                    </w:r>
                    <w:r>
                      <w:rPr>
                        <w:sz w:val="18"/>
                      </w:rPr>
                      <w:t xml:space="preserve"> 页 共 71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917575</wp:posOffset>
              </wp:positionH>
              <wp:positionV relativeFrom="page">
                <wp:posOffset>692785</wp:posOffset>
              </wp:positionV>
              <wp:extent cx="5797550"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579755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2.25pt;margin-top:54.55pt;height:0pt;width:456.5pt;mso-position-horizontal-relative:page;mso-position-vertical-relative:page;z-index:-251657216;mso-width-relative:page;mso-height-relative:page;" filled="f" stroked="t" coordsize="21600,21600" o:gfxdata="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uRItNcAAAAMAQAADwAAAAAAAAABACAAAAAiAAAAZHJzL2Rvd25yZXYueG1sUEsB&#10;AhQAFAAAAAgAh07iQMqaWcX2AQAA5gMAAA4AAAAAAAAAAQAgAAAAJgEAAGRycy9lMm9Eb2MueG1s&#10;UEsFBgAAAAAGAAYAWQEAAI4FA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923290</wp:posOffset>
              </wp:positionH>
              <wp:positionV relativeFrom="page">
                <wp:posOffset>544195</wp:posOffset>
              </wp:positionV>
              <wp:extent cx="4829810" cy="1397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4829810" cy="139700"/>
                      </a:xfrm>
                      <a:prstGeom prst="rect">
                        <a:avLst/>
                      </a:prstGeom>
                      <a:noFill/>
                      <a:ln>
                        <a:noFill/>
                      </a:ln>
                    </wps:spPr>
                    <wps:txbx>
                      <w:txbxContent>
                        <w:p>
                          <w:pPr>
                            <w:spacing w:before="0" w:line="220" w:lineRule="exact"/>
                            <w:ind w:left="20" w:right="0" w:firstLine="0"/>
                            <w:jc w:val="left"/>
                            <w:rPr>
                              <w:sz w:val="18"/>
                            </w:rPr>
                          </w:pPr>
                          <w:r>
                            <w:rPr>
                              <w:rFonts w:hint="eastAsia"/>
                              <w:sz w:val="18"/>
                              <w:lang w:eastAsia="zh-CN"/>
                            </w:rPr>
                            <w:t>医保局国家医保信息平台政策调整改造( 2023年)项目</w:t>
                          </w:r>
                        </w:p>
                      </w:txbxContent>
                    </wps:txbx>
                    <wps:bodyPr lIns="0" tIns="0" rIns="0" bIns="0" upright="1"/>
                  </wps:wsp>
                </a:graphicData>
              </a:graphic>
            </wp:anchor>
          </w:drawing>
        </mc:Choice>
        <mc:Fallback>
          <w:pict>
            <v:shape id="_x0000_s1026" o:spid="_x0000_s1026" o:spt="202" type="#_x0000_t202" style="position:absolute;left:0pt;margin-left:72.7pt;margin-top:42.85pt;height:11pt;width:380.3pt;mso-position-horizontal-relative:page;mso-position-vertical-relative:page;z-index:-251656192;mso-width-relative:page;mso-height-relative:page;" filled="f" stroked="f" coordsize="21600,21600" o:gfxdata="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mFZOB2AAAAAoBAAAPAAAAAAAAAAEAIAAAACIAAABkcnMvZG93bnJldi54bWxQSwEC&#10;FAAUAAAACACHTuJA+FJ/t7sBAAByAwAADgAAAAAAAAABACAAAAAnAQAAZHJzL2Uyb0RvYy54bWxQ&#10;SwUGAAAAAAYABgBZAQAAVAUAAAAA&#10;">
              <v:fill on="f" focussize="0,0"/>
              <v:stroke on="f"/>
              <v:imagedata o:title=""/>
              <o:lock v:ext="edit" aspectratio="f"/>
              <v:textbox inset="0mm,0mm,0mm,0mm">
                <w:txbxContent>
                  <w:p>
                    <w:pPr>
                      <w:spacing w:before="0" w:line="220" w:lineRule="exact"/>
                      <w:ind w:left="20" w:right="0" w:firstLine="0"/>
                      <w:jc w:val="left"/>
                      <w:rPr>
                        <w:sz w:val="18"/>
                      </w:rPr>
                    </w:pPr>
                    <w:r>
                      <w:rPr>
                        <w:rFonts w:hint="eastAsia"/>
                        <w:sz w:val="18"/>
                        <w:lang w:eastAsia="zh-CN"/>
                      </w:rPr>
                      <w:t>医保局国家医保信息平台政策调整改造( 2023年)项目</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6070600</wp:posOffset>
              </wp:positionH>
              <wp:positionV relativeFrom="page">
                <wp:posOffset>544195</wp:posOffset>
              </wp:positionV>
              <wp:extent cx="482600" cy="1397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478pt;margin-top:42.85pt;height:11pt;width:38pt;mso-position-horizontal-relative:page;mso-position-vertical-relative:page;z-index:-251655168;mso-width-relative:page;mso-height-relative:page;" filled="f" stroked="f" coordsize="21600,21600" o:gfxdata="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HsAcNoAAAALAQAADwAAAAAAAAABACAAAAAiAAAAZHJzL2Rvd25yZXYueG1sUEsB&#10;AhQAFAAAAAgAh07iQHP8A566AQAAcwMAAA4AAAAAAAAAAQAgAAAAKQEAAGRycy9lMm9Eb2MueG1s&#10;UEsFBgAAAAAGAAYAWQEAAFUFAAAAAA==&#10;">
              <v:fill on="f" focussize="0,0"/>
              <v:stroke on="f"/>
              <v:imagedata o:title=""/>
              <o:lock v:ext="edit" aspectratio="f"/>
              <v:textbox inset="0mm,0mm,0mm,0mm">
                <w:txbxContent>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B9095"/>
    <w:multiLevelType w:val="singleLevel"/>
    <w:tmpl w:val="985B9095"/>
    <w:lvl w:ilvl="0" w:tentative="0">
      <w:start w:val="1"/>
      <w:numFmt w:val="decimal"/>
      <w:lvlText w:val="%1."/>
      <w:lvlJc w:val="left"/>
      <w:pPr>
        <w:ind w:left="425" w:hanging="425"/>
      </w:pPr>
      <w:rPr>
        <w:rFonts w:hint="default"/>
      </w:rPr>
    </w:lvl>
  </w:abstractNum>
  <w:abstractNum w:abstractNumId="1">
    <w:nsid w:val="B94E09A0"/>
    <w:multiLevelType w:val="singleLevel"/>
    <w:tmpl w:val="B94E09A0"/>
    <w:lvl w:ilvl="0" w:tentative="0">
      <w:start w:val="1"/>
      <w:numFmt w:val="decimal"/>
      <w:lvlText w:val="%1."/>
      <w:lvlJc w:val="left"/>
      <w:pPr>
        <w:ind w:left="425" w:hanging="425"/>
      </w:pPr>
      <w:rPr>
        <w:rFonts w:hint="default"/>
      </w:rPr>
    </w:lvl>
  </w:abstractNum>
  <w:abstractNum w:abstractNumId="2">
    <w:nsid w:val="C98BE62C"/>
    <w:multiLevelType w:val="singleLevel"/>
    <w:tmpl w:val="C98BE62C"/>
    <w:lvl w:ilvl="0" w:tentative="0">
      <w:start w:val="1"/>
      <w:numFmt w:val="decimal"/>
      <w:lvlText w:val="%1."/>
      <w:lvlJc w:val="left"/>
      <w:pPr>
        <w:ind w:left="425" w:hanging="425"/>
      </w:pPr>
      <w:rPr>
        <w:rFonts w:hint="default"/>
      </w:rPr>
    </w:lvl>
  </w:abstractNum>
  <w:abstractNum w:abstractNumId="3">
    <w:nsid w:val="F6CF3545"/>
    <w:multiLevelType w:val="singleLevel"/>
    <w:tmpl w:val="F6CF3545"/>
    <w:lvl w:ilvl="0" w:tentative="0">
      <w:start w:val="1"/>
      <w:numFmt w:val="decimal"/>
      <w:suff w:val="nothing"/>
      <w:lvlText w:val="%1．"/>
      <w:lvlJc w:val="left"/>
      <w:pPr>
        <w:ind w:left="0" w:firstLine="400"/>
      </w:pPr>
      <w:rPr>
        <w:rFonts w:hint="default"/>
      </w:rPr>
    </w:lvl>
  </w:abstractNum>
  <w:abstractNum w:abstractNumId="4">
    <w:nsid w:val="00C3A6BF"/>
    <w:multiLevelType w:val="singleLevel"/>
    <w:tmpl w:val="00C3A6BF"/>
    <w:lvl w:ilvl="0" w:tentative="0">
      <w:start w:val="1"/>
      <w:numFmt w:val="decimal"/>
      <w:suff w:val="nothing"/>
      <w:lvlText w:val="%1、"/>
      <w:lvlJc w:val="left"/>
    </w:lvl>
  </w:abstractNum>
  <w:abstractNum w:abstractNumId="5">
    <w:nsid w:val="533CB90C"/>
    <w:multiLevelType w:val="singleLevel"/>
    <w:tmpl w:val="533CB90C"/>
    <w:lvl w:ilvl="0" w:tentative="0">
      <w:start w:val="1"/>
      <w:numFmt w:val="decimal"/>
      <w:suff w:val="nothing"/>
      <w:lvlText w:val="%1、"/>
      <w:lvlJc w:val="left"/>
    </w:lvl>
  </w:abstractNum>
  <w:abstractNum w:abstractNumId="6">
    <w:nsid w:val="66B67821"/>
    <w:multiLevelType w:val="singleLevel"/>
    <w:tmpl w:val="66B67821"/>
    <w:lvl w:ilvl="0" w:tentative="0">
      <w:start w:val="15"/>
      <w:numFmt w:val="chineseCounting"/>
      <w:lvlText w:val="第%1条"/>
      <w:lvlJc w:val="left"/>
      <w:rPr>
        <w:rFonts w:hint="eastAsia"/>
      </w:rPr>
    </w:lvl>
  </w:abstractNum>
  <w:abstractNum w:abstractNumId="7">
    <w:nsid w:val="77DCDC02"/>
    <w:multiLevelType w:val="multilevel"/>
    <w:tmpl w:val="77DCDC02"/>
    <w:lvl w:ilvl="0" w:tentative="0">
      <w:start w:val="1"/>
      <w:numFmt w:val="chineseCountingThousand"/>
      <w:pStyle w:val="3"/>
      <w:lvlText w:val="第%1章"/>
      <w:lvlJc w:val="left"/>
      <w:pPr>
        <w:ind w:left="432" w:hanging="432"/>
      </w:pPr>
      <w:rPr>
        <w:rFonts w:hint="eastAsia"/>
      </w:rPr>
    </w:lvl>
    <w:lvl w:ilvl="1" w:tentative="0">
      <w:start w:val="1"/>
      <w:numFmt w:val="decimal"/>
      <w:pStyle w:val="4"/>
      <w:isLgl/>
      <w:lvlText w:val="%1.%2"/>
      <w:lvlJc w:val="left"/>
      <w:pPr>
        <w:ind w:left="576" w:hanging="576"/>
      </w:pPr>
      <w:rPr>
        <w:rFonts w:hint="eastAsia"/>
      </w:rPr>
    </w:lvl>
    <w:lvl w:ilvl="2" w:tentative="0">
      <w:start w:val="1"/>
      <w:numFmt w:val="decimal"/>
      <w:pStyle w:val="6"/>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2" w:hanging="1152"/>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4" w:hanging="1584"/>
      </w:pPr>
      <w:rPr>
        <w:rFonts w:hint="eastAsia"/>
      </w:rPr>
    </w:lvl>
  </w:abstractNum>
  <w:num w:numId="1">
    <w:abstractNumId w:val="7"/>
  </w:num>
  <w:num w:numId="2">
    <w:abstractNumId w:val="5"/>
  </w:num>
  <w:num w:numId="3">
    <w:abstractNumId w:val="4"/>
  </w:num>
  <w:num w:numId="4">
    <w:abstractNumId w:val="3"/>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NjUwYTEzMzJlMmFiYzcwNzg2M2YxMjk5Njg4NWUifQ=="/>
  </w:docVars>
  <w:rsids>
    <w:rsidRoot w:val="00000000"/>
    <w:rsid w:val="00D566FD"/>
    <w:rsid w:val="1EB15DF3"/>
    <w:rsid w:val="23BE6BFA"/>
    <w:rsid w:val="24EB5DEA"/>
    <w:rsid w:val="25D83FF7"/>
    <w:rsid w:val="26821CCF"/>
    <w:rsid w:val="337E09D0"/>
    <w:rsid w:val="402F4B67"/>
    <w:rsid w:val="47756072"/>
    <w:rsid w:val="55C27C51"/>
    <w:rsid w:val="56D40CAD"/>
    <w:rsid w:val="6A3B675E"/>
    <w:rsid w:val="7D76E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4">
    <w:name w:val="heading 2"/>
    <w:basedOn w:val="1"/>
    <w:next w:val="5"/>
    <w:autoRedefine/>
    <w:semiHidden/>
    <w:unhideWhenUsed/>
    <w:qFormat/>
    <w:uiPriority w:val="0"/>
    <w:pPr>
      <w:keepNext/>
      <w:keepLines/>
      <w:numPr>
        <w:ilvl w:val="1"/>
        <w:numId w:val="1"/>
      </w:numPr>
      <w:spacing w:before="260" w:beforeLines="0" w:beforeAutospacing="0" w:after="260" w:afterLines="0" w:afterAutospacing="0" w:line="413" w:lineRule="auto"/>
      <w:ind w:left="576" w:hanging="576"/>
      <w:outlineLvl w:val="1"/>
    </w:pPr>
    <w:rPr>
      <w:rFonts w:ascii="Arial" w:hAnsi="Arial" w:eastAsia="黑体"/>
      <w:b/>
      <w:sz w:val="32"/>
    </w:rPr>
  </w:style>
  <w:style w:type="paragraph" w:styleId="6">
    <w:name w:val="heading 3"/>
    <w:basedOn w:val="1"/>
    <w:next w:val="1"/>
    <w:link w:val="23"/>
    <w:autoRedefine/>
    <w:semiHidden/>
    <w:unhideWhenUsed/>
    <w:qFormat/>
    <w:uiPriority w:val="0"/>
    <w:pPr>
      <w:keepNext/>
      <w:keepLines/>
      <w:numPr>
        <w:ilvl w:val="2"/>
        <w:numId w:val="1"/>
      </w:numPr>
      <w:adjustRightInd w:val="0"/>
      <w:snapToGrid w:val="0"/>
      <w:spacing w:before="50" w:beforeLines="50" w:after="50" w:afterLines="50"/>
      <w:ind w:left="0" w:firstLine="0"/>
      <w:outlineLvl w:val="2"/>
    </w:pPr>
    <w:rPr>
      <w:rFonts w:ascii="Times New Roman" w:hAnsi="Times New Roman" w:eastAsia="黑体" w:cs="宋体"/>
      <w:bCs/>
      <w:color w:val="000000"/>
      <w:sz w:val="30"/>
      <w:szCs w:val="30"/>
      <w:lang w:val="en-GB"/>
    </w:rPr>
  </w:style>
  <w:style w:type="paragraph" w:styleId="7">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5">
    <w:name w:val="Normal Indent"/>
    <w:basedOn w:val="1"/>
    <w:autoRedefine/>
    <w:qFormat/>
    <w:uiPriority w:val="0"/>
    <w:pPr>
      <w:ind w:left="720"/>
    </w:pPr>
  </w:style>
  <w:style w:type="paragraph" w:styleId="12">
    <w:name w:val="annotation text"/>
    <w:basedOn w:val="1"/>
    <w:qFormat/>
    <w:uiPriority w:val="0"/>
    <w:pPr>
      <w:jc w:val="left"/>
    </w:pPr>
  </w:style>
  <w:style w:type="paragraph" w:styleId="13">
    <w:name w:val="Body Text Indent"/>
    <w:basedOn w:val="1"/>
    <w:autoRedefine/>
    <w:qFormat/>
    <w:uiPriority w:val="0"/>
    <w:pPr>
      <w:spacing w:after="120" w:afterLines="0"/>
      <w:ind w:left="420" w:leftChars="2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toc 2"/>
    <w:basedOn w:val="1"/>
    <w:next w:val="1"/>
    <w:autoRedefine/>
    <w:qFormat/>
    <w:uiPriority w:val="0"/>
    <w:pPr>
      <w:ind w:left="0" w:leftChars="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2"/>
    <w:next w:val="18"/>
    <w:qFormat/>
    <w:uiPriority w:val="0"/>
    <w:pPr>
      <w:widowControl w:val="0"/>
      <w:spacing w:beforeLines="0" w:beforeAutospacing="0" w:afterLines="0" w:afterAutospacing="0"/>
      <w:ind w:firstLine="420" w:firstLineChars="100"/>
      <w:jc w:val="both"/>
    </w:pPr>
  </w:style>
  <w:style w:type="paragraph" w:customStyle="1" w:styleId="18">
    <w:name w:val="样式 正文首行缩进 + 宋体 小四 首行缩进:  1 字符"/>
    <w:basedOn w:val="1"/>
    <w:next w:val="1"/>
    <w:qFormat/>
    <w:uiPriority w:val="0"/>
    <w:pPr>
      <w:spacing w:after="120" w:afterLines="0" w:line="360" w:lineRule="auto"/>
      <w:ind w:firstLine="150" w:firstLineChars="150"/>
    </w:pPr>
    <w:rPr>
      <w:rFonts w:ascii="宋体" w:hAnsi="宋体"/>
      <w:sz w:val="24"/>
      <w:szCs w:val="20"/>
    </w:rPr>
  </w:style>
  <w:style w:type="paragraph" w:styleId="19">
    <w:name w:val="Body Text First Indent 2"/>
    <w:basedOn w:val="13"/>
    <w:qFormat/>
    <w:uiPriority w:val="0"/>
    <w:pPr>
      <w:ind w:firstLine="420" w:firstLineChars="200"/>
    </w:pPr>
  </w:style>
  <w:style w:type="character" w:styleId="22">
    <w:name w:val="Strong"/>
    <w:basedOn w:val="21"/>
    <w:qFormat/>
    <w:uiPriority w:val="0"/>
    <w:rPr>
      <w:b/>
    </w:rPr>
  </w:style>
  <w:style w:type="character" w:customStyle="1" w:styleId="23">
    <w:name w:val="标题 3 字符"/>
    <w:link w:val="6"/>
    <w:qFormat/>
    <w:uiPriority w:val="9"/>
    <w:rPr>
      <w:rFonts w:ascii="Times New Roman" w:hAnsi="Times New Roman" w:eastAsia="黑体" w:cs="宋体"/>
      <w:bCs/>
      <w:color w:val="000000"/>
      <w:kern w:val="2"/>
      <w:sz w:val="30"/>
      <w:szCs w:val="30"/>
      <w:lang w:val="en-GB"/>
    </w:rPr>
  </w:style>
  <w:style w:type="paragraph" w:customStyle="1" w:styleId="24">
    <w:name w:val="样式 正文首行缩进 2 + 首行缩进:  2 字符"/>
    <w:basedOn w:val="19"/>
    <w:autoRedefine/>
    <w:qFormat/>
    <w:uiPriority w:val="0"/>
    <w:pPr>
      <w:snapToGrid/>
      <w:spacing w:line="240" w:lineRule="auto"/>
      <w:ind w:left="0" w:leftChars="200" w:firstLine="357" w:firstLineChars="170"/>
    </w:pPr>
    <w:rPr>
      <w:rFonts w:ascii="Times New Roman" w:hAnsi="Times New Roman"/>
      <w:sz w:val="21"/>
      <w:szCs w:val="20"/>
    </w:rPr>
  </w:style>
  <w:style w:type="paragraph" w:customStyle="1" w:styleId="25">
    <w:name w:val="正文 首行缩进"/>
    <w:basedOn w:val="1"/>
    <w:qFormat/>
    <w:uiPriority w:val="0"/>
    <w:pPr>
      <w:adjustRightInd w:val="0"/>
      <w:spacing w:after="0" w:line="360" w:lineRule="auto"/>
      <w:ind w:firstLine="437"/>
      <w:jc w:val="left"/>
    </w:pPr>
    <w:rPr>
      <w:rFonts w:hint="eastAsia" w:ascii="宋体" w:hAnsi="宋体"/>
      <w:spacing w:val="0"/>
      <w:szCs w:val="21"/>
    </w:rPr>
  </w:style>
  <w:style w:type="paragraph" w:customStyle="1" w:styleId="26">
    <w:name w:val="06-sinobest-正文"/>
    <w:basedOn w:val="1"/>
    <w:qFormat/>
    <w:uiPriority w:val="0"/>
    <w:pPr>
      <w:ind w:firstLine="480"/>
    </w:pPr>
    <w:rPr>
      <w:sz w:val="24"/>
    </w:rPr>
  </w:style>
  <w:style w:type="paragraph" w:customStyle="1" w:styleId="27">
    <w:name w:val="正文缩进2字符"/>
    <w:basedOn w:val="28"/>
    <w:qFormat/>
    <w:uiPriority w:val="0"/>
    <w:pPr>
      <w:spacing w:after="0" w:line="400" w:lineRule="exact"/>
      <w:ind w:firstLine="480" w:firstLineChars="200"/>
    </w:pPr>
    <w:rPr>
      <w:rFonts w:eastAsia="宋体"/>
      <w:sz w:val="24"/>
    </w:rPr>
  </w:style>
  <w:style w:type="paragraph" w:customStyle="1" w:styleId="28">
    <w:name w:val="正文文本首行缩进1"/>
    <w:basedOn w:val="2"/>
    <w:qFormat/>
    <w:uiPriority w:val="0"/>
    <w:pPr>
      <w:ind w:firstLine="210" w:firstLineChars="1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2022-11-29T14:48:00Z</dcterms:created>
  <dc:creator>admin</dc:creator>
  <cp:lastModifiedBy>郑晓丽</cp:lastModifiedBy>
  <dcterms:modified xsi:type="dcterms:W3CDTF">2024-01-02T09:47:27Z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02D11E5C75F24F2AB033384E8D5E5189_13</vt:lpwstr>
  </property>
</Properties>
</file>