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600" w:lineRule="exact"/>
        <w:jc w:val="left"/>
        <w:rPr>
          <w:rFonts w:ascii="Times New Roman" w:hAnsi="Times New Roman" w:eastAsia="方正仿宋_GBK"/>
          <w:color w:val="000000"/>
          <w:kern w:val="0"/>
          <w:sz w:val="30"/>
          <w:szCs w:val="30"/>
        </w:rPr>
      </w:pPr>
      <w:bookmarkStart w:id="0" w:name="_GoBack"/>
      <w:bookmarkEnd w:id="0"/>
      <w:r>
        <w:rPr>
          <w:rFonts w:ascii="Times New Roman" w:hAnsi="Times New Roman" w:eastAsia="方正仿宋_GBK"/>
          <w:color w:val="000000"/>
          <w:kern w:val="0"/>
          <w:sz w:val="30"/>
          <w:szCs w:val="30"/>
        </w:rPr>
        <w:t>附件：</w:t>
      </w:r>
    </w:p>
    <w:p>
      <w:pPr>
        <w:spacing w:before="0" w:beforeAutospacing="0" w:after="0" w:afterAutospacing="0" w:line="600" w:lineRule="exact"/>
        <w:jc w:val="left"/>
        <w:rPr>
          <w:rFonts w:ascii="Times New Roman" w:hAnsi="Times New Roman" w:eastAsia="方正仿宋_GBK"/>
          <w:color w:val="000000"/>
          <w:kern w:val="0"/>
          <w:sz w:val="30"/>
          <w:szCs w:val="30"/>
        </w:rPr>
      </w:pPr>
    </w:p>
    <w:p>
      <w:pPr>
        <w:widowControl/>
        <w:spacing w:after="240" w:line="400" w:lineRule="exact"/>
        <w:jc w:val="center"/>
        <w:rPr>
          <w:rFonts w:hint="default" w:ascii="Times New Roman" w:hAnsi="Times New Roman" w:eastAsia="方正大标宋_GBK"/>
          <w:color w:val="000000"/>
          <w:kern w:val="0"/>
          <w:sz w:val="36"/>
          <w:szCs w:val="36"/>
        </w:rPr>
      </w:pPr>
      <w:r>
        <w:rPr>
          <w:rFonts w:hint="default" w:ascii="Times New Roman" w:hAnsi="Times New Roman" w:eastAsia="方正大标宋_GBK"/>
          <w:color w:val="000000"/>
          <w:kern w:val="0"/>
          <w:sz w:val="36"/>
          <w:szCs w:val="36"/>
        </w:rPr>
        <w:t>2023年第八批江门市科技计划项目验收结论公示表</w:t>
      </w:r>
    </w:p>
    <w:tbl>
      <w:tblPr>
        <w:tblStyle w:val="3"/>
        <w:tblW w:w="10397" w:type="dxa"/>
        <w:jc w:val="center"/>
        <w:tblLayout w:type="fixed"/>
        <w:tblCellMar>
          <w:top w:w="0" w:type="dxa"/>
          <w:left w:w="108" w:type="dxa"/>
          <w:bottom w:w="0" w:type="dxa"/>
          <w:right w:w="108" w:type="dxa"/>
        </w:tblCellMar>
      </w:tblPr>
      <w:tblGrid>
        <w:gridCol w:w="692"/>
        <w:gridCol w:w="5104"/>
        <w:gridCol w:w="3600"/>
        <w:gridCol w:w="1001"/>
      </w:tblGrid>
      <w:tr>
        <w:tblPrEx>
          <w:tblCellMar>
            <w:top w:w="0" w:type="dxa"/>
            <w:left w:w="108" w:type="dxa"/>
            <w:bottom w:w="0" w:type="dxa"/>
            <w:right w:w="108" w:type="dxa"/>
          </w:tblCellMar>
        </w:tblPrEx>
        <w:trPr>
          <w:trHeight w:val="90" w:hRule="atLeast"/>
          <w:tblHeader/>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序号</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项 目 名 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承 担 单 位</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验收</w:t>
            </w:r>
          </w:p>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结论</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b/>
                <w:bCs/>
                <w:color w:val="000000"/>
                <w:sz w:val="22"/>
                <w:lang w:val="en-US" w:eastAsia="zh"/>
              </w:rPr>
            </w:pPr>
            <w:r>
              <w:rPr>
                <w:rFonts w:ascii="Times New Roman" w:hAnsi="Times New Roman" w:eastAsia="方正仿宋_GBK"/>
                <w:b/>
                <w:bCs/>
                <w:color w:val="000000"/>
                <w:sz w:val="22"/>
              </w:rPr>
              <w:t>市直单位（</w:t>
            </w:r>
            <w:r>
              <w:rPr>
                <w:rFonts w:hint="default" w:ascii="Times New Roman" w:hAnsi="Times New Roman" w:eastAsia="方正仿宋_GBK"/>
                <w:b/>
                <w:bCs/>
                <w:color w:val="000000"/>
                <w:sz w:val="22"/>
              </w:rPr>
              <w:t>82</w:t>
            </w:r>
            <w:r>
              <w:rPr>
                <w:rFonts w:ascii="Times New Roman" w:hAnsi="Times New Roman" w:eastAsia="方正仿宋_GBK"/>
                <w:b/>
                <w:bCs/>
                <w:color w:val="000000"/>
                <w:sz w:val="22"/>
              </w:rPr>
              <w:t>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olor w:val="000000"/>
                <w:spacing w:val="0"/>
                <w:kern w:val="0"/>
                <w:sz w:val="22"/>
                <w:lang w:eastAsia="zh"/>
              </w:rPr>
            </w:pPr>
            <w:r>
              <w:rPr>
                <w:rFonts w:hint="default" w:ascii="Times New Roman" w:hAnsi="Times New Roman" w:eastAsia="方正仿宋_GBK"/>
                <w:color w:val="000000"/>
                <w:spacing w:val="0"/>
                <w:kern w:val="0"/>
                <w:sz w:val="22"/>
                <w:lang w:eastAsia="zh"/>
              </w:rPr>
              <w:t>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基于数字孪生技术的企业人力资源管理数字化转型研究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eastAsia="zh" w:bidi="ar-SA"/>
              </w:rPr>
            </w:pPr>
            <w:r>
              <w:rPr>
                <w:rFonts w:hint="default" w:ascii="方正仿宋_GBK" w:hAnsi="方正仿宋_GBK" w:eastAsia="方正仿宋_GBK" w:cs="方正仿宋_GBK"/>
                <w:kern w:val="0"/>
                <w:sz w:val="22"/>
                <w:szCs w:val="22"/>
                <w:highlight w:val="none"/>
                <w:lang w:eastAsia="zh" w:bidi="ar-SA"/>
              </w:rPr>
              <w:t>广东烟草江门市有限公司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激光划箱机除尘系统流场仿真及除尘效果优化研究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eastAsia="zh" w:bidi="ar-SA"/>
              </w:rPr>
            </w:pPr>
            <w:r>
              <w:rPr>
                <w:rFonts w:hint="default" w:ascii="方正仿宋_GBK" w:hAnsi="方正仿宋_GBK" w:eastAsia="方正仿宋_GBK" w:cs="方正仿宋_GBK"/>
                <w:kern w:val="0"/>
                <w:sz w:val="22"/>
                <w:szCs w:val="22"/>
                <w:highlight w:val="none"/>
                <w:lang w:eastAsia="zh" w:bidi="ar-SA"/>
              </w:rPr>
              <w:t>广东烟草江门市有限公司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基于双目视觉的异型混合卷烟分拣检测机器人的设计与研究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eastAsia="zh" w:bidi="ar-SA"/>
              </w:rPr>
            </w:pPr>
            <w:r>
              <w:rPr>
                <w:rFonts w:hint="default" w:ascii="方正仿宋_GBK" w:hAnsi="方正仿宋_GBK" w:eastAsia="方正仿宋_GBK" w:cs="方正仿宋_GBK"/>
                <w:kern w:val="0"/>
                <w:sz w:val="22"/>
                <w:szCs w:val="22"/>
                <w:highlight w:val="none"/>
                <w:lang w:eastAsia="zh" w:bidi="ar-SA"/>
              </w:rPr>
              <w:t>广东烟草江门市有限公司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江门市功能有机分子创制工程技术研究中心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highlight w:val="none"/>
                <w:lang w:eastAsia="zh-CN" w:bidi="ar-SA"/>
              </w:rPr>
            </w:pPr>
            <w:r>
              <w:rPr>
                <w:rFonts w:hint="default" w:ascii="方正仿宋_GBK" w:hAnsi="方正仿宋_GBK" w:eastAsia="方正仿宋_GBK" w:cs="方正仿宋_GBK"/>
                <w:kern w:val="0"/>
                <w:sz w:val="22"/>
                <w:szCs w:val="22"/>
                <w:highlight w:val="none"/>
                <w:lang w:eastAsia="zh-CN" w:bidi="ar-SA"/>
              </w:rPr>
              <w:t>先进产业用纤维材料重点实验室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CN"/>
              </w:rPr>
              <w:t>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江门市专业镇转型升级特派员计划</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olor w:val="000000"/>
                <w:kern w:val="0"/>
                <w:sz w:val="22"/>
                <w:lang w:val="en-US" w:eastAsia="zh"/>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江门市专业镇转型升级顾问小组示范计划</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2021年江门市“科技杯”创新创业大赛承办服务</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highlight w:val="none"/>
                <w:lang w:val="en-US" w:eastAsia="zh" w:bidi="ar-SA"/>
              </w:rPr>
            </w:pPr>
            <w:r>
              <w:rPr>
                <w:rFonts w:hint="default" w:ascii="方正仿宋_GBK" w:hAnsi="方正仿宋_GBK" w:eastAsia="方正仿宋_GBK" w:cs="方正仿宋_GBK"/>
                <w:kern w:val="0"/>
                <w:sz w:val="22"/>
                <w:szCs w:val="22"/>
                <w:highlight w:val="none"/>
                <w:lang w:val="en-US" w:eastAsia="zh" w:bidi="ar-SA"/>
              </w:rPr>
              <w:t>江门市科技企业孵化协会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highlight w:val="none"/>
                <w:u w:val="none"/>
                <w:lang w:val="en-US" w:eastAsia="zh" w:bidi="ar"/>
              </w:rPr>
            </w:pPr>
            <w:r>
              <w:rPr>
                <w:rFonts w:hint="default" w:ascii="方正仿宋_GBK" w:hAnsi="方正仿宋_GBK" w:eastAsia="方正仿宋_GBK" w:cs="方正仿宋_GBK"/>
                <w:i w:val="0"/>
                <w:color w:val="000000"/>
                <w:spacing w:val="0"/>
                <w:kern w:val="0"/>
                <w:sz w:val="22"/>
                <w:szCs w:val="22"/>
                <w:highlight w:val="none"/>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艾灸联合自拟健脾益气汤治疗小儿反复呼吸道感染的临床疗效分析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CN" w:bidi="ar-SA"/>
              </w:rPr>
              <w:t>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消化性溃疡并出血胃镜下诊疗的临床研究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集束化护理干预在预防髋、膝关节置换术后下肢深静脉血栓中的应用研究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基于智能系统监管下医保精细化管理及提升合理用药水平的实践与研究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个案管理方案联合系统心脏康复护理在慢性心力衰竭患者心脏康复中的应用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自体血回输式对剖宫产并发大出血患者术中应用的综合影响研究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血流阻力指数在乳腺肿瘤良恶性鉴别诊断中的价值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CF7L2基因多态性与妊娠期糖尿病发病风险的关系研究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szCs w:val="22"/>
                <w:lang w:eastAsia="zh-CN" w:bidi="ar-SA"/>
              </w:rPr>
              <w:t>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分阶段自由体位助产联合分娩球使用对初产妇软产道损伤及分娩结局的综合影响研究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智慧消毒在儿童情景室的应用分析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妊娠期高血压疾病发病风险模型的建立与评估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 w:bidi="ar"/>
              </w:rPr>
            </w:pPr>
            <w:r>
              <w:rPr>
                <w:rFonts w:hint="default" w:ascii="Times New Roman" w:hAnsi="Times New Roman" w:eastAsia="宋体" w:cs="Times New Roman"/>
                <w:i w:val="0"/>
                <w:color w:val="000000"/>
                <w:kern w:val="0"/>
                <w:sz w:val="22"/>
                <w:szCs w:val="22"/>
                <w:u w:val="none"/>
                <w:lang w:val="en-US" w:eastAsia="zh-CN" w:bidi="ar"/>
              </w:rPr>
              <w:t>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CTLA-4基因多态性(rs5742909)与宫颈癌发生的相关性研究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中药穴位贴敷治疗对小儿外科腹部术后胃肠功能障碍的影响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三孩政策实施后江门市剖宫率及剖宫产指征回顾性调查分析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微课结合思维导图在儿科护理实习生理论教学中的效果评价研究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江门市托幼机构传染病防控现状与对策研究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CN"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罕见型地中海贫血基因诊断在优生优育中的应用研究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CN"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探讨产科急症多学科模拟培训的效果</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江门市重大慢性非传染性疾病早死概率及变化趋势研究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微波辅助提取快速检测食品中多元素的方法研究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不同血液净化方式对维持性血液透析患者蛋白质能量消耗的影响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基于证据下多学科合作构建的防误吸标准化体系在脑出血患者护理中的应用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水囊辅助环扫超声内镜诊断食管黏膜下病变的临床研究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阿扎胞苷在中高危急性髓系白血病患者的维持治疗</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CT引导下经皮穿刺肺多发恶性结节射频消融术的临床应用研究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阿扎胞苷联合全反式维A酸在中高危骨髓增生异常综合征患者中的临床研究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甲状腺癌患者围手术期的快速康复护理路径的构建及应用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SPECT/CT唾液腺动态显像对干燥综合征诊治的临床研究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奥瑞姆自护模式在肝癌TACE联合索拉非尼治疗护理中的应用研究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血栓弹力图MA值对急性白血病化疗后血小板减少患者出血风险的预测价值研究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视频脑电图在早产儿缺氧缺血性脑病中的应用研究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针刺及其联合正中神经电刺激对重型创伤性脑损伤昏迷患者促醒的疗效和安全性研究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婴幼儿血管瘤治疗决策及疗效评价的研究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胃复安内关穴位注射对颅脑损伤后呃逆的临床护理探讨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非整倍体限制性胎盘嵌合对妊娠结局的影响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集束化护理在预防口腔癌术后下肢深静脉血栓的应用研究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5A模式的早期心脏康复护理在急性心肌梗死行经皮冠状动脉介入术后患者中的应用效果研究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院前急救中肢体加压干预在血流动力学不稳定患者中的应用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低氧环境对早期胚胎发育潜能的影响及其机制研究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双能量CT小肠成像定量评价小肠克罗恩病活动度的临床研究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新型胃癌风险评分系统联合癌胚抗原(CEA)、糖类抗原CA199、CA724在胃癌早期诊断及预后判断中的临床应用研究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妇科恶性肿瘤患者健康素养与生活质量关系：疾病应对的中介作用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基于“互联网+”付费方式下三甲医院财务对账管理平台的应用研究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GBP2在前列腺癌中的表达、生物学功能及分子机制研究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非支气管动脉性体动脉（NBSA）栓塞对治疗毁损肺合并大咯血的临床应用研究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阿扎胞苷联合来那度胺在老年急性髓系白血病中的临床疗效观察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55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超声引导下微波消融术治疗继发性甲状旁腺功能亢进的临床研究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护理临床路径应用于妇科快速康复实施成效的研究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基于4C延续护理理念的喉癌患者出院准备服务的构建及应用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急性Stanford A型主动脉夹层的外科手术后早期死亡危险因素分析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甲状旁腺切除术对血透患者血压变异及心血管疾病的影响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基于PERMA模式的情绪护理在前列腺癌手术患者中应用价值研究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支气管哮喘合并感染患儿炎症因子及Th1/Th2水平变化对患儿肺部感染程度及临床治疗研究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62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基于静脉用药调配中心智能设备工作流程实施PDCA循环对输液质量安全的影响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MRI在肥胖、糖尿病及代谢综合征相关性早期胰腺癌筛查应用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非综合征型耳聋患者GJB2、SLC26A4基因突变位点分析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应用利伐沙班预防PICC术后血栓形成的研究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中药药学服务对精神障碍患者的效果分析及应用研究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棕榈酸帕利哌酮对精神分裂症患者预防复发的影响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重复经颅磁刺激联合氟西汀治疗老年抑郁的疗效观察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62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经颅磁刺激与综合护理干预对精神分裂症患者睡眠障碍的影响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儿童青少年抗精神病药物用药依从性药学干预研究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探讨抗抑郁药物对抑郁相首发的双相情感障碍患者认知功能及社会功能的影响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动机式访谈对住院精神分裂症患者职业康复的影响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青少年抑郁症患者自杀观念相关危险因素分析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性别烦躁患者的临床特点及心理干预研究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基于江门市妇幼保健院健康教育网站的推荐算法</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监测围产期妇女感染李斯特菌的临床意义及检测方法</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TJP2基因突变所致妊娠期胆汁酸淤积症的临床研究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基于CRISPR剪切法的低成本、便携式的HPV（人乳头瘤病毒）基因检测试纸的技术研发</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COVID-19定点救治医院开展2019-nCov病毒核酸检测在疫情防控中的应用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18F-PSMA-1007 PET/CT显像在前列腺癌诊治中的临床应用研究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利用三种回归模型拟合江门市2015-2019年流感相关超额死亡研究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鳖甲煎丸联合TACE加索拉非尼治疗III期原发性肝癌的临床观察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江门市五邑中医院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方正仿宋_GBK" w:hAnsi="方正仿宋_GBK" w:eastAsia="方正仿宋_GBK" w:cs="方正仿宋_GBK"/>
                <w:kern w:val="0"/>
                <w:sz w:val="22"/>
                <w:szCs w:val="22"/>
                <w:lang w:eastAsia="zh-CN" w:bidi="ar-SA"/>
              </w:rPr>
            </w:pPr>
            <w:r>
              <w:rPr>
                <w:rFonts w:hint="default" w:ascii="Times New Roman" w:hAnsi="Times New Roman" w:eastAsia="方正仿宋_GBK"/>
                <w:b/>
                <w:bCs/>
                <w:color w:val="000000"/>
                <w:sz w:val="22"/>
                <w:lang w:eastAsia="zh-CN"/>
              </w:rPr>
              <w:t>江海区（4项）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highlight w:val="none"/>
                <w:lang w:val="en-US" w:eastAsia="zh-CN" w:bidi="ar-SA"/>
              </w:rPr>
            </w:pPr>
            <w:r>
              <w:rPr>
                <w:rFonts w:hint="default" w:ascii="方正仿宋_GBK" w:hAnsi="方正仿宋_GBK" w:eastAsia="方正仿宋_GBK" w:cs="方正仿宋_GBK"/>
                <w:kern w:val="0"/>
                <w:sz w:val="22"/>
                <w:szCs w:val="22"/>
                <w:highlight w:val="none"/>
                <w:lang w:val="en-US" w:eastAsia="zh-CN" w:bidi="ar-SA"/>
              </w:rPr>
              <w:t>新型电子废弃物中贵金属短流程提取技术研究及应用示范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励福（江门）环保科技股份有限公司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环境友好型高性能汽车工程塑料</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kern w:val="0"/>
                <w:sz w:val="22"/>
                <w:szCs w:val="22"/>
                <w:highlight w:val="none"/>
                <w:lang w:val="en-US" w:eastAsia="zh-CN" w:bidi="ar-SA"/>
              </w:rPr>
            </w:pPr>
            <w:r>
              <w:rPr>
                <w:rFonts w:hint="eastAsia" w:ascii="方正仿宋_GBK" w:hAnsi="方正仿宋_GBK" w:eastAsia="方正仿宋_GBK" w:cs="方正仿宋_GBK"/>
                <w:kern w:val="0"/>
                <w:sz w:val="22"/>
                <w:szCs w:val="22"/>
                <w:highlight w:val="none"/>
                <w:lang w:val="en-US" w:eastAsia="zh-CN" w:bidi="ar-SA"/>
              </w:rPr>
              <w:t>广东奇德新材料股份有限公司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kern w:val="0"/>
                <w:sz w:val="22"/>
                <w:szCs w:val="22"/>
                <w:highlight w:val="none"/>
                <w:lang w:eastAsia="zh-CN" w:bidi="ar-SA"/>
              </w:rPr>
            </w:pPr>
            <w:r>
              <w:rPr>
                <w:rFonts w:hint="default" w:ascii="方正仿宋_GBK" w:hAnsi="方正仿宋_GBK" w:eastAsia="方正仿宋_GBK" w:cs="方正仿宋_GBK"/>
                <w:kern w:val="0"/>
                <w:sz w:val="22"/>
                <w:szCs w:val="22"/>
                <w:highlight w:val="none"/>
                <w:lang w:eastAsia="zh-CN" w:bidi="ar-SA"/>
              </w:rPr>
              <w:t>高新区科企通信息服务平台建设</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kern w:val="0"/>
                <w:sz w:val="22"/>
                <w:szCs w:val="22"/>
                <w:highlight w:val="none"/>
                <w:lang w:eastAsia="zh-CN" w:bidi="ar-SA"/>
              </w:rPr>
            </w:pPr>
            <w:r>
              <w:rPr>
                <w:rFonts w:hint="default" w:ascii="方正仿宋_GBK" w:hAnsi="方正仿宋_GBK" w:eastAsia="方正仿宋_GBK" w:cs="方正仿宋_GBK"/>
                <w:kern w:val="0"/>
                <w:sz w:val="22"/>
                <w:szCs w:val="22"/>
                <w:highlight w:val="none"/>
                <w:lang w:eastAsia="zh-CN" w:bidi="ar-SA"/>
              </w:rPr>
              <w:t>江门高新技术产业开发区经济和科技促进局</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eastAsia="zh-CN"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11"/>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董氏奇穴针灸联合中药内服治疗痰气郁结型混合性抑郁焦虑障碍的临床研究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江门市江海区中西医结合医院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新会区（10项）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87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MRI联合脑脊液乳酸脱氢酶、天门冬氨酸氨基转移酶 、总蛋白诊断化脓性脑膜炎的应用研究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新生儿出生24小时内发生低体温的相关危险因素分析与低体温复温的护理策略探析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自制单侧乳腺肩部制动带在乳癌术后的临床应用与效果观察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围透析期慢病管理模式的构建与研究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江门市电镀废弃物环保处理及资源化技术重点实验室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江门市电镀行业技术创新平台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江门市电镀行业废水中COD与TOC的相关性研究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电镀废水的生化深度处理工艺开发与装备化研制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kern w:val="0"/>
                <w:sz w:val="22"/>
                <w:szCs w:val="22"/>
                <w:highlight w:val="none"/>
                <w:lang w:val="en-US" w:eastAsia="zh-CN" w:bidi="ar-SA"/>
              </w:rPr>
              <w:t>江门市电镀与环境技术研究开发中心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eastAsia="zh-CN" w:bidi="ar"/>
              </w:rPr>
              <w:t>江</w:t>
            </w:r>
            <w:r>
              <w:rPr>
                <w:rFonts w:hint="default" w:ascii="方正仿宋_GBK" w:hAnsi="方正仿宋_GBK" w:eastAsia="方正仿宋_GBK" w:cs="方正仿宋_GBK"/>
                <w:kern w:val="0"/>
                <w:sz w:val="22"/>
                <w:szCs w:val="22"/>
                <w:highlight w:val="none"/>
                <w:lang w:val="en-US" w:eastAsia="zh-CN" w:bidi="ar-SA"/>
              </w:rPr>
              <w:t>门市崖门新财富环保工业有限公司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柴芩解毒汤联用疱疹洗剂治疗病毒性皮肤病的临床疗效研究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江门市新会区皮肤医院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Times New Roman" w:hAnsi="Times New Roman" w:eastAsia="方正仿宋_GBK"/>
                <w:b/>
                <w:bCs/>
                <w:color w:val="000000"/>
                <w:sz w:val="22"/>
                <w:lang w:eastAsia="zh-CN"/>
              </w:rPr>
              <w:t>台山市（6项）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糖尿病母亲新生儿先天性心脏病筛查资料及危险因素分析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eastAsia" w:ascii="方正仿宋_GBK" w:hAnsi="方正仿宋_GBK" w:eastAsia="方正仿宋_GBK" w:cs="方正仿宋_GBK"/>
                <w:color w:val="000000"/>
                <w:kern w:val="0"/>
                <w:sz w:val="22"/>
                <w:szCs w:val="22"/>
                <w:lang w:val="en-US" w:eastAsia="zh-CN" w:bidi="ar-SA"/>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98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HFMEA联合ERAS在胃肠手术精细化药物治疗路径的应用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eastAsia" w:ascii="方正仿宋_GBK" w:hAnsi="方正仿宋_GBK" w:eastAsia="方正仿宋_GBK" w:cs="方正仿宋_GBK"/>
                <w:color w:val="000000"/>
                <w:kern w:val="0"/>
                <w:sz w:val="22"/>
                <w:szCs w:val="22"/>
                <w:lang w:val="en-US" w:eastAsia="zh-CN" w:bidi="ar-SA"/>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台山市艾滋病传播风险和干预策略研究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2"/>
                <w:szCs w:val="22"/>
                <w:lang w:val="en-US" w:eastAsia="zh-CN" w:bidi="ar-SA"/>
              </w:rPr>
            </w:pPr>
            <w:r>
              <w:rPr>
                <w:rFonts w:hint="eastAsia" w:ascii="方正仿宋_GBK" w:hAnsi="方正仿宋_GBK" w:eastAsia="方正仿宋_GBK" w:cs="方正仿宋_GBK"/>
                <w:color w:val="000000"/>
                <w:kern w:val="0"/>
                <w:sz w:val="22"/>
                <w:szCs w:val="22"/>
                <w:lang w:val="en-US" w:eastAsia="zh-CN" w:bidi="ar-SA"/>
              </w:rPr>
              <w:t>台山市疾病预防控制中心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val="en-US" w:eastAsia="zh-CN" w:bidi="ar-SA"/>
              </w:rPr>
              <w:t>台山市儿童碘缺乏病监测研究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2"/>
                <w:szCs w:val="22"/>
                <w:lang w:val="en-US" w:eastAsia="zh-CN" w:bidi="ar-SA"/>
              </w:rPr>
            </w:pPr>
            <w:r>
              <w:rPr>
                <w:rFonts w:hint="eastAsia" w:ascii="方正仿宋_GBK" w:hAnsi="方正仿宋_GBK" w:eastAsia="方正仿宋_GBK" w:cs="方正仿宋_GBK"/>
                <w:color w:val="000000"/>
                <w:kern w:val="0"/>
                <w:sz w:val="22"/>
                <w:szCs w:val="22"/>
                <w:lang w:val="en-US" w:eastAsia="zh-CN" w:bidi="ar-SA"/>
              </w:rPr>
              <w:t>台山市疾病预防控制中心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color w:val="000000"/>
                <w:kern w:val="0"/>
                <w:sz w:val="22"/>
                <w:szCs w:val="22"/>
                <w:highlight w:val="none"/>
                <w:lang w:val="en-US" w:eastAsia="zh-CN" w:bidi="ar-SA"/>
              </w:rPr>
            </w:pPr>
            <w:r>
              <w:rPr>
                <w:rFonts w:hint="default" w:ascii="方正仿宋_GBK" w:hAnsi="方正仿宋_GBK" w:eastAsia="方正仿宋_GBK" w:cs="方正仿宋_GBK"/>
                <w:color w:val="000000"/>
                <w:kern w:val="0"/>
                <w:sz w:val="22"/>
                <w:szCs w:val="22"/>
                <w:highlight w:val="none"/>
                <w:lang w:val="en-US" w:eastAsia="zh-CN" w:bidi="ar-SA"/>
              </w:rPr>
              <w:t>内生TiC弥散增强高锰钢基耐磨复合材料的研发及应用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2"/>
                <w:szCs w:val="22"/>
                <w:highlight w:val="none"/>
                <w:lang w:val="en-US" w:eastAsia="zh-CN" w:bidi="ar-SA"/>
              </w:rPr>
            </w:pPr>
            <w:r>
              <w:rPr>
                <w:rFonts w:hint="eastAsia" w:ascii="方正仿宋_GBK" w:hAnsi="方正仿宋_GBK" w:eastAsia="方正仿宋_GBK" w:cs="方正仿宋_GBK"/>
                <w:color w:val="000000"/>
                <w:kern w:val="0"/>
                <w:sz w:val="22"/>
                <w:szCs w:val="22"/>
                <w:highlight w:val="none"/>
                <w:lang w:val="en-US" w:eastAsia="zh-CN" w:bidi="ar-SA"/>
              </w:rPr>
              <w:t>台山市国峰耐磨金属科技有限公司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highlight w:val="none"/>
                <w:lang w:val="en-US" w:eastAsia="zh" w:bidi="ar-SA"/>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val="en-US" w:eastAsia="zh-CN" w:bidi="ar-SA"/>
              </w:rPr>
              <w:t>自拟中药促排卵方联合来曲唑治疗多囊卵巢综合征促排卵的疗效及影像学机制研究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eastAsia" w:ascii="方正仿宋_GBK" w:hAnsi="方正仿宋_GBK" w:eastAsia="方正仿宋_GBK" w:cs="方正仿宋_GBK"/>
                <w:color w:val="000000"/>
                <w:kern w:val="0"/>
                <w:sz w:val="22"/>
                <w:szCs w:val="22"/>
                <w:lang w:val="en-US" w:eastAsia="zh-CN" w:bidi="ar-SA"/>
              </w:rPr>
              <w:t>台山市妇幼保健院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Times New Roman" w:hAnsi="Times New Roman" w:eastAsia="方正仿宋_GBK"/>
                <w:b/>
                <w:bCs/>
                <w:color w:val="000000"/>
                <w:sz w:val="22"/>
                <w:lang w:eastAsia="zh-CN"/>
              </w:rPr>
              <w:t>开平市（2项）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val="en-US" w:eastAsia="zh-CN" w:bidi="ar"/>
              </w:rPr>
              <w:t>运用口腔训练操联合言语训练降低慢性精神分裂症患者噎食风险的效果观察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val="en-US" w:eastAsia="zh-CN" w:bidi="ar"/>
              </w:rPr>
              <w:t>开平市第三人民医院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CN"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i w:val="0"/>
                <w:color w:val="000000"/>
                <w:spacing w:val="0"/>
                <w:kern w:val="0"/>
                <w:sz w:val="24"/>
                <w:szCs w:val="24"/>
                <w:highlight w:val="none"/>
                <w:u w:val="none"/>
                <w:lang w:val="en-US" w:eastAsia="zh-CN" w:bidi="ar"/>
              </w:rPr>
              <w:t>中微子科普馆展教大纲编制服务项目</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highlight w:val="none"/>
                <w:u w:val="none"/>
                <w:lang w:val="en-US" w:eastAsia="zh-CN" w:bidi="ar"/>
              </w:rPr>
            </w:pPr>
            <w:r>
              <w:rPr>
                <w:rFonts w:hint="default" w:ascii="方正仿宋_GBK" w:hAnsi="方正仿宋_GBK" w:eastAsia="方正仿宋_GBK" w:cs="方正仿宋_GBK"/>
                <w:color w:val="000000"/>
                <w:kern w:val="0"/>
                <w:sz w:val="22"/>
                <w:szCs w:val="22"/>
                <w:highlight w:val="none"/>
                <w:lang w:val="en-US" w:eastAsia="zh-CN" w:bidi="ar-SA"/>
              </w:rPr>
              <w:t>广东开平文旅发展集团有限公司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val="en-US" w:eastAsia="zh-CN"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4"/>
                <w:szCs w:val="24"/>
                <w:u w:val="none"/>
                <w:lang w:eastAsia="zh-CN" w:bidi="ar"/>
              </w:rPr>
            </w:pPr>
            <w:r>
              <w:rPr>
                <w:rFonts w:hint="default" w:ascii="Times New Roman" w:hAnsi="Times New Roman" w:eastAsia="方正仿宋_GBK"/>
                <w:b/>
                <w:bCs/>
                <w:color w:val="000000"/>
                <w:sz w:val="22"/>
                <w:lang w:eastAsia="zh-CN"/>
              </w:rPr>
              <w:t>恩平市（1项）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i w:val="0"/>
                <w:color w:val="000000"/>
                <w:spacing w:val="0"/>
                <w:kern w:val="0"/>
                <w:sz w:val="24"/>
                <w:szCs w:val="24"/>
                <w:highlight w:val="none"/>
                <w:u w:val="none"/>
                <w:lang w:val="en-US" w:eastAsia="zh-CN" w:bidi="ar"/>
              </w:rPr>
              <w:t>环境友好型生态陶瓷透水砖</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i w:val="0"/>
                <w:color w:val="000000"/>
                <w:spacing w:val="0"/>
                <w:kern w:val="0"/>
                <w:sz w:val="24"/>
                <w:szCs w:val="24"/>
                <w:highlight w:val="none"/>
                <w:u w:val="none"/>
                <w:lang w:val="en-US" w:eastAsia="zh-CN" w:bidi="ar"/>
              </w:rPr>
              <w:t>广东净雨环保科技有限公司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highlight w:val="none"/>
                <w:u w:val="none"/>
                <w:lang w:eastAsia="zh-CN" w:bidi="ar"/>
              </w:rPr>
            </w:pPr>
            <w:r>
              <w:rPr>
                <w:rFonts w:hint="default" w:ascii="方正仿宋_GBK" w:hAnsi="方正仿宋_GBK" w:eastAsia="方正仿宋_GBK" w:cs="方正仿宋_GBK"/>
                <w:i w:val="0"/>
                <w:color w:val="000000"/>
                <w:kern w:val="0"/>
                <w:sz w:val="22"/>
                <w:szCs w:val="22"/>
                <w:highlight w:val="none"/>
                <w:u w:val="none"/>
                <w:lang w:eastAsia="zh-CN" w:bidi="ar"/>
              </w:rPr>
              <w:t>通过</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鹤山市（1项）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color w:val="000000"/>
                <w:kern w:val="0"/>
                <w:sz w:val="22"/>
                <w:szCs w:val="22"/>
                <w:highlight w:val="none"/>
                <w:lang w:val="en-US" w:eastAsia="zh-CN" w:bidi="ar-SA"/>
              </w:rPr>
              <w:t>鹤山市中小企业公共服务平台建设</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color w:val="000000"/>
                <w:kern w:val="0"/>
                <w:sz w:val="22"/>
                <w:szCs w:val="22"/>
                <w:highlight w:val="none"/>
                <w:lang w:val="en-US" w:eastAsia="zh-CN" w:bidi="ar-SA"/>
              </w:rPr>
              <w:t>鹤山市生产力促进中心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highlight w:val="none"/>
                <w:lang w:eastAsia="zh-CN" w:bidi="ar-SA"/>
              </w:rPr>
            </w:pPr>
            <w:r>
              <w:rPr>
                <w:rFonts w:hint="default" w:ascii="方正仿宋_GBK" w:hAnsi="方正仿宋_GBK" w:eastAsia="方正仿宋_GBK" w:cs="方正仿宋_GBK"/>
                <w:color w:val="000000"/>
                <w:kern w:val="0"/>
                <w:sz w:val="22"/>
                <w:szCs w:val="22"/>
                <w:highlight w:val="none"/>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蓬江区（1项）</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color w:val="000000"/>
                <w:kern w:val="0"/>
                <w:sz w:val="22"/>
                <w:szCs w:val="22"/>
                <w:highlight w:val="none"/>
                <w:lang w:val="en-US" w:eastAsia="zh-CN" w:bidi="ar-SA"/>
              </w:rPr>
              <w:t>三维立体阻燃性与</w:t>
            </w:r>
            <w:r>
              <w:rPr>
                <w:rFonts w:hint="default" w:ascii="方正仿宋_GBK" w:hAnsi="方正仿宋_GBK" w:eastAsia="方正仿宋_GBK" w:cs="方正仿宋_GBK"/>
                <w:color w:val="000000"/>
                <w:kern w:val="0"/>
                <w:sz w:val="22"/>
                <w:szCs w:val="22"/>
                <w:highlight w:val="none"/>
                <w:lang w:eastAsia="zh-CN" w:bidi="ar-SA"/>
              </w:rPr>
              <w:t>原位</w:t>
            </w:r>
            <w:r>
              <w:rPr>
                <w:rFonts w:hint="eastAsia" w:ascii="方正仿宋_GBK" w:hAnsi="方正仿宋_GBK" w:eastAsia="方正仿宋_GBK" w:cs="方正仿宋_GBK"/>
                <w:color w:val="000000"/>
                <w:kern w:val="0"/>
                <w:sz w:val="22"/>
                <w:szCs w:val="22"/>
                <w:highlight w:val="none"/>
                <w:lang w:val="en-US" w:eastAsia="zh-CN" w:bidi="ar-SA"/>
              </w:rPr>
              <w:t>密实化速生材同步加工</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highlight w:val="none"/>
                <w:u w:val="none"/>
                <w:lang w:val="en-US" w:eastAsia="zh-CN" w:bidi="ar"/>
              </w:rPr>
            </w:pPr>
            <w:r>
              <w:rPr>
                <w:rFonts w:hint="eastAsia" w:ascii="方正仿宋_GBK" w:hAnsi="方正仿宋_GBK" w:eastAsia="方正仿宋_GBK" w:cs="方正仿宋_GBK"/>
                <w:color w:val="000000"/>
                <w:kern w:val="0"/>
                <w:sz w:val="22"/>
                <w:szCs w:val="22"/>
                <w:highlight w:val="none"/>
                <w:lang w:val="en-US" w:eastAsia="zh-CN" w:bidi="ar-SA"/>
              </w:rPr>
              <w:t>江门市蓬江区文森装饰材料有限公司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highlight w:val="none"/>
                <w:lang w:eastAsia="zh-CN" w:bidi="ar-SA"/>
              </w:rPr>
            </w:pPr>
            <w:r>
              <w:rPr>
                <w:rFonts w:hint="default" w:ascii="方正仿宋_GBK" w:hAnsi="方正仿宋_GBK" w:eastAsia="方正仿宋_GBK" w:cs="方正仿宋_GBK"/>
                <w:color w:val="000000"/>
                <w:kern w:val="0"/>
                <w:sz w:val="22"/>
                <w:szCs w:val="22"/>
                <w:highlight w:val="none"/>
                <w:lang w:eastAsia="zh-CN" w:bidi="ar-SA"/>
              </w:rPr>
              <w:t>通过</w:t>
            </w:r>
          </w:p>
        </w:tc>
      </w:tr>
    </w:tbl>
    <w:p/>
    <w:sectPr>
      <w:pgSz w:w="11906" w:h="16838"/>
      <w:pgMar w:top="1020" w:right="1800" w:bottom="6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550E98"/>
    <w:rsid w:val="037C9781"/>
    <w:rsid w:val="173BE705"/>
    <w:rsid w:val="17FA208A"/>
    <w:rsid w:val="1B7FD4FE"/>
    <w:rsid w:val="1D71ABC8"/>
    <w:rsid w:val="26AB19E9"/>
    <w:rsid w:val="2CFB17F1"/>
    <w:rsid w:val="36FF4BFE"/>
    <w:rsid w:val="3B7BA9DA"/>
    <w:rsid w:val="3CFBD0EF"/>
    <w:rsid w:val="3E0DEDCB"/>
    <w:rsid w:val="3EF6D84D"/>
    <w:rsid w:val="3FE72CA6"/>
    <w:rsid w:val="3FFF194D"/>
    <w:rsid w:val="4DEE4CBF"/>
    <w:rsid w:val="55DB4B37"/>
    <w:rsid w:val="56DF2DCE"/>
    <w:rsid w:val="5D7C001F"/>
    <w:rsid w:val="5D7D638E"/>
    <w:rsid w:val="5EBFC7DC"/>
    <w:rsid w:val="5FBE5F78"/>
    <w:rsid w:val="63BFD3E1"/>
    <w:rsid w:val="65FC08EE"/>
    <w:rsid w:val="65FF05D8"/>
    <w:rsid w:val="69FFEBFD"/>
    <w:rsid w:val="6DEF8C86"/>
    <w:rsid w:val="6F370E47"/>
    <w:rsid w:val="6FFE7865"/>
    <w:rsid w:val="73B7739E"/>
    <w:rsid w:val="75F957C9"/>
    <w:rsid w:val="769F4252"/>
    <w:rsid w:val="76CF79BC"/>
    <w:rsid w:val="77FBC18E"/>
    <w:rsid w:val="7AA613EF"/>
    <w:rsid w:val="7AB73FFA"/>
    <w:rsid w:val="7AFFD2DC"/>
    <w:rsid w:val="7B7B31CF"/>
    <w:rsid w:val="7BAB2D5A"/>
    <w:rsid w:val="7BDF6977"/>
    <w:rsid w:val="7BEA4561"/>
    <w:rsid w:val="7BF9622B"/>
    <w:rsid w:val="7BFE3503"/>
    <w:rsid w:val="7BFEEB93"/>
    <w:rsid w:val="7BFFBFEC"/>
    <w:rsid w:val="7D7FCE5E"/>
    <w:rsid w:val="7DCC5F5E"/>
    <w:rsid w:val="7DE73ED0"/>
    <w:rsid w:val="7DFD2D5A"/>
    <w:rsid w:val="7EFD7FEE"/>
    <w:rsid w:val="7F6EE8E5"/>
    <w:rsid w:val="7F77DF37"/>
    <w:rsid w:val="7F9F286A"/>
    <w:rsid w:val="7FB1C1EF"/>
    <w:rsid w:val="7FCF0262"/>
    <w:rsid w:val="7FDDF3E7"/>
    <w:rsid w:val="7FEBC509"/>
    <w:rsid w:val="7FF29F26"/>
    <w:rsid w:val="7FF6BEC3"/>
    <w:rsid w:val="7FFB337B"/>
    <w:rsid w:val="7FFF0A04"/>
    <w:rsid w:val="7FFFDEE9"/>
    <w:rsid w:val="8BE14244"/>
    <w:rsid w:val="9795F46C"/>
    <w:rsid w:val="A5FD7CA1"/>
    <w:rsid w:val="A77E42B2"/>
    <w:rsid w:val="A7BC2BC6"/>
    <w:rsid w:val="AB3B09CB"/>
    <w:rsid w:val="AFAFC8C4"/>
    <w:rsid w:val="B7F7D113"/>
    <w:rsid w:val="BADBCD22"/>
    <w:rsid w:val="BF2E5ED8"/>
    <w:rsid w:val="BF676B63"/>
    <w:rsid w:val="C3BF0829"/>
    <w:rsid w:val="CEEF895E"/>
    <w:rsid w:val="D5550E98"/>
    <w:rsid w:val="DBF9E318"/>
    <w:rsid w:val="DBFB1E1C"/>
    <w:rsid w:val="DD7F2C0C"/>
    <w:rsid w:val="DDDE3462"/>
    <w:rsid w:val="DEFFBEAF"/>
    <w:rsid w:val="E71F74D8"/>
    <w:rsid w:val="E9BEE489"/>
    <w:rsid w:val="E9DBE064"/>
    <w:rsid w:val="ED0FBE62"/>
    <w:rsid w:val="EF3E9273"/>
    <w:rsid w:val="EF6F06EF"/>
    <w:rsid w:val="EF9E9D4C"/>
    <w:rsid w:val="EFBB76ED"/>
    <w:rsid w:val="EFFC5223"/>
    <w:rsid w:val="F2FE8B1B"/>
    <w:rsid w:val="F5F8AA3E"/>
    <w:rsid w:val="F6DFF8AD"/>
    <w:rsid w:val="F7B7AD87"/>
    <w:rsid w:val="F7E76897"/>
    <w:rsid w:val="F7EF0E92"/>
    <w:rsid w:val="F975CF4E"/>
    <w:rsid w:val="FA9A51C6"/>
    <w:rsid w:val="FAFF45DE"/>
    <w:rsid w:val="FBD52AD9"/>
    <w:rsid w:val="FBFEAA7F"/>
    <w:rsid w:val="FCDF05B6"/>
    <w:rsid w:val="FD9F29ED"/>
    <w:rsid w:val="FDBE63C1"/>
    <w:rsid w:val="FDFD48C3"/>
    <w:rsid w:val="FDFF49A3"/>
    <w:rsid w:val="FEFB51B2"/>
    <w:rsid w:val="FEFD72D9"/>
    <w:rsid w:val="FEFEB2D2"/>
    <w:rsid w:val="FF5AD0C7"/>
    <w:rsid w:val="FF5F616F"/>
    <w:rsid w:val="FF7BC89E"/>
    <w:rsid w:val="FF8B6358"/>
    <w:rsid w:val="FFBF2D1F"/>
    <w:rsid w:val="FFDEC902"/>
    <w:rsid w:val="FFF7DCDA"/>
    <w:rsid w:val="FFFF6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2023-02-02T02:57:00Z</dcterms:created>
  <dc:creator>uos</dc:creator>
  <cp:lastModifiedBy>greatwall</cp:lastModifiedBy>
  <dcterms:modified xsi:type="dcterms:W3CDTF">2023-12-26T17:27:57Z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53183AD8CEA05CD626818A65474C44B4</vt:lpwstr>
  </property>
</Properties>
</file>