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hint="default" w:ascii="Times New Roman" w:hAnsi="Times New Roman" w:cs="Times New Roman"/>
          <w:color w:val="auto"/>
          <w:highlight w:val="none"/>
        </w:rPr>
      </w:pPr>
      <w:bookmarkStart w:id="0" w:name="_GoBack"/>
      <w:bookmarkEnd w:id="0"/>
      <w:r>
        <w:rPr>
          <w:rFonts w:hint="default" w:ascii="Times New Roman" w:hAnsi="Times New Roman" w:eastAsia="黑体" w:cs="Times New Roman"/>
          <w:color w:val="auto"/>
          <w:highlight w:val="none"/>
        </w:rPr>
        <w:t>附件</w:t>
      </w:r>
      <w:r>
        <w:rPr>
          <w:rFonts w:hint="default" w:eastAsia="黑体" w:cs="Times New Roman"/>
          <w:color w:val="auto"/>
          <w:highlight w:val="none"/>
        </w:rPr>
        <w:t>4</w:t>
      </w:r>
    </w:p>
    <w:p>
      <w:pPr>
        <w:widowControl/>
        <w:shd w:val="clear" w:color="auto" w:fill="FFFFFF"/>
        <w:snapToGrid w:val="0"/>
        <w:spacing w:line="590" w:lineRule="exact"/>
        <w:jc w:val="center"/>
        <w:rPr>
          <w:rFonts w:hint="eastAsia" w:ascii="方正小标宋简体" w:hAnsi="仿宋" w:eastAsia="方正小标宋简体" w:cs="仿宋"/>
          <w:sz w:val="44"/>
          <w:szCs w:val="44"/>
          <w:highlight w:val="none"/>
        </w:rPr>
      </w:pPr>
      <w:r>
        <w:rPr>
          <w:rFonts w:hint="eastAsia" w:ascii="方正小标宋简体" w:hAnsi="仿宋" w:eastAsia="方正小标宋简体" w:cs="仿宋"/>
          <w:sz w:val="44"/>
          <w:szCs w:val="44"/>
          <w:highlight w:val="none"/>
        </w:rPr>
        <w:t>关于部分</w:t>
      </w:r>
      <w:r>
        <w:rPr>
          <w:rFonts w:hint="default" w:ascii="方正小标宋简体" w:hAnsi="仿宋" w:eastAsia="方正小标宋简体" w:cs="仿宋"/>
          <w:sz w:val="44"/>
          <w:szCs w:val="44"/>
          <w:highlight w:val="none"/>
        </w:rPr>
        <w:t>检验</w:t>
      </w:r>
      <w:r>
        <w:rPr>
          <w:rFonts w:hint="eastAsia" w:ascii="方正小标宋简体" w:hAnsi="仿宋" w:eastAsia="方正小标宋简体" w:cs="仿宋"/>
          <w:sz w:val="44"/>
          <w:szCs w:val="44"/>
          <w:highlight w:val="none"/>
          <w:lang w:eastAsia="zh-CN"/>
        </w:rPr>
        <w:t>项目</w:t>
      </w:r>
      <w:r>
        <w:rPr>
          <w:rFonts w:hint="eastAsia" w:ascii="方正小标宋简体" w:hAnsi="仿宋" w:eastAsia="方正小标宋简体" w:cs="仿宋"/>
          <w:sz w:val="44"/>
          <w:szCs w:val="44"/>
          <w:highlight w:val="none"/>
        </w:rPr>
        <w:t>的说明</w:t>
      </w:r>
    </w:p>
    <w:p>
      <w:pPr>
        <w:widowControl/>
        <w:shd w:val="clear" w:color="auto" w:fill="FFFFFF"/>
        <w:snapToGrid w:val="0"/>
        <w:spacing w:line="590" w:lineRule="exact"/>
        <w:rPr>
          <w:rFonts w:hint="eastAsia" w:ascii="Times New Roman" w:hAnsi="Times New Roman" w:eastAsia="仿宋_GB231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恩诺沙星</w:t>
      </w:r>
    </w:p>
    <w:p>
      <w:pPr>
        <w:numPr>
          <w:ilvl w:val="0"/>
          <w:numId w:val="0"/>
        </w:numPr>
        <w:spacing w:line="600" w:lineRule="exact"/>
        <w:ind w:firstLine="640" w:firstLineChars="20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恩诺沙星属第三代喹诺酮类药物，是一类人工合成的广谱抗菌药，用于治疗动物的皮肤感染、呼吸道感染等，是动物专属用药。《食品安全国家标准 食品中兽药最大残留限量》（GB 31650—2019）中规定，恩诺沙星在</w:t>
      </w:r>
      <w:r>
        <w:rPr>
          <w:rFonts w:hint="default" w:cs="Times New Roman"/>
          <w:kern w:val="0"/>
          <w:sz w:val="32"/>
          <w:szCs w:val="32"/>
          <w:lang w:eastAsia="zh-CN"/>
        </w:rPr>
        <w:t>家禽</w:t>
      </w:r>
      <w:r>
        <w:rPr>
          <w:rFonts w:hint="default" w:ascii="Times New Roman" w:hAnsi="Times New Roman" w:eastAsia="仿宋_GB2312" w:cs="Times New Roman"/>
          <w:kern w:val="0"/>
          <w:sz w:val="32"/>
          <w:szCs w:val="32"/>
          <w:lang w:val="en-US" w:eastAsia="zh-CN"/>
        </w:rPr>
        <w:t>中残留限量为100μg/kg，</w:t>
      </w:r>
      <w:r>
        <w:rPr>
          <w:rFonts w:hint="default" w:cs="Times New Roman"/>
          <w:kern w:val="0"/>
          <w:sz w:val="32"/>
          <w:szCs w:val="32"/>
          <w:lang w:eastAsia="zh-CN"/>
        </w:rPr>
        <w:t>白鸽</w:t>
      </w:r>
      <w:r>
        <w:rPr>
          <w:rFonts w:hint="default" w:ascii="Times New Roman" w:hAnsi="Times New Roman" w:eastAsia="仿宋_GB2312" w:cs="Times New Roman"/>
          <w:kern w:val="0"/>
          <w:sz w:val="32"/>
          <w:szCs w:val="32"/>
          <w:lang w:val="en-US" w:eastAsia="zh-CN"/>
        </w:rPr>
        <w:t>中恩诺沙星超标的原因，可能是在养殖过程中为快速控制疫病，养殖户违规加大用药量或不遵守休药期规定，致使产品上市销售时药物残留超标。</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铅</w:t>
      </w:r>
      <w:r>
        <w:rPr>
          <w:rFonts w:hint="default" w:eastAsia="黑体" w:cs="Times New Roman"/>
          <w:kern w:val="0"/>
          <w:sz w:val="32"/>
          <w:szCs w:val="32"/>
          <w:lang w:eastAsia="zh-CN"/>
        </w:rPr>
        <w:t>（以Pb计）</w:t>
      </w:r>
    </w:p>
    <w:p>
      <w:pPr>
        <w:keepNext w:val="0"/>
        <w:keepLines w:val="0"/>
        <w:widowControl/>
        <w:suppressLineNumbers w:val="0"/>
        <w:ind w:firstLine="640" w:firstLineChars="200"/>
        <w:jc w:val="left"/>
        <w:rPr>
          <w:rFonts w:hint="default" w:eastAsia="仿宋_GB2312"/>
          <w:kern w:val="0"/>
          <w:sz w:val="32"/>
          <w:szCs w:val="32"/>
          <w:lang w:eastAsia="zh-CN"/>
        </w:rPr>
      </w:pPr>
      <w:r>
        <w:rPr>
          <w:rFonts w:hint="eastAsia" w:eastAsia="仿宋_GB2312"/>
          <w:kern w:val="0"/>
          <w:sz w:val="32"/>
          <w:szCs w:val="32"/>
          <w:lang w:val="en-US" w:eastAsia="zh-CN"/>
        </w:rPr>
        <w:t>铅是一种常见的重金属元素污染物，长期食用铅含量超标的食品，可能会对人体的血液系统、神经系统产生损害，尤其对儿童生长和智力发育的影响较大。《食品安全国家标准 食品中污染物限量》（GB 2762-2017）中规定，铅在芸薹类蔬菜、</w:t>
      </w:r>
      <w:r>
        <w:rPr>
          <w:rFonts w:hint="default" w:eastAsia="仿宋_GB2312"/>
          <w:kern w:val="0"/>
          <w:sz w:val="32"/>
          <w:szCs w:val="32"/>
          <w:lang w:val="en-US" w:eastAsia="zh-CN"/>
        </w:rPr>
        <w:t>豆类蔬菜、生姜、薯类</w:t>
      </w:r>
      <w:r>
        <w:rPr>
          <w:rFonts w:hint="eastAsia" w:eastAsia="仿宋_GB2312"/>
          <w:kern w:val="0"/>
          <w:sz w:val="32"/>
          <w:szCs w:val="32"/>
          <w:lang w:val="en-US" w:eastAsia="zh-CN"/>
        </w:rPr>
        <w:t>中最大限量为0.</w:t>
      </w:r>
      <w:r>
        <w:rPr>
          <w:rFonts w:hint="default" w:eastAsia="仿宋_GB2312"/>
          <w:kern w:val="0"/>
          <w:sz w:val="32"/>
          <w:szCs w:val="32"/>
          <w:lang w:eastAsia="zh-CN"/>
        </w:rPr>
        <w:t>2</w:t>
      </w:r>
      <w:r>
        <w:rPr>
          <w:rFonts w:hint="eastAsia" w:eastAsia="仿宋_GB2312"/>
          <w:kern w:val="0"/>
          <w:sz w:val="32"/>
          <w:szCs w:val="32"/>
          <w:lang w:val="en-US" w:eastAsia="zh-CN"/>
        </w:rPr>
        <w:t>mg/kg。</w:t>
      </w:r>
      <w:r>
        <w:rPr>
          <w:rFonts w:hint="default"/>
          <w:kern w:val="0"/>
          <w:sz w:val="32"/>
          <w:szCs w:val="32"/>
          <w:lang w:eastAsia="zh-CN"/>
        </w:rPr>
        <w:t>大黄</w:t>
      </w:r>
      <w:r>
        <w:rPr>
          <w:rFonts w:hint="default" w:eastAsia="仿宋_GB2312"/>
          <w:kern w:val="0"/>
          <w:sz w:val="32"/>
          <w:szCs w:val="32"/>
          <w:lang w:eastAsia="zh-CN"/>
        </w:rPr>
        <w:t>姜</w:t>
      </w:r>
      <w:r>
        <w:rPr>
          <w:rFonts w:hint="eastAsia" w:eastAsia="仿宋_GB2312"/>
          <w:kern w:val="0"/>
          <w:sz w:val="32"/>
          <w:szCs w:val="32"/>
          <w:lang w:val="en-US" w:eastAsia="zh-CN"/>
        </w:rPr>
        <w:t>中铅超标的原因可能是</w:t>
      </w:r>
      <w:r>
        <w:rPr>
          <w:rFonts w:hint="default" w:eastAsia="仿宋_GB2312"/>
          <w:kern w:val="0"/>
          <w:sz w:val="32"/>
          <w:szCs w:val="32"/>
          <w:lang w:val="en-US" w:eastAsia="zh-CN"/>
        </w:rPr>
        <w:t>可能是种植过程</w:t>
      </w:r>
      <w:r>
        <w:rPr>
          <w:rFonts w:hint="default" w:eastAsia="仿宋_GB2312"/>
          <w:kern w:val="0"/>
          <w:sz w:val="32"/>
          <w:szCs w:val="32"/>
          <w:lang w:eastAsia="zh-CN"/>
        </w:rPr>
        <w:t>对</w:t>
      </w:r>
      <w:r>
        <w:rPr>
          <w:rFonts w:hint="default" w:eastAsia="仿宋_GB2312"/>
          <w:kern w:val="0"/>
          <w:sz w:val="32"/>
          <w:szCs w:val="32"/>
          <w:lang w:val="en-US" w:eastAsia="zh-CN"/>
        </w:rPr>
        <w:t>环境中</w:t>
      </w:r>
      <w:r>
        <w:rPr>
          <w:rFonts w:hint="eastAsia" w:eastAsia="仿宋_GB2312"/>
          <w:kern w:val="0"/>
          <w:sz w:val="32"/>
          <w:szCs w:val="32"/>
          <w:lang w:val="en-US" w:eastAsia="zh-CN"/>
        </w:rPr>
        <w:t>铅</w:t>
      </w:r>
      <w:r>
        <w:rPr>
          <w:rFonts w:hint="default" w:eastAsia="仿宋_GB2312"/>
          <w:kern w:val="0"/>
          <w:sz w:val="32"/>
          <w:szCs w:val="32"/>
          <w:lang w:val="en-US" w:eastAsia="zh-CN"/>
        </w:rPr>
        <w:t>元素的富集</w:t>
      </w:r>
      <w:r>
        <w:rPr>
          <w:rFonts w:hint="default" w:eastAsia="仿宋_GB2312"/>
          <w:kern w:val="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val="en-US" w:eastAsia="zh-CN"/>
        </w:rPr>
      </w:pPr>
      <w:r>
        <w:rPr>
          <w:rFonts w:hint="eastAsia" w:ascii="Times New Roman" w:hAnsi="Times New Roman" w:eastAsia="黑体" w:cs="Times New Roman"/>
          <w:kern w:val="0"/>
          <w:sz w:val="32"/>
          <w:szCs w:val="32"/>
          <w:lang w:val="en-US" w:eastAsia="zh-CN"/>
        </w:rPr>
        <w:t>呋喃唑酮代谢物</w:t>
      </w:r>
    </w:p>
    <w:p>
      <w:pPr>
        <w:keepNext w:val="0"/>
        <w:keepLines w:val="0"/>
        <w:widowControl/>
        <w:suppressLineNumbers w:val="0"/>
        <w:ind w:firstLine="640" w:firstLineChars="200"/>
        <w:jc w:val="left"/>
        <w:rPr>
          <w:rFonts w:hint="default" w:eastAsia="仿宋_GB2312"/>
          <w:kern w:val="0"/>
          <w:sz w:val="32"/>
          <w:szCs w:val="32"/>
          <w:lang w:val="en-US" w:eastAsia="zh-CN"/>
        </w:rPr>
      </w:pPr>
      <w:r>
        <w:rPr>
          <w:rFonts w:hint="default" w:eastAsia="仿宋_GB2312"/>
          <w:kern w:val="0"/>
          <w:sz w:val="32"/>
          <w:szCs w:val="32"/>
          <w:lang w:val="en-US" w:eastAsia="zh-CN"/>
        </w:rPr>
        <w:t>呋喃唑酮代谢物属于硝基呋喃类药物，是人工合成的广谱抗菌药。长期大量食用含硝基呋喃类药物及其代谢产物的食品对人体健康有一定影响。《食品动物中禁止使用的药品及其化合物清单》（中华人民共和国农业农村部公告第250号）中规定，呋喃唑酮为禁止使用的药物，在动物性食品中不得检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过氧化值</w:t>
      </w:r>
    </w:p>
    <w:p>
      <w:pPr>
        <w:keepNext w:val="0"/>
        <w:keepLines w:val="0"/>
        <w:widowControl/>
        <w:suppressLineNumbers w:val="0"/>
        <w:ind w:firstLine="640" w:firstLineChars="200"/>
        <w:jc w:val="left"/>
        <w:rPr>
          <w:rFonts w:hint="default" w:eastAsia="仿宋_GB2312"/>
          <w:kern w:val="0"/>
          <w:sz w:val="32"/>
          <w:szCs w:val="32"/>
          <w:lang w:val="en-US" w:eastAsia="zh-CN"/>
        </w:rPr>
      </w:pPr>
      <w:r>
        <w:rPr>
          <w:rFonts w:hint="default" w:eastAsia="仿宋_GB2312"/>
          <w:kern w:val="0"/>
          <w:sz w:val="32"/>
          <w:szCs w:val="32"/>
          <w:lang w:val="en-US" w:eastAsia="zh-CN"/>
        </w:rPr>
        <w:t xml:space="preserve">过氧化值是指油脂中不饱和脂肪酸被氧化形成过氧化物，一般以 100g（或1kg）被测油脂使碘化钾析出碘的克数表示。POV是油脂酸败的早期指标，主要反映油脂被氧化的程度。当POV上升到一定程度后，油脂开始出现感官形状上的改变。POV并非随着酸败程度的加剧而持续升高，当油脂由哈喇味变辛辣味、色泽变深、粘度增大时，POV反而会降至较低水平。随着油脂氧化，过氧化值会逐步升高，一般情况下，当POV超过0.25g/100g，即表示酸败。 </w:t>
      </w:r>
    </w:p>
    <w:p>
      <w:pPr>
        <w:keepNext w:val="0"/>
        <w:keepLines w:val="0"/>
        <w:widowControl/>
        <w:suppressLineNumbers w:val="0"/>
        <w:ind w:firstLine="640" w:firstLineChars="200"/>
        <w:jc w:val="left"/>
        <w:rPr>
          <w:rFonts w:hint="default" w:eastAsia="仿宋_GB2312"/>
          <w:kern w:val="0"/>
          <w:sz w:val="32"/>
          <w:szCs w:val="32"/>
          <w:lang w:val="en-US" w:eastAsia="zh-CN"/>
        </w:rPr>
      </w:pPr>
      <w:r>
        <w:rPr>
          <w:rFonts w:hint="default" w:eastAsia="仿宋_GB2312"/>
          <w:kern w:val="0"/>
          <w:sz w:val="32"/>
          <w:szCs w:val="32"/>
          <w:lang w:val="en-US" w:eastAsia="zh-CN"/>
        </w:rPr>
        <w:t>该指标不合格一般不会对人体的健康产生损害，但过多食用，严重时会导致肠胃不适、腹泻等症状。一般情况下，如果食品氧化变质，消费者在食用过程中能辨别出哈喇等异味，需避免食用。</w:t>
      </w:r>
    </w:p>
    <w:p>
      <w:pPr>
        <w:keepNext w:val="0"/>
        <w:keepLines w:val="0"/>
        <w:widowControl/>
        <w:suppressLineNumbers w:val="0"/>
        <w:ind w:firstLine="640" w:firstLineChars="200"/>
        <w:jc w:val="left"/>
        <w:rPr>
          <w:rFonts w:hint="default" w:eastAsia="仿宋_GB2312"/>
          <w:kern w:val="0"/>
          <w:sz w:val="32"/>
          <w:szCs w:val="32"/>
          <w:lang w:val="en-US" w:eastAsia="zh-CN"/>
        </w:rPr>
      </w:pPr>
      <w:r>
        <w:rPr>
          <w:rFonts w:hint="default" w:eastAsia="仿宋_GB2312"/>
          <w:kern w:val="0"/>
          <w:sz w:val="32"/>
          <w:szCs w:val="32"/>
          <w:lang w:val="en-US" w:eastAsia="zh-CN"/>
        </w:rPr>
        <w:t xml:space="preserve">过氧化值超标的原因可能是产品用油已经变质，或者产品在储存过程中环境条件控制不当，导致产品酸败；也可能是原料中的脂肪已经氧化，储存不当，或未采取有效的抗氧 </w:t>
      </w:r>
    </w:p>
    <w:p>
      <w:pPr>
        <w:keepNext w:val="0"/>
        <w:keepLines w:val="0"/>
        <w:widowControl/>
        <w:suppressLineNumbers w:val="0"/>
        <w:jc w:val="left"/>
        <w:rPr>
          <w:rFonts w:hint="default" w:eastAsia="仿宋_GB2312"/>
          <w:kern w:val="0"/>
          <w:sz w:val="32"/>
          <w:szCs w:val="32"/>
          <w:lang w:val="en-US" w:eastAsia="zh-CN"/>
        </w:rPr>
      </w:pPr>
      <w:r>
        <w:rPr>
          <w:rFonts w:hint="default" w:eastAsia="仿宋_GB2312"/>
          <w:kern w:val="0"/>
          <w:sz w:val="32"/>
          <w:szCs w:val="32"/>
          <w:lang w:val="en-US" w:eastAsia="zh-CN"/>
        </w:rPr>
        <w:t>化措施，使得终产品油脂氧化。</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outlineLvl w:val="0"/>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lang w:eastAsia="zh-CN"/>
        </w:rPr>
        <w:t>甲拌磷</w:t>
      </w:r>
    </w:p>
    <w:p>
      <w:pPr>
        <w:keepNext w:val="0"/>
        <w:keepLines w:val="0"/>
        <w:widowControl/>
        <w:suppressLineNumbers w:val="0"/>
        <w:ind w:firstLine="640" w:firstLineChars="200"/>
        <w:jc w:val="left"/>
        <w:rPr>
          <w:rFonts w:hint="default" w:eastAsia="仿宋_GB2312"/>
          <w:kern w:val="0"/>
          <w:sz w:val="32"/>
          <w:szCs w:val="32"/>
          <w:lang w:eastAsia="zh-CN"/>
        </w:rPr>
      </w:pPr>
      <w:r>
        <w:rPr>
          <w:rFonts w:hint="default" w:eastAsia="仿宋_GB2312"/>
          <w:kern w:val="0"/>
          <w:sz w:val="32"/>
          <w:szCs w:val="32"/>
          <w:lang w:val="en-US" w:eastAsia="zh-CN"/>
        </w:rPr>
        <w:t>甲拌磷是有机磷类的高毒广谱内吸性杀虫剂，有触杀、胃毒、熏蒸作用，对刺吸式口器和咀嚼式口器害虫都具有很好的防治作用。甲拌磷急性毒性经口试验大鼠LD50为1.1~10mg/kg，急性毒性分级为剧毒级，中毒机制为抑制胆碱酯酶活性，表现有头痛、头晕、食欲减退、恶心、呕吐、腹痛、腹泻、瞳孔缩小、多汗、流涎、呼吸道分泌物增多、肌肉震颤等，重者可呼吸麻痹，甚至死亡。甲拌磷在自然环境中容易流失也能迅速降解，半衰期短，不易蓄积。相关研究未见遗传毒性和致癌性。少量的农药残留不会引起人体急性中毒，但长期食用甲拌磷超标的食品，对人体健康可能有一定影响</w:t>
      </w:r>
      <w:r>
        <w:rPr>
          <w:rFonts w:hint="default" w:eastAsia="仿宋_GB2312"/>
          <w:kern w:val="0"/>
          <w:sz w:val="32"/>
          <w:szCs w:val="32"/>
          <w:lang w:eastAsia="zh-CN"/>
        </w:rPr>
        <w:t>。</w:t>
      </w:r>
    </w:p>
    <w:p>
      <w:pPr>
        <w:numPr>
          <w:ilvl w:val="0"/>
          <w:numId w:val="0"/>
        </w:numPr>
        <w:spacing w:line="360" w:lineRule="auto"/>
        <w:ind w:firstLine="640"/>
        <w:rPr>
          <w:rFonts w:hint="default" w:eastAsia="宋体" w:cs="Times New Roman"/>
          <w:bCs/>
          <w:color w:val="000000" w:themeColor="text1"/>
          <w:spacing w:val="0"/>
          <w:kern w:val="0"/>
          <w:sz w:val="32"/>
          <w:szCs w:val="32"/>
          <w:lang w:eastAsia="zh-CN"/>
          <w14:textFill>
            <w14:solidFill>
              <w14:schemeClr w14:val="tx1"/>
            </w14:solidFill>
          </w14:textFill>
        </w:rPr>
      </w:pPr>
      <w:r>
        <w:rPr>
          <w:rFonts w:hint="default" w:eastAsia="仿宋_GB2312"/>
          <w:kern w:val="0"/>
          <w:sz w:val="32"/>
          <w:szCs w:val="32"/>
          <w:lang w:val="en-US" w:eastAsia="zh-CN"/>
        </w:rPr>
        <w:t>根据《食品安全国家标准 食品中农药最大残留限量》（GB 2763-2021）中的规定</w:t>
      </w:r>
      <w:r>
        <w:rPr>
          <w:rFonts w:hint="default" w:eastAsia="仿宋_GB2312"/>
          <w:kern w:val="0"/>
          <w:sz w:val="32"/>
          <w:szCs w:val="32"/>
          <w:lang w:eastAsia="zh-CN"/>
        </w:rPr>
        <w:t>，叶菜类蔬菜中甲拌磷的限量是0.01mg/kg。西芹中甲拌磷超标的原因</w:t>
      </w:r>
      <w:r>
        <w:rPr>
          <w:rFonts w:hint="eastAsia" w:eastAsia="仿宋_GB2312"/>
          <w:kern w:val="0"/>
          <w:sz w:val="32"/>
          <w:szCs w:val="32"/>
          <w:lang w:val="en-US" w:eastAsia="zh-CN"/>
        </w:rPr>
        <w:t>是为快速控制虫害，加大用药量或未遵守采摘间隔期规定，致使上市销售的产品中残留量超标。</w:t>
      </w:r>
    </w:p>
    <w:p>
      <w:pPr>
        <w:keepNext w:val="0"/>
        <w:keepLines w:val="0"/>
        <w:widowControl/>
        <w:suppressLineNumbers w:val="0"/>
        <w:ind w:firstLine="640" w:firstLineChars="200"/>
        <w:jc w:val="left"/>
        <w:rPr>
          <w:rFonts w:hint="default"/>
          <w:kern w:val="0"/>
          <w:sz w:val="32"/>
          <w:szCs w:val="32"/>
          <w:lang w:eastAsia="zh-CN"/>
        </w:rPr>
      </w:pPr>
    </w:p>
    <w:p>
      <w:pPr>
        <w:keepNext w:val="0"/>
        <w:keepLines w:val="0"/>
        <w:widowControl/>
        <w:suppressLineNumbers w:val="0"/>
        <w:jc w:val="left"/>
      </w:pPr>
    </w:p>
    <w:p>
      <w:pPr>
        <w:keepNext w:val="0"/>
        <w:keepLines w:val="0"/>
        <w:widowControl/>
        <w:suppressLineNumbers w:val="0"/>
        <w:ind w:firstLine="640" w:firstLineChars="200"/>
        <w:jc w:val="left"/>
        <w:rPr>
          <w:rFonts w:hint="default"/>
          <w:kern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default" w:eastAsia="仿宋_GB2312" w:cs="Times New Roman"/>
          <w:bCs/>
          <w:kern w:val="0"/>
          <w:sz w:val="32"/>
          <w:szCs w:val="32"/>
          <w:lang w:val="en-US" w:eastAsia="zh-CN"/>
        </w:rPr>
      </w:pPr>
    </w:p>
    <w:p>
      <w:pPr>
        <w:numPr>
          <w:ilvl w:val="0"/>
          <w:numId w:val="0"/>
        </w:numPr>
        <w:spacing w:line="600" w:lineRule="exact"/>
        <w:ind w:firstLine="640" w:firstLineChars="200"/>
        <w:rPr>
          <w:rFonts w:hint="default" w:ascii="Times New Roman" w:hAnsi="Times New Roman" w:eastAsia="仿宋_GB2312" w:cs="Times New Roman"/>
          <w:kern w:val="0"/>
          <w:sz w:val="32"/>
          <w:szCs w:val="32"/>
          <w:lang w:val="en-US" w:eastAsia="zh-CN"/>
        </w:rPr>
      </w:pPr>
    </w:p>
    <w:p>
      <w:pPr>
        <w:numPr>
          <w:ilvl w:val="0"/>
          <w:numId w:val="0"/>
        </w:numPr>
        <w:spacing w:line="600" w:lineRule="exact"/>
        <w:ind w:firstLine="640" w:firstLineChars="200"/>
        <w:rPr>
          <w:rFonts w:hint="eastAsia" w:eastAsia="仿宋_GB2312"/>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70B551"/>
    <w:multiLevelType w:val="singleLevel"/>
    <w:tmpl w:val="FB70B55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WQ0MGFlYTFiMmE3ZmUyNGVjOWYwYjY1MTdlZDUifQ=="/>
  </w:docVars>
  <w:rsids>
    <w:rsidRoot w:val="13933077"/>
    <w:rsid w:val="0A1A3822"/>
    <w:rsid w:val="13933077"/>
    <w:rsid w:val="1DFAF1FE"/>
    <w:rsid w:val="3B9EA039"/>
    <w:rsid w:val="3F110AE3"/>
    <w:rsid w:val="40923879"/>
    <w:rsid w:val="427174BE"/>
    <w:rsid w:val="45486BFC"/>
    <w:rsid w:val="4DA702BE"/>
    <w:rsid w:val="4FADFA3C"/>
    <w:rsid w:val="54A656ED"/>
    <w:rsid w:val="54D8B2EB"/>
    <w:rsid w:val="57FD289A"/>
    <w:rsid w:val="5BFBCA0A"/>
    <w:rsid w:val="5EDF861C"/>
    <w:rsid w:val="5F797CB5"/>
    <w:rsid w:val="5FA377DA"/>
    <w:rsid w:val="620F5688"/>
    <w:rsid w:val="6DB79CC1"/>
    <w:rsid w:val="6DD939D8"/>
    <w:rsid w:val="6FDDEECF"/>
    <w:rsid w:val="71F34370"/>
    <w:rsid w:val="733D8842"/>
    <w:rsid w:val="73537EBD"/>
    <w:rsid w:val="76B31878"/>
    <w:rsid w:val="77EF1385"/>
    <w:rsid w:val="7AF9E04C"/>
    <w:rsid w:val="7F55C47F"/>
    <w:rsid w:val="7FAE334C"/>
    <w:rsid w:val="7FDB638D"/>
    <w:rsid w:val="7FF70FDD"/>
    <w:rsid w:val="9F99EE0A"/>
    <w:rsid w:val="BBDFD01E"/>
    <w:rsid w:val="D9ACFC34"/>
    <w:rsid w:val="DF3DA38A"/>
    <w:rsid w:val="DF7FB655"/>
    <w:rsid w:val="DFE61FE7"/>
    <w:rsid w:val="E7FFA4D7"/>
    <w:rsid w:val="EDEE0A0B"/>
    <w:rsid w:val="EF6DCD86"/>
    <w:rsid w:val="EF7714D0"/>
    <w:rsid w:val="F54FE93B"/>
    <w:rsid w:val="F6D71663"/>
    <w:rsid w:val="F7FA6328"/>
    <w:rsid w:val="FB7F19C6"/>
    <w:rsid w:val="FBBD3744"/>
    <w:rsid w:val="FDBFD974"/>
    <w:rsid w:val="FDDE72CC"/>
    <w:rsid w:val="FDF77A3C"/>
    <w:rsid w:val="FEE92E8D"/>
    <w:rsid w:val="FEFBD9DF"/>
    <w:rsid w:val="FFEF5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qFormat/>
    <w:uiPriority w:val="0"/>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555</Words>
  <Characters>603</Characters>
  <Lines>0</Lines>
  <Paragraphs>0</Paragraphs>
  <TotalTime>3</TotalTime>
  <ScaleCrop>false</ScaleCrop>
  <LinksUpToDate>false</LinksUpToDate>
  <CharactersWithSpaces>609</CharactersWithSpaces>
  <Application>WPS Office_11.8.2.11961_F1E327BC-269C-435d-A152-05C5408002CA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2022-04-27T03:06:00Z</dcterms:created>
  <dc:creator>Administrator</dc:creator>
  <cp:lastModifiedBy>uos</cp:lastModifiedBy>
  <dcterms:modified xsi:type="dcterms:W3CDTF">2023-12-26T10:38:38Z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2052-11.8.2.11961</vt:lpwstr>
  </property>
  <property fmtid="{D5CDD505-2E9C-101B-9397-08002B2CF9AE}" pid="3" name="ICV">
    <vt:lpwstr>3355DAE8153C4F9193298452F95E6A31</vt:lpwstr>
  </property>
</Properties>
</file>