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sz w:val="32"/>
          <w:szCs w:val="32"/>
          <w:lang w:bidi="ar"/>
        </w:rPr>
      </w:pPr>
    </w:p>
    <w:p>
      <w:pPr>
        <w:rPr>
          <w:rFonts w:ascii="宋体" w:hAnsi="宋体" w:cs="宋体"/>
          <w:b/>
          <w:sz w:val="44"/>
          <w:szCs w:val="44"/>
          <w:lang w:bidi="ar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bidi="ar"/>
        </w:rPr>
        <w:t>项目绩效自评报告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 w:bidi="ar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 w:bidi="ar"/>
        </w:rPr>
        <w:t>2022年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 w:bidi="ar"/>
        </w:rPr>
        <w:t>）</w:t>
      </w:r>
    </w:p>
    <w:p>
      <w:pPr>
        <w:jc w:val="center"/>
        <w:rPr>
          <w:rFonts w:hint="eastAsia" w:ascii="宋体" w:hAnsi="宋体" w:cs="宋体"/>
          <w:b/>
          <w:sz w:val="44"/>
          <w:szCs w:val="44"/>
          <w:lang w:bidi="ar"/>
        </w:rPr>
      </w:pPr>
    </w:p>
    <w:p>
      <w:pPr>
        <w:jc w:val="center"/>
        <w:rPr>
          <w:rFonts w:hint="eastAsia" w:ascii="宋体" w:hAnsi="宋体" w:cs="宋体"/>
          <w:b/>
          <w:sz w:val="44"/>
          <w:szCs w:val="44"/>
          <w:lang w:bidi="ar"/>
        </w:rPr>
      </w:pPr>
    </w:p>
    <w:p>
      <w:pPr>
        <w:jc w:val="center"/>
        <w:rPr>
          <w:rFonts w:hint="eastAsia" w:ascii="宋体" w:hAnsi="宋体" w:cs="宋体"/>
          <w:b/>
          <w:sz w:val="44"/>
          <w:szCs w:val="44"/>
          <w:lang w:bidi="ar"/>
        </w:rPr>
      </w:pPr>
    </w:p>
    <w:p>
      <w:pPr>
        <w:jc w:val="center"/>
        <w:rPr>
          <w:rFonts w:hint="eastAsia" w:ascii="宋体" w:hAnsi="宋体" w:cs="宋体"/>
          <w:b/>
          <w:sz w:val="44"/>
          <w:szCs w:val="44"/>
          <w:lang w:bidi="ar"/>
        </w:rPr>
      </w:pPr>
    </w:p>
    <w:p>
      <w:pPr>
        <w:jc w:val="center"/>
        <w:rPr>
          <w:rFonts w:hint="eastAsia" w:ascii="宋体" w:hAnsi="宋体" w:cs="宋体"/>
          <w:b/>
          <w:sz w:val="44"/>
          <w:szCs w:val="44"/>
          <w:lang w:bidi="ar"/>
        </w:rPr>
      </w:pPr>
    </w:p>
    <w:p>
      <w:pPr>
        <w:jc w:val="center"/>
        <w:rPr>
          <w:rFonts w:hint="eastAsia" w:ascii="宋体" w:hAnsi="宋体" w:cs="宋体"/>
          <w:b/>
          <w:sz w:val="44"/>
          <w:szCs w:val="44"/>
          <w:lang w:bidi="ar"/>
        </w:rPr>
      </w:pPr>
    </w:p>
    <w:p>
      <w:pPr>
        <w:jc w:val="center"/>
        <w:rPr>
          <w:rFonts w:hint="eastAsia" w:ascii="宋体" w:hAnsi="宋体" w:cs="宋体"/>
          <w:b/>
          <w:sz w:val="44"/>
          <w:szCs w:val="44"/>
          <w:lang w:bidi="ar"/>
        </w:rPr>
      </w:pPr>
    </w:p>
    <w:p>
      <w:pPr>
        <w:jc w:val="center"/>
        <w:rPr>
          <w:rFonts w:hint="eastAsia" w:ascii="宋体" w:hAnsi="宋体" w:cs="宋体"/>
          <w:b/>
          <w:sz w:val="44"/>
          <w:szCs w:val="44"/>
          <w:lang w:bidi="ar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lang w:bidi="ar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lang w:bidi="ar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lang w:bidi="ar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lang w:bidi="ar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lang w:bidi="ar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lang w:bidi="ar"/>
        </w:rPr>
        <w:t>项目名称：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lang w:val="en-US" w:eastAsia="zh-CN" w:bidi="ar"/>
        </w:rPr>
        <w:t>农业强市建设专项资金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lang w:bidi="ar"/>
        </w:rPr>
        <w:t>预算部门：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lang w:val="en-US" w:eastAsia="zh-CN" w:bidi="ar"/>
        </w:rPr>
        <w:t>江门市农业农村局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outlineLvl w:val="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bidi="ar"/>
        </w:rPr>
        <w:t>一、项目概况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为贯彻落实中央、省和市改革创新，加快推进农业现代化的战略部署，推动江门市现代农业新一轮发展，实现农业大市向现代农业强市转变，根据该工作纲要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设立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农业强市专项资金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以促进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实现农业大市向农业强市转变，促进全市经济加快发展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二、项目组织实施情况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（一）资金安排下达情况。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农业强市建设专项资金2022年年初预算安排资金6725万元，年中追加115万。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  <w:t>其中市本级资金1997.64万元，转移支付资金4842.36万元，转移支付资金纳入市级涉农统筹转移支付资金管理，各县（市、区）实际报备农业生产发展类资金5748.51万元。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资金管理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项目管理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情况。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截至2022年12月底，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农业强市建设专项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支出率为60.14%。资金的使用严格遵守《江门市涉农资金统筹整合管理办法（试行）》《江门市农业农村局机关内部财务管理制度》《农业农村项目管理实施办法和农业农村项目专家库管理办法》，资金支出无违规现象。同时，通过开展经济责任审计、会计信息质量交叉检查、项目支出进度通报等对项目资金的实施、进度进行管控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三、项目绩效情况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江门市农业强市专项资金主要用于江门市农业强市建设工作，重点发展特色农业、园区农业、现代种业、农产品流通加工业和旅游农业等五大产业，健全农业基础设施保障体系、新型农业经营体系、农业科技创新推广体系、农产品质量安全监管体系、动植物疫病防控体系、农业综合执法体系和农业防灾减灾体系等七大体系，实现农业大市向农业强市转变，促进全市经济加快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整体绩效目标为充分发挥我市农业资源禀赋优越，农业产业基础扎实等有利条件，实现我市农业强市目标，第一产业GDP年增长≥5%。2022年，整体绩效已达标。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各项目根据项目实施方案细化绩效目标，根据项目自评情况，各项目均完成绩效任务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outlineLvl w:val="0"/>
        <w:rPr>
          <w:rFonts w:hint="eastAsia" w:ascii="仿宋_GB2312" w:hAnsi="仿宋_GB2312" w:eastAsia="仿宋_GB2312" w:cs="仿宋_GB2312"/>
          <w:b/>
          <w:color w:val="FF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bidi="ar"/>
        </w:rPr>
        <w:t>四、项目主要做法和经验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1.粮食等重要农产品稳产保供有力。建立撂荒耕地复耕复种奖惩机制，培育10家农业生产托管服务企业（合作社）参与撂荒地复耕复种，全市完成撂荒耕地复耕复种面积</w:t>
      </w:r>
      <w:r>
        <w:rPr>
          <w:rFonts w:hint="default" w:ascii="仿宋_GB2312" w:hAnsi="Calibri" w:eastAsia="仿宋_GB2312" w:cs="仿宋_GB2312"/>
          <w:sz w:val="32"/>
          <w:szCs w:val="32"/>
          <w:lang w:val="en-US" w:eastAsia="zh-CN" w:bidi="ar"/>
        </w:rPr>
        <w:t>4.4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万亩，超额完成省下达撂荒地复耕复种2.5万亩任务目标。高标准农田建设工作在全省考评中获第三，新会柑新增“上山”面积2.9万亩，江门新会陈皮品牌影响力指数位居“2022中国区域农业产业品牌影响力指数TOP100”榜首</w:t>
      </w:r>
      <w:r>
        <w:rPr>
          <w:rFonts w:hint="default" w:ascii="仿宋_GB2312" w:hAnsi="Calibri" w:eastAsia="仿宋_GB2312" w:cs="仿宋_GB2312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农业统防统治服务面积同比增长83.5%，</w:t>
      </w:r>
      <w:r>
        <w:rPr>
          <w:rFonts w:hint="default" w:ascii="仿宋_GB2312" w:hAnsi="Calibri" w:eastAsia="仿宋_GB2312" w:cs="仿宋_GB2312"/>
          <w:sz w:val="32"/>
          <w:szCs w:val="32"/>
          <w:lang w:val="en-US" w:eastAsia="zh-CN" w:bidi="ar"/>
        </w:rPr>
        <w:t>防治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经验在全国推广，</w:t>
      </w:r>
      <w:r>
        <w:rPr>
          <w:rFonts w:hint="default" w:ascii="仿宋_GB2312" w:hAnsi="Calibri" w:eastAsia="仿宋_GB2312" w:cs="仿宋_GB2312"/>
          <w:sz w:val="32"/>
          <w:szCs w:val="32"/>
          <w:lang w:val="en-US" w:eastAsia="zh-CN" w:bidi="ar"/>
        </w:rPr>
        <w:t>全市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粮食产量突破99万吨，创近12年新高，超额完成省下达的粮食</w:t>
      </w:r>
      <w:r>
        <w:rPr>
          <w:rFonts w:hint="default" w:ascii="仿宋_GB2312" w:hAnsi="Calibri" w:eastAsia="仿宋_GB2312" w:cs="仿宋_GB2312"/>
          <w:sz w:val="32"/>
          <w:szCs w:val="32"/>
          <w:lang w:val="en-US" w:eastAsia="zh-CN" w:bidi="ar"/>
        </w:rPr>
        <w:t>生产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考核任务。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outlineLvl w:val="0"/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2.乡村产业体系更加健全。成功创建1个国家级广东丝苗米优势特色产业集群和3个省级现代农业产业园</w:t>
      </w:r>
      <w:r>
        <w:rPr>
          <w:rFonts w:hint="default" w:ascii="仿宋_GB2312" w:hAnsi="Calibri" w:eastAsia="仿宋_GB2312" w:cs="仿宋_GB2312"/>
          <w:sz w:val="32"/>
          <w:szCs w:val="32"/>
          <w:lang w:val="en-US" w:eastAsia="zh-CN" w:bidi="ar"/>
        </w:rPr>
        <w:t>，新增1个全国休闲农业重点县。我市成功入选2022年国家24个骨干冷链物流基地建设名单，为全省唯一入选城市。台山市入选国家级水产健康养殖和生态养殖示范区，开平成功创建全国首个镇级行政区品牌“马冈优品”。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六大特色优势农业产业全链条总产值达530亿元，增长26.7%，其中新会陈皮产业实现总产值190亿元，新会陈皮数字化溯源管理系统正式上线运行。第四届广东茶叶产业大会、全省农业龙头企业大会在江门召开，</w:t>
      </w:r>
      <w:r>
        <w:rPr>
          <w:rFonts w:hint="default" w:ascii="仿宋_GB2312" w:hAnsi="Calibri" w:eastAsia="仿宋_GB2312" w:cs="仿宋_GB2312"/>
          <w:sz w:val="32"/>
          <w:szCs w:val="32"/>
          <w:lang w:val="en-US" w:eastAsia="zh-CN" w:bidi="ar"/>
        </w:rPr>
        <w:t>成功举办第八届江门市（线上）农业博览会和侨都预菜年货节，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打造了江门市名特优新农产品线上平台</w:t>
      </w:r>
      <w:r>
        <w:rPr>
          <w:rFonts w:hint="default" w:ascii="仿宋_GB2312" w:hAnsi="Calibri" w:eastAsia="仿宋_GB2312" w:cs="仿宋_GB2312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新增省级龙头企业10家，</w:t>
      </w:r>
      <w:r>
        <w:rPr>
          <w:rFonts w:hint="default" w:ascii="仿宋_GB2312" w:hAnsi="Calibri" w:eastAsia="仿宋_GB2312" w:cs="仿宋_GB2312"/>
          <w:sz w:val="32"/>
          <w:szCs w:val="32"/>
          <w:lang w:val="en-US" w:eastAsia="zh-CN" w:bidi="ar"/>
        </w:rPr>
        <w:t>实现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茶叶种植面积5万亩</w:t>
      </w:r>
      <w:r>
        <w:rPr>
          <w:rFonts w:hint="default" w:ascii="仿宋_GB2312" w:hAnsi="Calibri" w:eastAsia="仿宋_GB2312" w:cs="仿宋_GB2312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较</w:t>
      </w:r>
      <w:r>
        <w:rPr>
          <w:rFonts w:hint="default" w:ascii="仿宋_GB2312" w:hAnsi="Calibri" w:eastAsia="仿宋_GB2312" w:cs="仿宋_GB2312"/>
          <w:sz w:val="32"/>
          <w:szCs w:val="32"/>
          <w:lang w:val="en-US" w:eastAsia="zh-CN" w:bidi="ar"/>
        </w:rPr>
        <w:t>上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年翻一番。台山市荣获国家级水产健康养殖和生态养殖示范区</w:t>
      </w:r>
      <w:r>
        <w:rPr>
          <w:rFonts w:hint="default" w:ascii="仿宋_GB2312" w:hAnsi="Calibri" w:eastAsia="仿宋_GB2312" w:cs="仿宋_GB2312"/>
          <w:sz w:val="32"/>
          <w:szCs w:val="32"/>
          <w:lang w:val="en-US" w:eastAsia="zh-CN" w:bidi="ar"/>
        </w:rPr>
        <w:t>，开平市入选2022年全国休闲农业重点县名单。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全市涉农贷款余额1789亿元，增长10.</w:t>
      </w:r>
      <w:r>
        <w:rPr>
          <w:rFonts w:hint="default" w:ascii="仿宋_GB2312" w:hAnsi="Calibri" w:eastAsia="仿宋_GB2312" w:cs="仿宋_GB2312"/>
          <w:sz w:val="32"/>
          <w:szCs w:val="32"/>
          <w:lang w:val="en-US" w:eastAsia="zh-CN" w:bidi="ar"/>
        </w:rPr>
        <w:t>9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%，排名全省第三。</w:t>
      </w:r>
      <w:r>
        <w:rPr>
          <w:rFonts w:hint="default" w:ascii="仿宋_GB2312" w:hAnsi="Calibri" w:eastAsia="仿宋_GB2312" w:cs="仿宋_GB2312"/>
          <w:sz w:val="32"/>
          <w:szCs w:val="32"/>
          <w:lang w:val="en-US" w:eastAsia="zh-CN" w:bidi="ar"/>
        </w:rPr>
        <w:t>全年争取中央、省财政资金32.2亿元，有力推动“三农”工作上新台阶。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bidi="ar"/>
        </w:rPr>
        <w:t>五、存在问题及建议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（一）存在问题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项目整体资金支出率低。主要原因有：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受疫情影响，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部分涉展会类、涉培训类项目进展滞后，未能按计划开展，如“江门市农业品牌宣传和各类农业农村展会项目”；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个别项目安排不合理，将主责主业以购买第三方服务方式完成，如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江门市农村财务管理中心的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农业强市建设专项新型农业经营体系建设项目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项目已经完成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，未支出资金为结余资金，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在年底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由本级财政统筹收回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受经济下行和疫情叠加影响，财政运行困难，库款紧张，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一些项目已完成并</w:t>
      </w:r>
      <w:r>
        <w:rPr>
          <w:rFonts w:hint="eastAsia" w:ascii="仿宋_GB2312" w:hAnsi="仿宋_GB2312" w:eastAsia="仿宋_GB2312" w:cs="仿宋_GB2312"/>
          <w:sz w:val="32"/>
          <w:szCs w:val="32"/>
        </w:rPr>
        <w:t>达到支出条件，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但未形成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如“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农业强市建设专项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农产品质量安全保障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-农业品牌培育奖励专项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（二）改进措施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1.提前谋划，遇到项目实施受阻、原定计划无法开展时，应及时调整资金使用方案，加快资金支出进度，提高支出率；2.做预算时更加审慎，主业主业不得委托第三方完成；3.加强对各县（市、区）市级涉农项目实施进度及支出进度的督导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六、项目自评结论及得分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项目自评得分95分，自评结果优。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082909-6AD5-4CBA-B2F9-CDAC852E3B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CBEC2F2-0488-4DB6-829F-4C5637C75EB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80A295B-2164-4903-821C-82FF7D5C7BB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3CFAD9B6-D0D4-43D6-889E-97133EC4FC46}"/>
  </w:font>
  <w:font w:name="方正公文小标宋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4CBB17EB-BFE0-4CB0-8C26-1704F10744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yNGI3MWNkZWU4MTUxYmQ2YTEzNWQ1NzNjNjQyNGEifQ=="/>
  </w:docVars>
  <w:rsids>
    <w:rsidRoot w:val="00DB0C85"/>
    <w:rsid w:val="00036540"/>
    <w:rsid w:val="0016372C"/>
    <w:rsid w:val="001F6FDF"/>
    <w:rsid w:val="00263A5D"/>
    <w:rsid w:val="002D269B"/>
    <w:rsid w:val="00387963"/>
    <w:rsid w:val="004C51C6"/>
    <w:rsid w:val="0050024C"/>
    <w:rsid w:val="00507990"/>
    <w:rsid w:val="006274E1"/>
    <w:rsid w:val="008324F9"/>
    <w:rsid w:val="00875F85"/>
    <w:rsid w:val="00A04D5C"/>
    <w:rsid w:val="00D247CF"/>
    <w:rsid w:val="00DB0C85"/>
    <w:rsid w:val="00DF09EA"/>
    <w:rsid w:val="00E54D36"/>
    <w:rsid w:val="00F132F1"/>
    <w:rsid w:val="00F61ADD"/>
    <w:rsid w:val="012A32CD"/>
    <w:rsid w:val="0132783D"/>
    <w:rsid w:val="014D4677"/>
    <w:rsid w:val="01722330"/>
    <w:rsid w:val="017E0CD4"/>
    <w:rsid w:val="02F76F90"/>
    <w:rsid w:val="02F94AB6"/>
    <w:rsid w:val="02FA25DD"/>
    <w:rsid w:val="03393105"/>
    <w:rsid w:val="03563CB7"/>
    <w:rsid w:val="03726617"/>
    <w:rsid w:val="0388408C"/>
    <w:rsid w:val="04001E75"/>
    <w:rsid w:val="041A22CB"/>
    <w:rsid w:val="04267B2D"/>
    <w:rsid w:val="04357D70"/>
    <w:rsid w:val="058C3E4F"/>
    <w:rsid w:val="0599432F"/>
    <w:rsid w:val="06190FCC"/>
    <w:rsid w:val="063D4CBA"/>
    <w:rsid w:val="067B3A34"/>
    <w:rsid w:val="06C278B5"/>
    <w:rsid w:val="07893F2F"/>
    <w:rsid w:val="07922589"/>
    <w:rsid w:val="082B5124"/>
    <w:rsid w:val="09670057"/>
    <w:rsid w:val="096D1D5A"/>
    <w:rsid w:val="098608AA"/>
    <w:rsid w:val="0A6A0048"/>
    <w:rsid w:val="0A9D666F"/>
    <w:rsid w:val="0AA25A34"/>
    <w:rsid w:val="0B0264D2"/>
    <w:rsid w:val="0B896BF3"/>
    <w:rsid w:val="0C1E558E"/>
    <w:rsid w:val="0C364685"/>
    <w:rsid w:val="0C413454"/>
    <w:rsid w:val="0C922B21"/>
    <w:rsid w:val="0E415563"/>
    <w:rsid w:val="0EDD34DE"/>
    <w:rsid w:val="0F423341"/>
    <w:rsid w:val="101D790A"/>
    <w:rsid w:val="106612B1"/>
    <w:rsid w:val="10DE52EC"/>
    <w:rsid w:val="10E70644"/>
    <w:rsid w:val="11BA18B5"/>
    <w:rsid w:val="12244F80"/>
    <w:rsid w:val="12696E37"/>
    <w:rsid w:val="130152C1"/>
    <w:rsid w:val="13633755"/>
    <w:rsid w:val="13F56BD4"/>
    <w:rsid w:val="14773A8D"/>
    <w:rsid w:val="14A625C4"/>
    <w:rsid w:val="14BD1E65"/>
    <w:rsid w:val="14C667C2"/>
    <w:rsid w:val="14E44445"/>
    <w:rsid w:val="15604521"/>
    <w:rsid w:val="15FB249C"/>
    <w:rsid w:val="16217050"/>
    <w:rsid w:val="169721C5"/>
    <w:rsid w:val="18A46E1B"/>
    <w:rsid w:val="18C9062F"/>
    <w:rsid w:val="18EB67F8"/>
    <w:rsid w:val="19324427"/>
    <w:rsid w:val="19341F4D"/>
    <w:rsid w:val="197C38F4"/>
    <w:rsid w:val="19CF2F48"/>
    <w:rsid w:val="1A310B82"/>
    <w:rsid w:val="1AF71484"/>
    <w:rsid w:val="1B0B3181"/>
    <w:rsid w:val="1B5A1A13"/>
    <w:rsid w:val="1BCF0653"/>
    <w:rsid w:val="1BFE6842"/>
    <w:rsid w:val="1CA23631"/>
    <w:rsid w:val="1CDF0421"/>
    <w:rsid w:val="1D6F5768"/>
    <w:rsid w:val="1D8F1E47"/>
    <w:rsid w:val="1EAB533B"/>
    <w:rsid w:val="1EEA2E11"/>
    <w:rsid w:val="1EF503D0"/>
    <w:rsid w:val="1F5844BB"/>
    <w:rsid w:val="1F8F25D3"/>
    <w:rsid w:val="1FB42039"/>
    <w:rsid w:val="1FC31A63"/>
    <w:rsid w:val="20855784"/>
    <w:rsid w:val="20B971DB"/>
    <w:rsid w:val="20F52909"/>
    <w:rsid w:val="21556F04"/>
    <w:rsid w:val="21CB18BC"/>
    <w:rsid w:val="226E3C76"/>
    <w:rsid w:val="22813D29"/>
    <w:rsid w:val="23531B69"/>
    <w:rsid w:val="23696C97"/>
    <w:rsid w:val="236D0130"/>
    <w:rsid w:val="23A1158C"/>
    <w:rsid w:val="23D031BA"/>
    <w:rsid w:val="23EB3B50"/>
    <w:rsid w:val="24572B1C"/>
    <w:rsid w:val="24D82326"/>
    <w:rsid w:val="25CF1565"/>
    <w:rsid w:val="26121868"/>
    <w:rsid w:val="262D66A1"/>
    <w:rsid w:val="263028DF"/>
    <w:rsid w:val="26FB67A0"/>
    <w:rsid w:val="26FE3B9A"/>
    <w:rsid w:val="275639D6"/>
    <w:rsid w:val="27673E35"/>
    <w:rsid w:val="278542BB"/>
    <w:rsid w:val="2786250D"/>
    <w:rsid w:val="27E17743"/>
    <w:rsid w:val="2835183D"/>
    <w:rsid w:val="2858552C"/>
    <w:rsid w:val="288C5108"/>
    <w:rsid w:val="28C17575"/>
    <w:rsid w:val="2A051665"/>
    <w:rsid w:val="2A375D41"/>
    <w:rsid w:val="2A443FBA"/>
    <w:rsid w:val="2AB56C65"/>
    <w:rsid w:val="2B312790"/>
    <w:rsid w:val="2B31385B"/>
    <w:rsid w:val="2B465B0F"/>
    <w:rsid w:val="2B8054C5"/>
    <w:rsid w:val="2BDB1717"/>
    <w:rsid w:val="2CC85EE2"/>
    <w:rsid w:val="2CF03F85"/>
    <w:rsid w:val="2D03015C"/>
    <w:rsid w:val="2D095047"/>
    <w:rsid w:val="2D263E4A"/>
    <w:rsid w:val="2DDB6812"/>
    <w:rsid w:val="2E4B103E"/>
    <w:rsid w:val="2E552C39"/>
    <w:rsid w:val="2EFC1307"/>
    <w:rsid w:val="2FB052CF"/>
    <w:rsid w:val="2FCB3B4E"/>
    <w:rsid w:val="2FD91648"/>
    <w:rsid w:val="2FE37DD1"/>
    <w:rsid w:val="307D0225"/>
    <w:rsid w:val="3082583C"/>
    <w:rsid w:val="31173D7B"/>
    <w:rsid w:val="312406A1"/>
    <w:rsid w:val="31AA6DF8"/>
    <w:rsid w:val="31D75713"/>
    <w:rsid w:val="32285F6F"/>
    <w:rsid w:val="32342B66"/>
    <w:rsid w:val="327B69E7"/>
    <w:rsid w:val="33542BE4"/>
    <w:rsid w:val="335A12F6"/>
    <w:rsid w:val="34471661"/>
    <w:rsid w:val="34742D2A"/>
    <w:rsid w:val="34853B4C"/>
    <w:rsid w:val="34DB595D"/>
    <w:rsid w:val="34E16FD5"/>
    <w:rsid w:val="351C2F84"/>
    <w:rsid w:val="35466E38"/>
    <w:rsid w:val="357A11D7"/>
    <w:rsid w:val="357A2F85"/>
    <w:rsid w:val="35E328D9"/>
    <w:rsid w:val="35EF5186"/>
    <w:rsid w:val="364D069A"/>
    <w:rsid w:val="36F823B4"/>
    <w:rsid w:val="37BC7885"/>
    <w:rsid w:val="39495149"/>
    <w:rsid w:val="396A0465"/>
    <w:rsid w:val="39BA7DF4"/>
    <w:rsid w:val="3A5E69D2"/>
    <w:rsid w:val="3A777A93"/>
    <w:rsid w:val="3AFF6407"/>
    <w:rsid w:val="3B2D4834"/>
    <w:rsid w:val="3BF515B8"/>
    <w:rsid w:val="3C44609B"/>
    <w:rsid w:val="3C5938F5"/>
    <w:rsid w:val="3CB94393"/>
    <w:rsid w:val="3CC4569D"/>
    <w:rsid w:val="3D3E2AEA"/>
    <w:rsid w:val="3E815302"/>
    <w:rsid w:val="3E9F580B"/>
    <w:rsid w:val="417D0085"/>
    <w:rsid w:val="43286D5E"/>
    <w:rsid w:val="43505326"/>
    <w:rsid w:val="43C27FD1"/>
    <w:rsid w:val="43EF0FE2"/>
    <w:rsid w:val="43FA6E0D"/>
    <w:rsid w:val="44F16DA1"/>
    <w:rsid w:val="451A5BEB"/>
    <w:rsid w:val="452B604A"/>
    <w:rsid w:val="45992CD0"/>
    <w:rsid w:val="46902609"/>
    <w:rsid w:val="46D5626E"/>
    <w:rsid w:val="46DB43B4"/>
    <w:rsid w:val="46EE04C6"/>
    <w:rsid w:val="471A1ED2"/>
    <w:rsid w:val="47484C91"/>
    <w:rsid w:val="47F03878"/>
    <w:rsid w:val="4860600B"/>
    <w:rsid w:val="48F84495"/>
    <w:rsid w:val="48F86243"/>
    <w:rsid w:val="49172B6D"/>
    <w:rsid w:val="49BE123B"/>
    <w:rsid w:val="49CA5E32"/>
    <w:rsid w:val="49EA2030"/>
    <w:rsid w:val="4A677B24"/>
    <w:rsid w:val="4A8F4985"/>
    <w:rsid w:val="4B6776B0"/>
    <w:rsid w:val="4BB072A9"/>
    <w:rsid w:val="4BE17463"/>
    <w:rsid w:val="4C0C6FAA"/>
    <w:rsid w:val="4C2061DD"/>
    <w:rsid w:val="4C8F6638"/>
    <w:rsid w:val="4CAC181F"/>
    <w:rsid w:val="4CFD02CC"/>
    <w:rsid w:val="4D5A571F"/>
    <w:rsid w:val="4D866514"/>
    <w:rsid w:val="4F50502B"/>
    <w:rsid w:val="4FE37C4D"/>
    <w:rsid w:val="4FF77255"/>
    <w:rsid w:val="50770396"/>
    <w:rsid w:val="50F96FFC"/>
    <w:rsid w:val="51752B27"/>
    <w:rsid w:val="517F5754"/>
    <w:rsid w:val="51AC0513"/>
    <w:rsid w:val="530F0D59"/>
    <w:rsid w:val="53DC50DF"/>
    <w:rsid w:val="54F975CB"/>
    <w:rsid w:val="55197C6D"/>
    <w:rsid w:val="5536081F"/>
    <w:rsid w:val="55376345"/>
    <w:rsid w:val="554E3DBB"/>
    <w:rsid w:val="5563713A"/>
    <w:rsid w:val="556C2493"/>
    <w:rsid w:val="566869F0"/>
    <w:rsid w:val="56707D61"/>
    <w:rsid w:val="56C113D0"/>
    <w:rsid w:val="586456A3"/>
    <w:rsid w:val="5898359F"/>
    <w:rsid w:val="58DA5965"/>
    <w:rsid w:val="595079D6"/>
    <w:rsid w:val="596B480F"/>
    <w:rsid w:val="59D7376F"/>
    <w:rsid w:val="5ADD34EB"/>
    <w:rsid w:val="5B433C96"/>
    <w:rsid w:val="5B8075D9"/>
    <w:rsid w:val="5B841BB9"/>
    <w:rsid w:val="5BD26DC8"/>
    <w:rsid w:val="5C0F2BFF"/>
    <w:rsid w:val="5C6A0DAE"/>
    <w:rsid w:val="5CA00C74"/>
    <w:rsid w:val="5CF54B1C"/>
    <w:rsid w:val="5D064F7B"/>
    <w:rsid w:val="5D944335"/>
    <w:rsid w:val="5E7D126D"/>
    <w:rsid w:val="5F49329F"/>
    <w:rsid w:val="5FC01AAC"/>
    <w:rsid w:val="606F1089"/>
    <w:rsid w:val="60CA62C0"/>
    <w:rsid w:val="60D158A0"/>
    <w:rsid w:val="61363955"/>
    <w:rsid w:val="61647314"/>
    <w:rsid w:val="61665FE8"/>
    <w:rsid w:val="617D3332"/>
    <w:rsid w:val="62347E94"/>
    <w:rsid w:val="626D33A6"/>
    <w:rsid w:val="627B5AC3"/>
    <w:rsid w:val="63332842"/>
    <w:rsid w:val="6484113A"/>
    <w:rsid w:val="64E8280A"/>
    <w:rsid w:val="64F8789F"/>
    <w:rsid w:val="651346D9"/>
    <w:rsid w:val="65DE078B"/>
    <w:rsid w:val="66B27F22"/>
    <w:rsid w:val="674F4655"/>
    <w:rsid w:val="683A01CF"/>
    <w:rsid w:val="68797B2C"/>
    <w:rsid w:val="68FE11FC"/>
    <w:rsid w:val="6922313D"/>
    <w:rsid w:val="69765236"/>
    <w:rsid w:val="697B45FB"/>
    <w:rsid w:val="697F233D"/>
    <w:rsid w:val="69A43B52"/>
    <w:rsid w:val="69F529B5"/>
    <w:rsid w:val="6B4E646B"/>
    <w:rsid w:val="6B6712DB"/>
    <w:rsid w:val="6B746B6E"/>
    <w:rsid w:val="6BBE4C73"/>
    <w:rsid w:val="6BEB21DB"/>
    <w:rsid w:val="6C580C23"/>
    <w:rsid w:val="6CE626D3"/>
    <w:rsid w:val="6D536D97"/>
    <w:rsid w:val="6D7B106D"/>
    <w:rsid w:val="6EB72579"/>
    <w:rsid w:val="6EE36ECA"/>
    <w:rsid w:val="6F977CB5"/>
    <w:rsid w:val="6FC63B13"/>
    <w:rsid w:val="6FE86762"/>
    <w:rsid w:val="70D70CB1"/>
    <w:rsid w:val="71632544"/>
    <w:rsid w:val="72C37989"/>
    <w:rsid w:val="73045661"/>
    <w:rsid w:val="7329156C"/>
    <w:rsid w:val="736D76AA"/>
    <w:rsid w:val="73922C6D"/>
    <w:rsid w:val="74512B28"/>
    <w:rsid w:val="74AA2238"/>
    <w:rsid w:val="7510653F"/>
    <w:rsid w:val="7530340E"/>
    <w:rsid w:val="757840E4"/>
    <w:rsid w:val="759068E8"/>
    <w:rsid w:val="769D02A6"/>
    <w:rsid w:val="76EB7264"/>
    <w:rsid w:val="775D17E4"/>
    <w:rsid w:val="77A30EF1"/>
    <w:rsid w:val="77C0656F"/>
    <w:rsid w:val="77D93560"/>
    <w:rsid w:val="77E31CE9"/>
    <w:rsid w:val="77FA7033"/>
    <w:rsid w:val="78655EF6"/>
    <w:rsid w:val="787E1A12"/>
    <w:rsid w:val="788812D2"/>
    <w:rsid w:val="79134850"/>
    <w:rsid w:val="7A1A1C0E"/>
    <w:rsid w:val="7A4647B1"/>
    <w:rsid w:val="7BA619AB"/>
    <w:rsid w:val="7C0D0687"/>
    <w:rsid w:val="7C623E0B"/>
    <w:rsid w:val="7C7D684C"/>
    <w:rsid w:val="7CC876FF"/>
    <w:rsid w:val="7CE81B50"/>
    <w:rsid w:val="7D3134F6"/>
    <w:rsid w:val="7D384885"/>
    <w:rsid w:val="7D847ACA"/>
    <w:rsid w:val="7D902913"/>
    <w:rsid w:val="7E696CC0"/>
    <w:rsid w:val="7EBC14E6"/>
    <w:rsid w:val="7ED06D3F"/>
    <w:rsid w:val="7F673200"/>
    <w:rsid w:val="7F79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"/>
    <w:basedOn w:val="1"/>
    <w:next w:val="5"/>
    <w:qFormat/>
    <w:uiPriority w:val="1"/>
    <w:rPr>
      <w:sz w:val="58"/>
      <w:szCs w:val="58"/>
    </w:rPr>
  </w:style>
  <w:style w:type="paragraph" w:styleId="5">
    <w:name w:val="Title"/>
    <w:basedOn w:val="1"/>
    <w:next w:val="1"/>
    <w:qFormat/>
    <w:uiPriority w:val="0"/>
    <w:pPr>
      <w:spacing w:line="240" w:lineRule="atLeast"/>
      <w:jc w:val="center"/>
      <w:textAlignment w:val="baseline"/>
    </w:pPr>
    <w:rPr>
      <w:rFonts w:ascii="Arial" w:hAnsi="Arial" w:eastAsia="黑体" w:cs="Times New Roman"/>
      <w:sz w:val="52"/>
      <w:szCs w:val="24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toc 2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  <w:szCs w:val="24"/>
    </w:rPr>
  </w:style>
  <w:style w:type="character" w:customStyle="1" w:styleId="12">
    <w:name w:val="页眉 Char"/>
    <w:basedOn w:val="11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1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11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正文-公1"/>
    <w:basedOn w:val="1"/>
    <w:qFormat/>
    <w:uiPriority w:val="99"/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1197</Words>
  <Characters>1266</Characters>
  <Lines>4</Lines>
  <Paragraphs>1</Paragraphs>
  <TotalTime>0</TotalTime>
  <ScaleCrop>false</ScaleCrop>
  <LinksUpToDate>false</LinksUpToDate>
  <CharactersWithSpaces>1266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2022-04-08T06:59:00Z</dcterms:created>
  <dc:creator>李晓蕾</dc:creator>
  <cp:lastModifiedBy>微风落</cp:lastModifiedBy>
  <dcterms:modified xsi:type="dcterms:W3CDTF">2023-10-31T08:45:38Z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F3C86427645B49BFAD21D495788679DA_12</vt:lpwstr>
  </property>
</Properties>
</file>