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Cs/>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0"/>
          <w:szCs w:val="40"/>
        </w:rPr>
      </w:pPr>
      <w:r>
        <w:rPr>
          <w:rFonts w:eastAsia="方正小标宋简体"/>
          <w:sz w:val="40"/>
          <w:szCs w:val="40"/>
        </w:rPr>
        <w:t>20</w:t>
      </w:r>
      <w:r>
        <w:rPr>
          <w:rFonts w:hint="eastAsia" w:eastAsia="方正小标宋简体"/>
          <w:sz w:val="40"/>
          <w:szCs w:val="40"/>
        </w:rPr>
        <w:t>2</w:t>
      </w:r>
      <w:r>
        <w:rPr>
          <w:rFonts w:hint="eastAsia" w:eastAsia="方正小标宋简体"/>
          <w:sz w:val="40"/>
          <w:szCs w:val="40"/>
          <w:lang w:val="en-US" w:eastAsia="zh-CN"/>
        </w:rPr>
        <w:t>2</w:t>
      </w:r>
      <w:r>
        <w:rPr>
          <w:rFonts w:eastAsia="方正小标宋简体"/>
          <w:sz w:val="40"/>
          <w:szCs w:val="40"/>
        </w:rPr>
        <w:t>年</w:t>
      </w:r>
      <w:r>
        <w:rPr>
          <w:rFonts w:hint="eastAsia" w:eastAsia="方正小标宋简体"/>
          <w:sz w:val="40"/>
          <w:szCs w:val="40"/>
        </w:rPr>
        <w:t>江门市市场监督管理局财政专项资金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0"/>
          <w:szCs w:val="40"/>
        </w:rPr>
      </w:pPr>
      <w:r>
        <w:rPr>
          <w:rFonts w:hint="eastAsia" w:eastAsia="方正小标宋简体"/>
          <w:sz w:val="40"/>
          <w:szCs w:val="40"/>
        </w:rPr>
        <w:t>（药品监督管理专项经费）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r>
        <w:rPr>
          <w:rFonts w:eastAsia="方正小标宋简体"/>
          <w:sz w:val="40"/>
          <w:szCs w:val="40"/>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sz w:val="28"/>
          <w:szCs w:val="28"/>
        </w:rPr>
      </w:pPr>
      <w:r>
        <w:rPr>
          <w:rFonts w:eastAsia="仿宋_GB2312"/>
          <w:sz w:val="32"/>
          <w:szCs w:val="32"/>
        </w:rPr>
        <w:t>填报日期：20</w:t>
      </w:r>
      <w:r>
        <w:rPr>
          <w:rFonts w:hint="eastAsia" w:eastAsia="仿宋_GB2312"/>
          <w:sz w:val="32"/>
          <w:szCs w:val="32"/>
        </w:rPr>
        <w:t>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rPr>
        <w:t>4</w:t>
      </w:r>
      <w:r>
        <w:rPr>
          <w:rFonts w:eastAsia="仿宋_GB2312"/>
          <w:sz w:val="32"/>
          <w:szCs w:val="32"/>
        </w:rPr>
        <w:t>月</w:t>
      </w:r>
      <w:r>
        <w:rPr>
          <w:rFonts w:hint="eastAsia" w:eastAsia="仿宋_GB2312"/>
          <w:sz w:val="32"/>
          <w:szCs w:val="32"/>
          <w:lang w:val="en-US" w:eastAsia="zh-CN"/>
        </w:rPr>
        <w:t>6</w:t>
      </w:r>
      <w:r>
        <w:rPr>
          <w:rFonts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52"/>
          <w:szCs w:val="52"/>
        </w:rPr>
        <w:sectPr>
          <w:head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0" w:name="_Toc2157_WPSOffice_Level1"/>
      <w:r>
        <w:rPr>
          <w:rFonts w:hint="eastAsia" w:ascii="黑体" w:hAnsi="黑体" w:eastAsia="黑体" w:cs="黑体"/>
          <w:b w:val="0"/>
          <w:bCs/>
          <w:sz w:val="32"/>
          <w:szCs w:val="32"/>
          <w:lang w:bidi="ar"/>
        </w:rPr>
        <w:t>一、项目基本情况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sz w:val="32"/>
          <w:szCs w:val="32"/>
        </w:rPr>
      </w:pPr>
      <w:bookmarkStart w:id="1" w:name="_Toc11860_WPSOffice_Level2"/>
      <w:r>
        <w:rPr>
          <w:rFonts w:hint="eastAsia" w:ascii="楷体_GB2312" w:hAnsi="楷体_GB2312" w:eastAsia="楷体_GB2312" w:cs="楷体_GB2312"/>
          <w:b/>
          <w:sz w:val="32"/>
          <w:szCs w:val="32"/>
        </w:rPr>
        <w:t>（一）单位简要情况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江门市市场监督管理局是主管全市市场监督管理、知识产权工作的职能部门。主要职能：</w:t>
      </w:r>
      <w:r>
        <w:rPr>
          <w:rFonts w:hint="eastAsia" w:ascii="仿宋_GB2312" w:hAnsi="Calibri" w:eastAsia="仿宋_GB2312" w:cs="仿宋_GB2312"/>
          <w:b/>
          <w:sz w:val="32"/>
          <w:szCs w:val="32"/>
          <w:lang w:eastAsia="zh-CN" w:bidi="ar"/>
        </w:rPr>
        <w:t>一是</w:t>
      </w:r>
      <w:r>
        <w:rPr>
          <w:rFonts w:hint="eastAsia" w:ascii="仿宋_GB2312" w:hAnsi="Calibri" w:eastAsia="仿宋_GB2312" w:cs="仿宋_GB2312"/>
          <w:sz w:val="32"/>
          <w:szCs w:val="32"/>
          <w:lang w:bidi="ar"/>
        </w:rPr>
        <w:t>负责市场综合监督管理和知识产权管理；</w:t>
      </w:r>
      <w:r>
        <w:rPr>
          <w:rFonts w:hint="eastAsia" w:ascii="仿宋_GB2312" w:hAnsi="Calibri" w:eastAsia="仿宋_GB2312" w:cs="仿宋_GB2312"/>
          <w:b/>
          <w:sz w:val="32"/>
          <w:szCs w:val="32"/>
          <w:lang w:eastAsia="zh-CN" w:bidi="ar"/>
        </w:rPr>
        <w:t>二是</w:t>
      </w:r>
      <w:r>
        <w:rPr>
          <w:rFonts w:hint="eastAsia" w:ascii="仿宋_GB2312" w:hAnsi="Calibri" w:eastAsia="仿宋_GB2312" w:cs="仿宋_GB2312"/>
          <w:sz w:val="32"/>
          <w:szCs w:val="32"/>
          <w:lang w:bidi="ar"/>
        </w:rPr>
        <w:t>负责市场主体统一登记注册；</w:t>
      </w:r>
      <w:r>
        <w:rPr>
          <w:rFonts w:hint="eastAsia" w:ascii="仿宋_GB2312" w:hAnsi="Calibri" w:eastAsia="仿宋_GB2312" w:cs="仿宋_GB2312"/>
          <w:b/>
          <w:sz w:val="32"/>
          <w:szCs w:val="32"/>
          <w:lang w:eastAsia="zh-CN" w:bidi="ar"/>
        </w:rPr>
        <w:t>三是</w:t>
      </w:r>
      <w:r>
        <w:rPr>
          <w:rFonts w:hint="eastAsia" w:ascii="仿宋_GB2312" w:hAnsi="Calibri" w:eastAsia="仿宋_GB2312" w:cs="仿宋_GB2312"/>
          <w:sz w:val="32"/>
          <w:szCs w:val="32"/>
          <w:lang w:bidi="ar"/>
        </w:rPr>
        <w:t>负责组织和指导市场监督管理和知识产权综合执法工作；</w:t>
      </w:r>
      <w:r>
        <w:rPr>
          <w:rFonts w:hint="eastAsia" w:ascii="仿宋_GB2312" w:hAnsi="Calibri" w:eastAsia="仿宋_GB2312" w:cs="仿宋_GB2312"/>
          <w:b/>
          <w:sz w:val="32"/>
          <w:szCs w:val="32"/>
          <w:lang w:eastAsia="zh-CN" w:bidi="ar"/>
        </w:rPr>
        <w:t>四是</w:t>
      </w:r>
      <w:r>
        <w:rPr>
          <w:rFonts w:hint="eastAsia" w:ascii="仿宋_GB2312" w:hAnsi="Calibri" w:eastAsia="仿宋_GB2312" w:cs="仿宋_GB2312"/>
          <w:sz w:val="32"/>
          <w:szCs w:val="32"/>
          <w:lang w:bidi="ar"/>
        </w:rPr>
        <w:t>负责监督管理市场秩序；</w:t>
      </w:r>
      <w:r>
        <w:rPr>
          <w:rFonts w:hint="eastAsia" w:ascii="仿宋_GB2312" w:hAnsi="Calibri" w:eastAsia="仿宋_GB2312" w:cs="仿宋_GB2312"/>
          <w:b/>
          <w:sz w:val="32"/>
          <w:szCs w:val="32"/>
          <w:lang w:eastAsia="zh-CN" w:bidi="ar"/>
        </w:rPr>
        <w:t>五是</w:t>
      </w:r>
      <w:r>
        <w:rPr>
          <w:rFonts w:hint="eastAsia" w:ascii="仿宋_GB2312" w:hAnsi="Calibri" w:eastAsia="仿宋_GB2312" w:cs="仿宋_GB2312"/>
          <w:sz w:val="32"/>
          <w:szCs w:val="32"/>
          <w:lang w:bidi="ar"/>
        </w:rPr>
        <w:t>负责统一管理标准化工作；</w:t>
      </w:r>
      <w:r>
        <w:rPr>
          <w:rFonts w:hint="eastAsia" w:ascii="仿宋_GB2312" w:hAnsi="Calibri" w:eastAsia="仿宋_GB2312" w:cs="仿宋_GB2312"/>
          <w:b/>
          <w:sz w:val="32"/>
          <w:szCs w:val="32"/>
          <w:lang w:eastAsia="zh-CN" w:bidi="ar"/>
        </w:rPr>
        <w:t>六是</w:t>
      </w:r>
      <w:r>
        <w:rPr>
          <w:rFonts w:hint="eastAsia" w:ascii="仿宋_GB2312" w:hAnsi="Calibri" w:eastAsia="仿宋_GB2312" w:cs="仿宋_GB2312"/>
          <w:sz w:val="32"/>
          <w:szCs w:val="32"/>
          <w:lang w:bidi="ar"/>
        </w:rPr>
        <w:t>负责促进知识产权运用；</w:t>
      </w:r>
      <w:r>
        <w:rPr>
          <w:rFonts w:hint="eastAsia" w:ascii="仿宋_GB2312" w:hAnsi="Calibri" w:eastAsia="仿宋_GB2312" w:cs="仿宋_GB2312"/>
          <w:b/>
          <w:sz w:val="32"/>
          <w:szCs w:val="32"/>
          <w:lang w:eastAsia="zh-CN" w:bidi="ar"/>
        </w:rPr>
        <w:t>七是</w:t>
      </w:r>
      <w:r>
        <w:rPr>
          <w:rFonts w:hint="eastAsia" w:ascii="仿宋_GB2312" w:hAnsi="Calibri" w:eastAsia="仿宋_GB2312" w:cs="仿宋_GB2312"/>
          <w:sz w:val="32"/>
          <w:szCs w:val="32"/>
          <w:lang w:bidi="ar"/>
        </w:rPr>
        <w:t>负责保护知识产权；</w:t>
      </w:r>
      <w:r>
        <w:rPr>
          <w:rFonts w:hint="eastAsia" w:ascii="仿宋_GB2312" w:hAnsi="Calibri" w:eastAsia="仿宋_GB2312" w:cs="仿宋_GB2312"/>
          <w:b/>
          <w:sz w:val="32"/>
          <w:szCs w:val="32"/>
          <w:lang w:eastAsia="zh-CN" w:bidi="ar"/>
        </w:rPr>
        <w:t>八是</w:t>
      </w:r>
      <w:r>
        <w:rPr>
          <w:rFonts w:hint="eastAsia" w:ascii="仿宋_GB2312" w:hAnsi="Calibri" w:eastAsia="仿宋_GB2312" w:cs="仿宋_GB2312"/>
          <w:sz w:val="32"/>
          <w:szCs w:val="32"/>
          <w:lang w:bidi="ar"/>
        </w:rPr>
        <w:t>负责宏观质量管理；</w:t>
      </w:r>
      <w:r>
        <w:rPr>
          <w:rFonts w:hint="eastAsia" w:ascii="仿宋_GB2312" w:hAnsi="Calibri" w:eastAsia="仿宋_GB2312" w:cs="仿宋_GB2312"/>
          <w:b/>
          <w:sz w:val="32"/>
          <w:szCs w:val="32"/>
          <w:lang w:eastAsia="zh-CN" w:bidi="ar"/>
        </w:rPr>
        <w:t>九是</w:t>
      </w:r>
      <w:r>
        <w:rPr>
          <w:rFonts w:hint="eastAsia" w:ascii="仿宋_GB2312" w:hAnsi="Calibri" w:eastAsia="仿宋_GB2312" w:cs="仿宋_GB2312"/>
          <w:sz w:val="32"/>
          <w:szCs w:val="32"/>
          <w:lang w:bidi="ar"/>
        </w:rPr>
        <w:t>负责产品质量安全监督管理；</w:t>
      </w:r>
      <w:r>
        <w:rPr>
          <w:rFonts w:hint="eastAsia" w:ascii="仿宋_GB2312" w:hAnsi="Calibri" w:eastAsia="仿宋_GB2312" w:cs="仿宋_GB2312"/>
          <w:b/>
          <w:sz w:val="32"/>
          <w:szCs w:val="32"/>
          <w:lang w:eastAsia="zh-CN" w:bidi="ar"/>
        </w:rPr>
        <w:t>十是</w:t>
      </w:r>
      <w:r>
        <w:rPr>
          <w:rFonts w:hint="eastAsia" w:ascii="仿宋_GB2312" w:hAnsi="Calibri" w:eastAsia="仿宋_GB2312" w:cs="仿宋_GB2312"/>
          <w:sz w:val="32"/>
          <w:szCs w:val="32"/>
          <w:lang w:bidi="ar"/>
        </w:rPr>
        <w:t>负责食品、药品等安全监督管理综合协调；</w:t>
      </w:r>
      <w:r>
        <w:rPr>
          <w:rFonts w:hint="eastAsia" w:ascii="仿宋_GB2312" w:hAnsi="Calibri" w:eastAsia="仿宋_GB2312" w:cs="仿宋_GB2312"/>
          <w:b/>
          <w:sz w:val="32"/>
          <w:szCs w:val="32"/>
          <w:lang w:eastAsia="zh-CN" w:bidi="ar"/>
        </w:rPr>
        <w:t>十一是</w:t>
      </w:r>
      <w:r>
        <w:rPr>
          <w:rFonts w:hint="eastAsia" w:ascii="仿宋_GB2312" w:hAnsi="Calibri" w:eastAsia="仿宋_GB2312" w:cs="仿宋_GB2312"/>
          <w:sz w:val="32"/>
          <w:szCs w:val="32"/>
          <w:lang w:bidi="ar"/>
        </w:rPr>
        <w:t>负责食品安全监督管理；</w:t>
      </w:r>
      <w:r>
        <w:rPr>
          <w:rFonts w:hint="eastAsia" w:ascii="仿宋_GB2312" w:hAnsi="Calibri" w:eastAsia="仿宋_GB2312" w:cs="仿宋_GB2312"/>
          <w:b/>
          <w:sz w:val="32"/>
          <w:szCs w:val="32"/>
          <w:lang w:eastAsia="zh-CN" w:bidi="ar"/>
        </w:rPr>
        <w:t>十二是</w:t>
      </w:r>
      <w:r>
        <w:rPr>
          <w:rFonts w:hint="eastAsia" w:ascii="仿宋_GB2312" w:hAnsi="Calibri" w:eastAsia="仿宋_GB2312" w:cs="仿宋_GB2312"/>
          <w:sz w:val="32"/>
          <w:szCs w:val="32"/>
          <w:lang w:bidi="ar"/>
        </w:rPr>
        <w:t>负责药品、医疗器械和化妆品安全监督管理、质量管理和监督检查；</w:t>
      </w:r>
      <w:r>
        <w:rPr>
          <w:rFonts w:hint="eastAsia" w:ascii="仿宋_GB2312" w:hAnsi="Calibri" w:eastAsia="仿宋_GB2312" w:cs="仿宋_GB2312"/>
          <w:b/>
          <w:sz w:val="32"/>
          <w:szCs w:val="32"/>
          <w:lang w:eastAsia="zh-CN" w:bidi="ar"/>
        </w:rPr>
        <w:t>十三是</w:t>
      </w:r>
      <w:r>
        <w:rPr>
          <w:rFonts w:hint="eastAsia" w:ascii="仿宋_GB2312" w:hAnsi="Calibri" w:eastAsia="仿宋_GB2312" w:cs="仿宋_GB2312"/>
          <w:sz w:val="32"/>
          <w:szCs w:val="32"/>
          <w:lang w:bidi="ar"/>
        </w:rPr>
        <w:t>负责特种设备安全监督管理；</w:t>
      </w:r>
      <w:r>
        <w:rPr>
          <w:rFonts w:hint="eastAsia" w:ascii="仿宋_GB2312" w:hAnsi="Calibri" w:eastAsia="仿宋_GB2312" w:cs="仿宋_GB2312"/>
          <w:b/>
          <w:sz w:val="32"/>
          <w:szCs w:val="32"/>
          <w:lang w:eastAsia="zh-CN" w:bidi="ar"/>
        </w:rPr>
        <w:t>十四是</w:t>
      </w:r>
      <w:r>
        <w:rPr>
          <w:rFonts w:hint="eastAsia" w:ascii="仿宋_GB2312" w:hAnsi="Calibri" w:eastAsia="仿宋_GB2312" w:cs="仿宋_GB2312"/>
          <w:sz w:val="32"/>
          <w:szCs w:val="32"/>
          <w:lang w:bidi="ar"/>
        </w:rPr>
        <w:t>负责统一管理计量工作；</w:t>
      </w:r>
      <w:r>
        <w:rPr>
          <w:rFonts w:hint="eastAsia" w:ascii="仿宋_GB2312" w:hAnsi="Calibri" w:eastAsia="仿宋_GB2312" w:cs="仿宋_GB2312"/>
          <w:b/>
          <w:sz w:val="32"/>
          <w:szCs w:val="32"/>
          <w:lang w:eastAsia="zh-CN" w:bidi="ar"/>
        </w:rPr>
        <w:t>十五是</w:t>
      </w:r>
      <w:r>
        <w:rPr>
          <w:rFonts w:hint="eastAsia" w:ascii="仿宋_GB2312" w:hAnsi="Calibri" w:eastAsia="仿宋_GB2312" w:cs="仿宋_GB2312"/>
          <w:sz w:val="32"/>
          <w:szCs w:val="32"/>
          <w:lang w:bidi="ar"/>
        </w:rPr>
        <w:t>负责监督管理认证认可与检验检测工作；</w:t>
      </w:r>
      <w:r>
        <w:rPr>
          <w:rFonts w:hint="eastAsia" w:ascii="仿宋_GB2312" w:hAnsi="Calibri" w:eastAsia="仿宋_GB2312" w:cs="仿宋_GB2312"/>
          <w:b/>
          <w:sz w:val="32"/>
          <w:szCs w:val="32"/>
          <w:lang w:eastAsia="zh-CN" w:bidi="ar"/>
        </w:rPr>
        <w:t>十六是</w:t>
      </w:r>
      <w:r>
        <w:rPr>
          <w:rFonts w:hint="eastAsia" w:ascii="仿宋_GB2312" w:hAnsi="Calibri" w:eastAsia="仿宋_GB2312" w:cs="仿宋_GB2312"/>
          <w:sz w:val="32"/>
          <w:szCs w:val="32"/>
          <w:lang w:bidi="ar"/>
        </w:rPr>
        <w:t>负责市场监督管理、知识产权领域的科技和信息化建设、新闻宣传、交流与合作；</w:t>
      </w:r>
      <w:r>
        <w:rPr>
          <w:rFonts w:hint="eastAsia" w:ascii="仿宋_GB2312" w:hAnsi="Calibri" w:eastAsia="仿宋_GB2312" w:cs="仿宋_GB2312"/>
          <w:b/>
          <w:sz w:val="32"/>
          <w:szCs w:val="32"/>
          <w:lang w:eastAsia="zh-CN" w:bidi="ar"/>
        </w:rPr>
        <w:t>十七是</w:t>
      </w:r>
      <w:r>
        <w:rPr>
          <w:rFonts w:hint="eastAsia" w:ascii="仿宋_GB2312" w:hAnsi="Calibri" w:eastAsia="仿宋_GB2312" w:cs="仿宋_GB2312"/>
          <w:sz w:val="32"/>
          <w:szCs w:val="32"/>
          <w:lang w:bidi="ar"/>
        </w:rPr>
        <w:t>完成市委、市政府和省市场监管局、省药品监管局交办的其他任务。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sz w:val="32"/>
          <w:szCs w:val="32"/>
        </w:rPr>
      </w:pPr>
      <w:bookmarkStart w:id="2" w:name="_Toc23639_WPSOffice_Level2"/>
      <w:r>
        <w:rPr>
          <w:rFonts w:hint="eastAsia" w:ascii="楷体_GB2312" w:hAnsi="楷体_GB2312" w:eastAsia="楷体_GB2312" w:cs="楷体_GB2312"/>
          <w:b/>
          <w:sz w:val="32"/>
          <w:szCs w:val="32"/>
        </w:rPr>
        <w:t>（二）</w:t>
      </w:r>
      <w:bookmarkEnd w:id="2"/>
      <w:bookmarkStart w:id="3" w:name="_Toc32519_WPSOffice_Level2"/>
      <w:r>
        <w:rPr>
          <w:rFonts w:hint="eastAsia" w:ascii="楷体_GB2312" w:hAnsi="楷体_GB2312" w:eastAsia="楷体_GB2312" w:cs="楷体_GB2312"/>
          <w:b/>
          <w:sz w:val="32"/>
          <w:szCs w:val="32"/>
        </w:rPr>
        <w:t>专项</w:t>
      </w:r>
      <w:r>
        <w:rPr>
          <w:rFonts w:hint="eastAsia" w:ascii="楷体_GB2312" w:hAnsi="楷体_GB2312" w:eastAsia="楷体_GB2312" w:cs="楷体_GB2312"/>
          <w:b/>
          <w:sz w:val="32"/>
          <w:szCs w:val="32"/>
          <w:lang w:eastAsia="zh-CN"/>
        </w:rPr>
        <w:t>经费</w:t>
      </w:r>
      <w:r>
        <w:rPr>
          <w:rFonts w:hint="eastAsia" w:ascii="楷体_GB2312" w:hAnsi="楷体_GB2312" w:eastAsia="楷体_GB2312" w:cs="楷体_GB2312"/>
          <w:b/>
          <w:sz w:val="32"/>
          <w:szCs w:val="32"/>
        </w:rPr>
        <w:t>基本情况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年药品监督管理专项经费年初预算数为</w:t>
      </w:r>
      <w:r>
        <w:rPr>
          <w:rFonts w:hint="eastAsia" w:eastAsia="仿宋_GB2312" w:cs="Times New Roman"/>
          <w:color w:val="auto"/>
          <w:sz w:val="32"/>
          <w:szCs w:val="32"/>
          <w:lang w:val="en-US" w:eastAsia="zh-CN"/>
        </w:rPr>
        <w:t>723</w:t>
      </w:r>
      <w:r>
        <w:rPr>
          <w:rFonts w:hint="default" w:ascii="Times New Roman" w:hAnsi="Times New Roman" w:eastAsia="仿宋_GB2312" w:cs="Times New Roman"/>
          <w:color w:val="auto"/>
          <w:sz w:val="32"/>
          <w:szCs w:val="32"/>
        </w:rPr>
        <w:t>万元，决算数为</w:t>
      </w:r>
      <w:r>
        <w:rPr>
          <w:rFonts w:hint="eastAsia" w:eastAsia="仿宋_GB2312" w:cs="Times New Roman"/>
          <w:color w:val="auto"/>
          <w:sz w:val="32"/>
          <w:szCs w:val="32"/>
          <w:lang w:val="en-US" w:eastAsia="zh-CN"/>
        </w:rPr>
        <w:t>529.64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sz w:val="32"/>
          <w:szCs w:val="32"/>
        </w:rPr>
        <w:t>该</w:t>
      </w:r>
      <w:r>
        <w:rPr>
          <w:rFonts w:hint="eastAsia" w:eastAsia="仿宋_GB2312" w:cs="Times New Roman"/>
          <w:sz w:val="32"/>
          <w:szCs w:val="32"/>
          <w:lang w:eastAsia="zh-CN"/>
        </w:rPr>
        <w:t>经费</w:t>
      </w:r>
      <w:r>
        <w:rPr>
          <w:rFonts w:hint="default" w:ascii="Times New Roman" w:hAnsi="Times New Roman" w:eastAsia="仿宋_GB2312" w:cs="Times New Roman"/>
          <w:sz w:val="32"/>
          <w:szCs w:val="32"/>
        </w:rPr>
        <w:t>主要用于医用防疫物资抽检、药械应急演练、化妆品检验、药械安全性监测哨点医院建设、药械安全监测、药检专用设备购置、实验室环境维护和建设、实验室资质认定、药品检验、化妆品检验、医疗器械检验等方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sz w:val="32"/>
          <w:szCs w:val="32"/>
        </w:rPr>
      </w:pPr>
      <w:bookmarkStart w:id="4" w:name="_Toc20219_WPSOffice_Level2"/>
      <w:r>
        <w:rPr>
          <w:rFonts w:hint="eastAsia" w:ascii="楷体_GB2312" w:hAnsi="楷体_GB2312" w:eastAsia="楷体_GB2312" w:cs="楷体_GB2312"/>
          <w:b/>
          <w:sz w:val="32"/>
          <w:szCs w:val="32"/>
        </w:rPr>
        <w:t>（三）专项</w:t>
      </w:r>
      <w:r>
        <w:rPr>
          <w:rFonts w:hint="eastAsia" w:ascii="楷体_GB2312" w:hAnsi="楷体_GB2312" w:eastAsia="楷体_GB2312" w:cs="楷体_GB2312"/>
          <w:b/>
          <w:sz w:val="32"/>
          <w:szCs w:val="32"/>
          <w:lang w:eastAsia="zh-CN"/>
        </w:rPr>
        <w:t>经费</w:t>
      </w:r>
      <w:r>
        <w:rPr>
          <w:rFonts w:hint="eastAsia" w:ascii="楷体_GB2312" w:hAnsi="楷体_GB2312" w:eastAsia="楷体_GB2312" w:cs="楷体_GB2312"/>
          <w:b/>
          <w:sz w:val="32"/>
          <w:szCs w:val="32"/>
        </w:rPr>
        <w:t>绩效目标</w:t>
      </w:r>
      <w:bookmarkEnd w:id="4"/>
    </w:p>
    <w:p>
      <w:pPr>
        <w:ind w:firstLine="642" w:firstLineChars="200"/>
        <w:outlineLvl w:val="0"/>
        <w:rPr>
          <w:rFonts w:hint="eastAsia" w:ascii="仿宋_GB2312" w:hAnsi="Calibri" w:eastAsia="仿宋_GB2312" w:cs="仿宋_GB2312"/>
          <w:sz w:val="32"/>
          <w:szCs w:val="32"/>
          <w:highlight w:val="none"/>
          <w:lang w:eastAsia="zh-CN" w:bidi="ar"/>
        </w:rPr>
      </w:pPr>
      <w:bookmarkStart w:id="5" w:name="_Toc11860_WPSOffice_Level1"/>
      <w:r>
        <w:rPr>
          <w:rFonts w:hint="eastAsia" w:ascii="仿宋_GB2312" w:hAnsi="Calibri" w:eastAsia="仿宋_GB2312" w:cs="仿宋_GB2312"/>
          <w:b/>
          <w:bCs/>
          <w:sz w:val="32"/>
          <w:szCs w:val="32"/>
          <w:highlight w:val="none"/>
          <w:lang w:eastAsia="zh-CN" w:bidi="ar"/>
        </w:rPr>
        <w:t>一是</w:t>
      </w:r>
      <w:r>
        <w:rPr>
          <w:rFonts w:hint="eastAsia" w:ascii="仿宋_GB2312" w:hAnsi="Calibri" w:eastAsia="仿宋_GB2312" w:cs="仿宋_GB2312"/>
          <w:sz w:val="32"/>
          <w:szCs w:val="32"/>
          <w:highlight w:val="none"/>
          <w:lang w:eastAsia="zh-CN" w:bidi="ar"/>
        </w:rPr>
        <w:t>争取2022年度药品安全考核获得B级或以上；</w:t>
      </w:r>
      <w:r>
        <w:rPr>
          <w:rFonts w:hint="eastAsia" w:ascii="仿宋_GB2312" w:hAnsi="Calibri" w:eastAsia="仿宋_GB2312" w:cs="仿宋_GB2312"/>
          <w:b/>
          <w:bCs/>
          <w:sz w:val="32"/>
          <w:szCs w:val="32"/>
          <w:highlight w:val="none"/>
          <w:lang w:eastAsia="zh-CN" w:bidi="ar"/>
        </w:rPr>
        <w:t>二是</w:t>
      </w:r>
      <w:r>
        <w:rPr>
          <w:rFonts w:hint="eastAsia" w:ascii="仿宋_GB2312" w:hAnsi="Calibri" w:eastAsia="仿宋_GB2312" w:cs="仿宋_GB2312"/>
          <w:sz w:val="32"/>
          <w:szCs w:val="32"/>
          <w:highlight w:val="none"/>
          <w:lang w:eastAsia="zh-CN" w:bidi="ar"/>
        </w:rPr>
        <w:t>加强检验检测机构能力建设，提升药品检验能力；</w:t>
      </w:r>
      <w:r>
        <w:rPr>
          <w:rFonts w:hint="eastAsia" w:ascii="仿宋_GB2312" w:hAnsi="Calibri" w:eastAsia="仿宋_GB2312" w:cs="仿宋_GB2312"/>
          <w:b/>
          <w:bCs/>
          <w:sz w:val="32"/>
          <w:szCs w:val="32"/>
          <w:highlight w:val="none"/>
          <w:lang w:eastAsia="zh-CN" w:bidi="ar"/>
        </w:rPr>
        <w:t>三是</w:t>
      </w:r>
      <w:r>
        <w:rPr>
          <w:rFonts w:hint="eastAsia" w:ascii="仿宋_GB2312" w:hAnsi="Calibri" w:eastAsia="仿宋_GB2312" w:cs="仿宋_GB2312"/>
          <w:sz w:val="32"/>
          <w:szCs w:val="32"/>
          <w:highlight w:val="none"/>
          <w:lang w:eastAsia="zh-CN" w:bidi="ar"/>
        </w:rPr>
        <w:t>加强药品安全监管，完成药品、医疗器械、化妆品各项抽检、快检、随检任务，保障我市用药安全；</w:t>
      </w:r>
      <w:r>
        <w:rPr>
          <w:rFonts w:hint="eastAsia" w:ascii="仿宋_GB2312" w:hAnsi="Calibri" w:eastAsia="仿宋_GB2312" w:cs="仿宋_GB2312"/>
          <w:b/>
          <w:bCs/>
          <w:sz w:val="32"/>
          <w:szCs w:val="32"/>
          <w:highlight w:val="none"/>
          <w:lang w:eastAsia="zh-CN" w:bidi="ar"/>
        </w:rPr>
        <w:t>四是</w:t>
      </w:r>
      <w:r>
        <w:rPr>
          <w:rFonts w:hint="eastAsia" w:ascii="仿宋_GB2312" w:hAnsi="Calibri" w:eastAsia="仿宋_GB2312" w:cs="仿宋_GB2312"/>
          <w:sz w:val="32"/>
          <w:szCs w:val="32"/>
          <w:highlight w:val="none"/>
          <w:lang w:eastAsia="zh-CN" w:bidi="ar"/>
        </w:rPr>
        <w:t>通过组织1次药品应急演练，提高预防和处置药械安全突发事件能力，有效防范较大以上药械安全事故发生；</w:t>
      </w:r>
      <w:r>
        <w:rPr>
          <w:rFonts w:hint="eastAsia" w:ascii="仿宋_GB2312" w:hAnsi="Calibri" w:eastAsia="仿宋_GB2312" w:cs="仿宋_GB2312"/>
          <w:b/>
          <w:bCs/>
          <w:sz w:val="32"/>
          <w:szCs w:val="32"/>
          <w:highlight w:val="none"/>
          <w:lang w:eastAsia="zh-CN" w:bidi="ar"/>
        </w:rPr>
        <w:t>五是</w:t>
      </w:r>
      <w:r>
        <w:rPr>
          <w:rFonts w:hint="eastAsia" w:ascii="仿宋_GB2312" w:hAnsi="Calibri" w:eastAsia="仿宋_GB2312" w:cs="仿宋_GB2312"/>
          <w:sz w:val="32"/>
          <w:szCs w:val="32"/>
          <w:highlight w:val="none"/>
          <w:lang w:eastAsia="zh-CN" w:bidi="ar"/>
        </w:rPr>
        <w:t>完成专项检查、飞行检查、双随机检查年度任务。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rPr>
      </w:pPr>
      <w:r>
        <w:rPr>
          <w:rFonts w:hint="eastAsia" w:ascii="黑体" w:hAnsi="黑体" w:eastAsia="黑体" w:cs="黑体"/>
          <w:b w:val="0"/>
          <w:bCs/>
          <w:sz w:val="32"/>
        </w:rPr>
        <w:t>二、</w:t>
      </w:r>
      <w:bookmarkEnd w:id="5"/>
      <w:bookmarkStart w:id="6" w:name="_Toc23639_WPSOffice_Level1"/>
      <w:r>
        <w:rPr>
          <w:rFonts w:hint="eastAsia" w:ascii="黑体" w:hAnsi="黑体" w:eastAsia="黑体" w:cs="黑体"/>
          <w:b w:val="0"/>
          <w:bCs/>
          <w:sz w:val="32"/>
        </w:rPr>
        <w:t>项目绩效情况</w:t>
      </w:r>
      <w:bookmarkEnd w:id="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sz w:val="32"/>
          <w:szCs w:val="32"/>
          <w:lang w:bidi="ar"/>
        </w:rPr>
      </w:pPr>
      <w:bookmarkStart w:id="7" w:name="_Toc9183_WPSOffice_Level2"/>
      <w:r>
        <w:rPr>
          <w:rFonts w:hint="eastAsia" w:ascii="楷体_GB2312" w:hAnsi="楷体_GB2312" w:eastAsia="楷体_GB2312" w:cs="楷体_GB2312"/>
          <w:b/>
          <w:sz w:val="32"/>
          <w:szCs w:val="32"/>
          <w:lang w:bidi="ar"/>
        </w:rPr>
        <w:t>（一）</w:t>
      </w:r>
      <w:bookmarkEnd w:id="7"/>
      <w:r>
        <w:rPr>
          <w:rFonts w:hint="eastAsia" w:ascii="楷体_GB2312" w:hAnsi="楷体_GB2312" w:eastAsia="楷体_GB2312" w:cs="楷体_GB2312"/>
          <w:b/>
          <w:sz w:val="32"/>
          <w:szCs w:val="32"/>
          <w:lang w:bidi="ar"/>
        </w:rPr>
        <w:t>自评分数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Calibri" w:eastAsia="仿宋_GB2312" w:cs="仿宋_GB2312"/>
          <w:sz w:val="32"/>
          <w:szCs w:val="32"/>
          <w:lang w:bidi="ar"/>
        </w:rPr>
      </w:pPr>
      <w:bookmarkStart w:id="8" w:name="_Toc20901_WPSOffice_Level2"/>
      <w:r>
        <w:rPr>
          <w:rFonts w:hint="default" w:ascii="仿宋_GB2312" w:hAnsi="Calibri" w:eastAsia="仿宋_GB2312" w:cs="仿宋_GB2312"/>
          <w:sz w:val="32"/>
          <w:szCs w:val="32"/>
          <w:lang w:bidi="ar"/>
        </w:rPr>
        <w:t>按照《江门市财政局关于开展2022年度市级财政资金绩效自评工作的通知》相关要求，</w:t>
      </w:r>
      <w:r>
        <w:rPr>
          <w:rFonts w:hint="eastAsia" w:ascii="仿宋_GB2312" w:hAnsi="Calibri" w:eastAsia="仿宋_GB2312" w:cs="仿宋_GB2312"/>
          <w:sz w:val="32"/>
          <w:szCs w:val="32"/>
          <w:lang w:eastAsia="zh-CN" w:bidi="ar"/>
        </w:rPr>
        <w:t>药品监督管理</w:t>
      </w:r>
      <w:r>
        <w:rPr>
          <w:rFonts w:hint="default" w:ascii="仿宋_GB2312" w:hAnsi="Calibri" w:eastAsia="仿宋_GB2312" w:cs="仿宋_GB2312"/>
          <w:sz w:val="32"/>
          <w:szCs w:val="32"/>
          <w:lang w:bidi="ar"/>
        </w:rPr>
        <w:t>专项的实施取得良好的效益。综合考量，本专项经费的自评得分为</w:t>
      </w:r>
      <w:r>
        <w:rPr>
          <w:rFonts w:hint="eastAsia" w:ascii="仿宋_GB2312" w:hAnsi="Calibri" w:eastAsia="仿宋_GB2312" w:cs="仿宋_GB2312"/>
          <w:sz w:val="32"/>
          <w:szCs w:val="32"/>
          <w:lang w:val="en-US" w:eastAsia="zh-CN" w:bidi="ar"/>
        </w:rPr>
        <w:t>99.46</w:t>
      </w:r>
      <w:r>
        <w:rPr>
          <w:rFonts w:hint="default" w:ascii="仿宋_GB2312" w:hAnsi="Calibri" w:eastAsia="仿宋_GB2312" w:cs="仿宋_GB2312"/>
          <w:sz w:val="32"/>
          <w:szCs w:val="32"/>
          <w:lang w:bidi="ar"/>
        </w:rPr>
        <w:t>分，绩效等级为优。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sz w:val="32"/>
          <w:szCs w:val="32"/>
          <w:lang w:bidi="ar"/>
        </w:rPr>
      </w:pPr>
      <w:r>
        <w:rPr>
          <w:rFonts w:hint="eastAsia" w:ascii="楷体_GB2312" w:hAnsi="楷体_GB2312" w:eastAsia="楷体_GB2312" w:cs="楷体_GB2312"/>
          <w:b/>
          <w:sz w:val="32"/>
          <w:szCs w:val="32"/>
          <w:lang w:bidi="ar"/>
        </w:rPr>
        <w:t>（二）绩效目标完成情况</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default" w:ascii="Times New Roman" w:hAnsi="Times New Roman" w:eastAsia="仿宋_GB2312" w:cs="Times New Roman"/>
          <w:color w:val="auto"/>
          <w:sz w:val="32"/>
          <w:szCs w:val="32"/>
          <w:highlight w:val="none"/>
          <w:lang w:bidi="ar"/>
        </w:rPr>
      </w:pPr>
      <w:r>
        <w:rPr>
          <w:rFonts w:hint="eastAsia" w:eastAsia="仿宋_GB2312" w:cs="Times New Roman"/>
          <w:b/>
          <w:sz w:val="32"/>
          <w:szCs w:val="32"/>
          <w:highlight w:val="none"/>
          <w:lang w:eastAsia="zh-CN" w:bidi="ar"/>
        </w:rPr>
        <w:t>一是</w:t>
      </w:r>
      <w:r>
        <w:rPr>
          <w:rFonts w:hint="eastAsia" w:ascii="仿宋_GB2312" w:hAnsi="Calibri" w:eastAsia="仿宋_GB2312" w:cs="仿宋_GB2312"/>
          <w:sz w:val="32"/>
          <w:szCs w:val="32"/>
          <w:highlight w:val="none"/>
          <w:lang w:eastAsia="zh-CN" w:bidi="ar"/>
        </w:rPr>
        <w:t>2022年度</w:t>
      </w:r>
      <w:r>
        <w:rPr>
          <w:rFonts w:hint="default" w:ascii="Times New Roman" w:hAnsi="Times New Roman" w:eastAsia="仿宋_GB2312" w:cs="Times New Roman"/>
          <w:sz w:val="32"/>
          <w:szCs w:val="32"/>
          <w:highlight w:val="none"/>
          <w:lang w:bidi="ar"/>
        </w:rPr>
        <w:t>药品安全考核获得A等次。</w:t>
      </w:r>
      <w:r>
        <w:rPr>
          <w:rFonts w:hint="eastAsia" w:eastAsia="仿宋_GB2312" w:cs="Times New Roman"/>
          <w:b/>
          <w:sz w:val="32"/>
          <w:szCs w:val="32"/>
          <w:highlight w:val="none"/>
          <w:lang w:eastAsia="zh-CN" w:bidi="ar"/>
        </w:rPr>
        <w:t>二是</w:t>
      </w:r>
      <w:r>
        <w:rPr>
          <w:rFonts w:hint="default" w:ascii="Times New Roman" w:hAnsi="Times New Roman" w:eastAsia="仿宋_GB2312" w:cs="Times New Roman"/>
          <w:color w:val="auto"/>
          <w:sz w:val="32"/>
          <w:szCs w:val="32"/>
          <w:highlight w:val="none"/>
          <w:lang w:bidi="ar"/>
        </w:rPr>
        <w:t>完成药品、化妆检验检测仪器等设备购置，常规检项覆盖率100%，取得药品、医疗器械、化妆品检验资质认定资格，提升药品检验检测能力。</w:t>
      </w:r>
      <w:r>
        <w:rPr>
          <w:rFonts w:hint="eastAsia" w:eastAsia="仿宋_GB2312" w:cs="Times New Roman"/>
          <w:b/>
          <w:color w:val="auto"/>
          <w:sz w:val="32"/>
          <w:szCs w:val="32"/>
          <w:highlight w:val="none"/>
          <w:lang w:eastAsia="zh-CN" w:bidi="ar"/>
        </w:rPr>
        <w:t>三是</w:t>
      </w:r>
      <w:r>
        <w:rPr>
          <w:rFonts w:hint="eastAsia" w:eastAsia="仿宋_GB2312" w:cs="Times New Roman"/>
          <w:color w:val="auto"/>
          <w:sz w:val="32"/>
          <w:szCs w:val="32"/>
          <w:highlight w:val="none"/>
          <w:lang w:eastAsia="zh-CN" w:bidi="ar"/>
        </w:rPr>
        <w:t>强化药品、医疗器械和化妆品安全监管。完成药品监督抽验、应急检验、技术服务、委托检验共210批次；完成医疗器械监督性抽检任务</w:t>
      </w:r>
      <w:r>
        <w:rPr>
          <w:rFonts w:hint="eastAsia" w:eastAsia="仿宋_GB2312" w:cs="Times New Roman"/>
          <w:color w:val="auto"/>
          <w:sz w:val="32"/>
          <w:szCs w:val="32"/>
          <w:highlight w:val="none"/>
          <w:lang w:val="en-US" w:eastAsia="zh-CN" w:bidi="ar"/>
        </w:rPr>
        <w:t>82</w:t>
      </w:r>
      <w:r>
        <w:rPr>
          <w:rFonts w:hint="eastAsia" w:eastAsia="仿宋_GB2312" w:cs="Times New Roman"/>
          <w:color w:val="auto"/>
          <w:sz w:val="32"/>
          <w:szCs w:val="32"/>
          <w:highlight w:val="none"/>
          <w:lang w:eastAsia="zh-CN" w:bidi="ar"/>
        </w:rPr>
        <w:t>批次；完成化妆品能力扩项29项</w:t>
      </w:r>
      <w:r>
        <w:rPr>
          <w:rFonts w:hint="default" w:ascii="Times New Roman" w:hAnsi="Times New Roman" w:eastAsia="仿宋_GB2312" w:cs="Times New Roman"/>
          <w:color w:val="auto"/>
          <w:sz w:val="32"/>
          <w:szCs w:val="32"/>
          <w:highlight w:val="none"/>
          <w:lang w:bidi="ar"/>
        </w:rPr>
        <w:t>。</w:t>
      </w:r>
      <w:r>
        <w:rPr>
          <w:rFonts w:hint="eastAsia" w:eastAsia="仿宋_GB2312" w:cs="Times New Roman"/>
          <w:b/>
          <w:color w:val="auto"/>
          <w:sz w:val="32"/>
          <w:szCs w:val="32"/>
          <w:highlight w:val="none"/>
          <w:lang w:eastAsia="zh-CN" w:bidi="ar"/>
        </w:rPr>
        <w:t>四是</w:t>
      </w:r>
      <w:r>
        <w:rPr>
          <w:rFonts w:hint="default" w:ascii="Times New Roman" w:hAnsi="Times New Roman" w:eastAsia="仿宋_GB2312" w:cs="Times New Roman"/>
          <w:color w:val="auto"/>
          <w:sz w:val="32"/>
          <w:szCs w:val="32"/>
          <w:highlight w:val="none"/>
          <w:lang w:bidi="ar"/>
        </w:rPr>
        <w:t>组织1次药品、医疗器械的应急演练，参加人次</w:t>
      </w:r>
      <w:r>
        <w:rPr>
          <w:rFonts w:hint="eastAsia" w:eastAsia="仿宋_GB2312" w:cs="Times New Roman"/>
          <w:color w:val="auto"/>
          <w:sz w:val="32"/>
          <w:szCs w:val="32"/>
          <w:highlight w:val="none"/>
          <w:lang w:val="en-US" w:eastAsia="zh-CN" w:bidi="ar"/>
        </w:rPr>
        <w:t>180</w:t>
      </w:r>
      <w:r>
        <w:rPr>
          <w:rFonts w:hint="default" w:ascii="Times New Roman" w:hAnsi="Times New Roman" w:eastAsia="仿宋_GB2312" w:cs="Times New Roman"/>
          <w:color w:val="auto"/>
          <w:sz w:val="32"/>
          <w:szCs w:val="32"/>
          <w:highlight w:val="none"/>
          <w:lang w:bidi="ar"/>
        </w:rPr>
        <w:t>人次，药械安全突发事件处置能力有效提高，较大以上药械安全事故发生率为0。</w:t>
      </w:r>
      <w:r>
        <w:rPr>
          <w:rFonts w:hint="eastAsia" w:eastAsia="仿宋_GB2312" w:cs="Times New Roman"/>
          <w:b/>
          <w:color w:val="auto"/>
          <w:sz w:val="32"/>
          <w:szCs w:val="32"/>
          <w:highlight w:val="none"/>
          <w:lang w:eastAsia="zh-CN" w:bidi="ar"/>
        </w:rPr>
        <w:t>五是</w:t>
      </w:r>
      <w:r>
        <w:rPr>
          <w:rFonts w:hint="eastAsia" w:ascii="仿宋_GB2312" w:hAnsi="Calibri" w:eastAsia="仿宋_GB2312" w:cs="仿宋_GB2312"/>
          <w:color w:val="auto"/>
          <w:sz w:val="32"/>
          <w:szCs w:val="32"/>
          <w:highlight w:val="none"/>
          <w:lang w:eastAsia="zh-CN" w:bidi="ar"/>
        </w:rPr>
        <w:t>完成专项检查、飞行检查、双随机检查年度任务。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color w:val="auto"/>
          <w:sz w:val="32"/>
          <w:szCs w:val="32"/>
          <w:lang w:bidi="ar"/>
        </w:rPr>
      </w:pPr>
      <w:bookmarkStart w:id="9" w:name="_Toc1240_WPSOffice_Level2"/>
      <w:r>
        <w:rPr>
          <w:rFonts w:hint="eastAsia" w:ascii="楷体_GB2312" w:hAnsi="楷体_GB2312" w:eastAsia="楷体_GB2312" w:cs="楷体_GB2312"/>
          <w:b/>
          <w:color w:val="auto"/>
          <w:sz w:val="32"/>
          <w:szCs w:val="32"/>
          <w:lang w:bidi="ar"/>
        </w:rPr>
        <w:t>（三）存在问题</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auto"/>
          <w:sz w:val="32"/>
          <w:szCs w:val="32"/>
          <w:lang w:bidi="ar"/>
        </w:rPr>
      </w:pPr>
      <w:r>
        <w:rPr>
          <w:rFonts w:hint="eastAsia" w:ascii="仿宋_GB2312" w:hAnsi="Calibri" w:eastAsia="仿宋_GB2312" w:cs="仿宋_GB2312"/>
          <w:color w:val="auto"/>
          <w:sz w:val="32"/>
          <w:szCs w:val="32"/>
          <w:lang w:val="en-US" w:eastAsia="zh-CN" w:bidi="ar"/>
        </w:rPr>
        <w:t>绩效指标设置不够科学合理，存在个别绩效指标量化不足问题。如“药械安全突发事件处置能力”的指标值“有所提升”没有量化提现</w:t>
      </w:r>
      <w:r>
        <w:rPr>
          <w:rFonts w:hint="default" w:ascii="Times New Roman" w:hAnsi="Times New Roman" w:eastAsia="仿宋_GB2312" w:cs="Times New Roman"/>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color w:val="auto"/>
          <w:sz w:val="32"/>
          <w:szCs w:val="32"/>
        </w:rPr>
      </w:pPr>
      <w:bookmarkStart w:id="10" w:name="_Toc23216_WPSOffice_Level1"/>
      <w:bookmarkStart w:id="11" w:name="_Toc10710_WPSOffice_Level2"/>
      <w:r>
        <w:rPr>
          <w:rFonts w:hint="eastAsia" w:ascii="黑体" w:hAnsi="黑体" w:eastAsia="黑体" w:cs="黑体"/>
          <w:b w:val="0"/>
          <w:bCs/>
          <w:color w:val="auto"/>
          <w:sz w:val="32"/>
          <w:szCs w:val="32"/>
          <w:lang w:bidi="ar"/>
        </w:rPr>
        <w:t>三、改进</w:t>
      </w:r>
      <w:bookmarkEnd w:id="10"/>
      <w:r>
        <w:rPr>
          <w:rFonts w:hint="eastAsia" w:ascii="黑体" w:hAnsi="黑体" w:eastAsia="黑体" w:cs="黑体"/>
          <w:b w:val="0"/>
          <w:bCs/>
          <w:color w:val="auto"/>
          <w:sz w:val="32"/>
          <w:szCs w:val="32"/>
          <w:lang w:bidi="ar"/>
        </w:rPr>
        <w:t>意见</w:t>
      </w:r>
    </w:p>
    <w:bookmarkEnd w:id="11"/>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color w:val="0000FF"/>
          <w:sz w:val="32"/>
          <w:szCs w:val="32"/>
          <w:lang w:bidi="ar"/>
        </w:rPr>
      </w:pPr>
      <w:r>
        <w:rPr>
          <w:rFonts w:hint="eastAsia" w:ascii="仿宋_GB2312" w:hAnsi="Calibri" w:eastAsia="仿宋_GB2312" w:cs="仿宋_GB2312"/>
          <w:sz w:val="32"/>
          <w:szCs w:val="32"/>
          <w:lang w:val="en-US" w:eastAsia="zh-CN" w:bidi="ar"/>
        </w:rPr>
        <w:t>设置科学明确的绩效目标，提升绩效管理水平。设置绩效指标时</w:t>
      </w:r>
      <w:r>
        <w:rPr>
          <w:rFonts w:hint="eastAsia" w:ascii="仿宋_GB2312" w:hAnsi="Calibri" w:eastAsia="仿宋_GB2312" w:cs="仿宋_GB2312"/>
          <w:sz w:val="32"/>
          <w:szCs w:val="32"/>
          <w:highlight w:val="none"/>
          <w:lang w:val="en-US" w:eastAsia="zh-CN" w:bidi="ar"/>
        </w:rPr>
        <w:t>，应结合部门中长期战略规划，紧扣部门职责及年度工作任务，并充分</w:t>
      </w:r>
      <w:r>
        <w:rPr>
          <w:rFonts w:hint="eastAsia" w:ascii="仿宋_GB2312" w:hAnsi="Calibri" w:eastAsia="仿宋_GB2312" w:cs="仿宋_GB2312"/>
          <w:sz w:val="32"/>
          <w:szCs w:val="32"/>
          <w:lang w:val="en-US" w:eastAsia="zh-CN" w:bidi="ar"/>
        </w:rPr>
        <w:t>考虑其合理性，论证其是否可量化和可提供作证材料。如“药械安全突发事件处置时间缩短”可设置为“X小时”来考核处置能力的提升，以确保指标值具有可衡量性，在年度终了后能够取得相关数据和佐证材料合理地衡量工作的完成程度及效果</w:t>
      </w:r>
      <w:r>
        <w:rPr>
          <w:rFonts w:hint="default" w:ascii="Times New Roman" w:hAnsi="Times New Roman" w:eastAsia="仿宋_GB2312" w:cs="Times New Roman"/>
          <w:color w:val="auto"/>
          <w:sz w:val="32"/>
          <w:szCs w:val="32"/>
          <w:lang w:bidi="ar"/>
        </w:rPr>
        <w:t>。</w:t>
      </w:r>
      <w:bookmarkStart w:id="12" w:name="_GoBack"/>
      <w:bookmarkEnd w:id="12"/>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3页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药品监督管理专项经费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10D73"/>
    <w:rsid w:val="000122CB"/>
    <w:rsid w:val="00012A65"/>
    <w:rsid w:val="000138DC"/>
    <w:rsid w:val="00033749"/>
    <w:rsid w:val="00037BD2"/>
    <w:rsid w:val="000433BB"/>
    <w:rsid w:val="00045658"/>
    <w:rsid w:val="00052ED8"/>
    <w:rsid w:val="000541A9"/>
    <w:rsid w:val="0005485C"/>
    <w:rsid w:val="00054B83"/>
    <w:rsid w:val="00060788"/>
    <w:rsid w:val="00060D4E"/>
    <w:rsid w:val="00060E3C"/>
    <w:rsid w:val="000664A7"/>
    <w:rsid w:val="00075727"/>
    <w:rsid w:val="00086337"/>
    <w:rsid w:val="00087FF2"/>
    <w:rsid w:val="00091F62"/>
    <w:rsid w:val="00092B36"/>
    <w:rsid w:val="00096772"/>
    <w:rsid w:val="000A109F"/>
    <w:rsid w:val="000A6931"/>
    <w:rsid w:val="000B63D6"/>
    <w:rsid w:val="000E1267"/>
    <w:rsid w:val="000E1D9D"/>
    <w:rsid w:val="000E6AB9"/>
    <w:rsid w:val="000F6E32"/>
    <w:rsid w:val="00102DA3"/>
    <w:rsid w:val="001071D7"/>
    <w:rsid w:val="0011096D"/>
    <w:rsid w:val="001113BF"/>
    <w:rsid w:val="00112D37"/>
    <w:rsid w:val="0011703B"/>
    <w:rsid w:val="00127051"/>
    <w:rsid w:val="00132A43"/>
    <w:rsid w:val="00162826"/>
    <w:rsid w:val="00166A51"/>
    <w:rsid w:val="00170082"/>
    <w:rsid w:val="001719F4"/>
    <w:rsid w:val="00172A27"/>
    <w:rsid w:val="00175678"/>
    <w:rsid w:val="00193AF6"/>
    <w:rsid w:val="00195C26"/>
    <w:rsid w:val="0019741B"/>
    <w:rsid w:val="001A19F4"/>
    <w:rsid w:val="001A618B"/>
    <w:rsid w:val="001A6AA9"/>
    <w:rsid w:val="001B20DC"/>
    <w:rsid w:val="001C12FE"/>
    <w:rsid w:val="001C390D"/>
    <w:rsid w:val="001C56FF"/>
    <w:rsid w:val="001C7829"/>
    <w:rsid w:val="001D189D"/>
    <w:rsid w:val="001D1B07"/>
    <w:rsid w:val="001D2377"/>
    <w:rsid w:val="001E2CF4"/>
    <w:rsid w:val="001E3AB6"/>
    <w:rsid w:val="00203CF8"/>
    <w:rsid w:val="002249B3"/>
    <w:rsid w:val="00237623"/>
    <w:rsid w:val="002407A6"/>
    <w:rsid w:val="00240D4D"/>
    <w:rsid w:val="00244448"/>
    <w:rsid w:val="00251A31"/>
    <w:rsid w:val="00261178"/>
    <w:rsid w:val="00277FCB"/>
    <w:rsid w:val="002816D0"/>
    <w:rsid w:val="00290A83"/>
    <w:rsid w:val="002956BE"/>
    <w:rsid w:val="002B3136"/>
    <w:rsid w:val="002D31BA"/>
    <w:rsid w:val="002F00D1"/>
    <w:rsid w:val="0030138B"/>
    <w:rsid w:val="00310E5B"/>
    <w:rsid w:val="00316659"/>
    <w:rsid w:val="00350351"/>
    <w:rsid w:val="003523F4"/>
    <w:rsid w:val="00353D4D"/>
    <w:rsid w:val="003573EA"/>
    <w:rsid w:val="00373842"/>
    <w:rsid w:val="00382071"/>
    <w:rsid w:val="00384218"/>
    <w:rsid w:val="00387EC5"/>
    <w:rsid w:val="003A5834"/>
    <w:rsid w:val="003A7980"/>
    <w:rsid w:val="003C012A"/>
    <w:rsid w:val="003E2150"/>
    <w:rsid w:val="003F1DF0"/>
    <w:rsid w:val="0040495F"/>
    <w:rsid w:val="00405FE5"/>
    <w:rsid w:val="004174F9"/>
    <w:rsid w:val="00426B0F"/>
    <w:rsid w:val="0043559D"/>
    <w:rsid w:val="00442EFA"/>
    <w:rsid w:val="004438BC"/>
    <w:rsid w:val="00451CE8"/>
    <w:rsid w:val="00452FA5"/>
    <w:rsid w:val="00460381"/>
    <w:rsid w:val="00472196"/>
    <w:rsid w:val="004819F6"/>
    <w:rsid w:val="00492104"/>
    <w:rsid w:val="00495173"/>
    <w:rsid w:val="004951EE"/>
    <w:rsid w:val="004A7D9F"/>
    <w:rsid w:val="004B0964"/>
    <w:rsid w:val="004B183C"/>
    <w:rsid w:val="004C3DFE"/>
    <w:rsid w:val="004C7196"/>
    <w:rsid w:val="004D28AC"/>
    <w:rsid w:val="004D3518"/>
    <w:rsid w:val="004D7747"/>
    <w:rsid w:val="004E02A4"/>
    <w:rsid w:val="004E552A"/>
    <w:rsid w:val="004E6898"/>
    <w:rsid w:val="004F2F68"/>
    <w:rsid w:val="004F3895"/>
    <w:rsid w:val="004F4647"/>
    <w:rsid w:val="004F6996"/>
    <w:rsid w:val="0050144A"/>
    <w:rsid w:val="005031F0"/>
    <w:rsid w:val="00510DBE"/>
    <w:rsid w:val="00520A10"/>
    <w:rsid w:val="005241ED"/>
    <w:rsid w:val="005353AE"/>
    <w:rsid w:val="0053612F"/>
    <w:rsid w:val="005423B0"/>
    <w:rsid w:val="00545056"/>
    <w:rsid w:val="00546EB5"/>
    <w:rsid w:val="00561BFF"/>
    <w:rsid w:val="0056220B"/>
    <w:rsid w:val="0056607F"/>
    <w:rsid w:val="005762CF"/>
    <w:rsid w:val="00592AA0"/>
    <w:rsid w:val="00592F33"/>
    <w:rsid w:val="00597BCA"/>
    <w:rsid w:val="005A1013"/>
    <w:rsid w:val="005B27DC"/>
    <w:rsid w:val="005C2E99"/>
    <w:rsid w:val="005C4104"/>
    <w:rsid w:val="005C453A"/>
    <w:rsid w:val="005D3DAA"/>
    <w:rsid w:val="005E1146"/>
    <w:rsid w:val="005E6329"/>
    <w:rsid w:val="005E6698"/>
    <w:rsid w:val="005F2364"/>
    <w:rsid w:val="005F3649"/>
    <w:rsid w:val="005F3727"/>
    <w:rsid w:val="00607725"/>
    <w:rsid w:val="00607AD5"/>
    <w:rsid w:val="00611CD3"/>
    <w:rsid w:val="006146FC"/>
    <w:rsid w:val="00621E28"/>
    <w:rsid w:val="00627207"/>
    <w:rsid w:val="00631C8C"/>
    <w:rsid w:val="006430B9"/>
    <w:rsid w:val="00646386"/>
    <w:rsid w:val="00650E37"/>
    <w:rsid w:val="0066269C"/>
    <w:rsid w:val="00666EF2"/>
    <w:rsid w:val="00672306"/>
    <w:rsid w:val="006746D0"/>
    <w:rsid w:val="006804FB"/>
    <w:rsid w:val="00683518"/>
    <w:rsid w:val="00685E96"/>
    <w:rsid w:val="0069177C"/>
    <w:rsid w:val="00692AB1"/>
    <w:rsid w:val="00693271"/>
    <w:rsid w:val="006979F6"/>
    <w:rsid w:val="006A214E"/>
    <w:rsid w:val="006B45FF"/>
    <w:rsid w:val="006C433F"/>
    <w:rsid w:val="006C67E1"/>
    <w:rsid w:val="00714282"/>
    <w:rsid w:val="00730663"/>
    <w:rsid w:val="00743875"/>
    <w:rsid w:val="007449B3"/>
    <w:rsid w:val="00762918"/>
    <w:rsid w:val="0076436A"/>
    <w:rsid w:val="00771D8F"/>
    <w:rsid w:val="00785CC9"/>
    <w:rsid w:val="007A132A"/>
    <w:rsid w:val="007B01E0"/>
    <w:rsid w:val="007C1790"/>
    <w:rsid w:val="007E1978"/>
    <w:rsid w:val="007E4AA7"/>
    <w:rsid w:val="00804666"/>
    <w:rsid w:val="0081077D"/>
    <w:rsid w:val="00813033"/>
    <w:rsid w:val="00815CC3"/>
    <w:rsid w:val="00825B9B"/>
    <w:rsid w:val="00826B8F"/>
    <w:rsid w:val="00833C18"/>
    <w:rsid w:val="008404DA"/>
    <w:rsid w:val="008417CF"/>
    <w:rsid w:val="008420B9"/>
    <w:rsid w:val="0084550D"/>
    <w:rsid w:val="00854D5A"/>
    <w:rsid w:val="00854D74"/>
    <w:rsid w:val="00857747"/>
    <w:rsid w:val="0086119A"/>
    <w:rsid w:val="00873E61"/>
    <w:rsid w:val="00885150"/>
    <w:rsid w:val="00893052"/>
    <w:rsid w:val="00893106"/>
    <w:rsid w:val="00895E1C"/>
    <w:rsid w:val="008A1489"/>
    <w:rsid w:val="008A1A20"/>
    <w:rsid w:val="008A4C48"/>
    <w:rsid w:val="008B251F"/>
    <w:rsid w:val="008B4BCD"/>
    <w:rsid w:val="008C7BFF"/>
    <w:rsid w:val="008D664A"/>
    <w:rsid w:val="008E3979"/>
    <w:rsid w:val="008E575C"/>
    <w:rsid w:val="008E6C48"/>
    <w:rsid w:val="008F0A52"/>
    <w:rsid w:val="008F1748"/>
    <w:rsid w:val="008F7920"/>
    <w:rsid w:val="00913035"/>
    <w:rsid w:val="00915FA7"/>
    <w:rsid w:val="00922F65"/>
    <w:rsid w:val="00933B82"/>
    <w:rsid w:val="00943305"/>
    <w:rsid w:val="0094769F"/>
    <w:rsid w:val="00961CF1"/>
    <w:rsid w:val="00994EDF"/>
    <w:rsid w:val="00995287"/>
    <w:rsid w:val="009B5655"/>
    <w:rsid w:val="009C1904"/>
    <w:rsid w:val="009C1B08"/>
    <w:rsid w:val="009D3926"/>
    <w:rsid w:val="009D44D5"/>
    <w:rsid w:val="009E2EE4"/>
    <w:rsid w:val="009E457F"/>
    <w:rsid w:val="009E7159"/>
    <w:rsid w:val="00A03AE8"/>
    <w:rsid w:val="00A0518B"/>
    <w:rsid w:val="00A10918"/>
    <w:rsid w:val="00A1239A"/>
    <w:rsid w:val="00A1510D"/>
    <w:rsid w:val="00A24D54"/>
    <w:rsid w:val="00A26905"/>
    <w:rsid w:val="00A41B98"/>
    <w:rsid w:val="00A5010B"/>
    <w:rsid w:val="00A56CF6"/>
    <w:rsid w:val="00A6379D"/>
    <w:rsid w:val="00A641BF"/>
    <w:rsid w:val="00A674A8"/>
    <w:rsid w:val="00A75EF9"/>
    <w:rsid w:val="00A83B7B"/>
    <w:rsid w:val="00A90099"/>
    <w:rsid w:val="00A90DAE"/>
    <w:rsid w:val="00AA0853"/>
    <w:rsid w:val="00AA14CF"/>
    <w:rsid w:val="00AA7A48"/>
    <w:rsid w:val="00AB20B1"/>
    <w:rsid w:val="00AB6E68"/>
    <w:rsid w:val="00AC7BED"/>
    <w:rsid w:val="00AD3714"/>
    <w:rsid w:val="00AD4D20"/>
    <w:rsid w:val="00AF153A"/>
    <w:rsid w:val="00AF307E"/>
    <w:rsid w:val="00B17FD6"/>
    <w:rsid w:val="00B36F07"/>
    <w:rsid w:val="00B3780F"/>
    <w:rsid w:val="00B56E93"/>
    <w:rsid w:val="00B66939"/>
    <w:rsid w:val="00B863E2"/>
    <w:rsid w:val="00B90C89"/>
    <w:rsid w:val="00B92F01"/>
    <w:rsid w:val="00B94635"/>
    <w:rsid w:val="00BA307B"/>
    <w:rsid w:val="00BA5187"/>
    <w:rsid w:val="00BA564D"/>
    <w:rsid w:val="00BC5FBA"/>
    <w:rsid w:val="00BD31D7"/>
    <w:rsid w:val="00BE7B39"/>
    <w:rsid w:val="00BF1DC4"/>
    <w:rsid w:val="00C06443"/>
    <w:rsid w:val="00C07B5F"/>
    <w:rsid w:val="00C1758A"/>
    <w:rsid w:val="00C175DC"/>
    <w:rsid w:val="00C21AE0"/>
    <w:rsid w:val="00C2683C"/>
    <w:rsid w:val="00C361C9"/>
    <w:rsid w:val="00C36335"/>
    <w:rsid w:val="00C3768E"/>
    <w:rsid w:val="00C4224C"/>
    <w:rsid w:val="00C52039"/>
    <w:rsid w:val="00C777CD"/>
    <w:rsid w:val="00C830D8"/>
    <w:rsid w:val="00C8474C"/>
    <w:rsid w:val="00CA38B9"/>
    <w:rsid w:val="00CA79F0"/>
    <w:rsid w:val="00CB4DB7"/>
    <w:rsid w:val="00CE3677"/>
    <w:rsid w:val="00CF1EF6"/>
    <w:rsid w:val="00D04DAA"/>
    <w:rsid w:val="00D2575C"/>
    <w:rsid w:val="00D42E78"/>
    <w:rsid w:val="00D4364B"/>
    <w:rsid w:val="00D674A7"/>
    <w:rsid w:val="00D71430"/>
    <w:rsid w:val="00D73776"/>
    <w:rsid w:val="00D74858"/>
    <w:rsid w:val="00D7542F"/>
    <w:rsid w:val="00D8050E"/>
    <w:rsid w:val="00D83F6D"/>
    <w:rsid w:val="00D91800"/>
    <w:rsid w:val="00DB4283"/>
    <w:rsid w:val="00DB57C1"/>
    <w:rsid w:val="00DC1664"/>
    <w:rsid w:val="00DC1D60"/>
    <w:rsid w:val="00DC77E9"/>
    <w:rsid w:val="00DC7C84"/>
    <w:rsid w:val="00DE47C2"/>
    <w:rsid w:val="00DF25F4"/>
    <w:rsid w:val="00E07A79"/>
    <w:rsid w:val="00E32FE3"/>
    <w:rsid w:val="00E37A82"/>
    <w:rsid w:val="00E558A0"/>
    <w:rsid w:val="00E57BE8"/>
    <w:rsid w:val="00E743F0"/>
    <w:rsid w:val="00E74F4C"/>
    <w:rsid w:val="00EA49F5"/>
    <w:rsid w:val="00EC0FBA"/>
    <w:rsid w:val="00EC4161"/>
    <w:rsid w:val="00EC4EFA"/>
    <w:rsid w:val="00ED660A"/>
    <w:rsid w:val="00EE4F76"/>
    <w:rsid w:val="00EE532F"/>
    <w:rsid w:val="00EE5845"/>
    <w:rsid w:val="00F0156A"/>
    <w:rsid w:val="00F0176C"/>
    <w:rsid w:val="00F3315D"/>
    <w:rsid w:val="00F44D25"/>
    <w:rsid w:val="00F512F0"/>
    <w:rsid w:val="00F5242C"/>
    <w:rsid w:val="00F56B22"/>
    <w:rsid w:val="00F63497"/>
    <w:rsid w:val="00F66DF7"/>
    <w:rsid w:val="00F82E8D"/>
    <w:rsid w:val="00F852EF"/>
    <w:rsid w:val="00FA6517"/>
    <w:rsid w:val="00FC3B65"/>
    <w:rsid w:val="00FC6575"/>
    <w:rsid w:val="00FD4144"/>
    <w:rsid w:val="00FE7D9E"/>
    <w:rsid w:val="0B8F2F42"/>
    <w:rsid w:val="0C472E98"/>
    <w:rsid w:val="0C820FF0"/>
    <w:rsid w:val="0DFDEAA7"/>
    <w:rsid w:val="11F35E10"/>
    <w:rsid w:val="146D6357"/>
    <w:rsid w:val="14C46E3D"/>
    <w:rsid w:val="17400D76"/>
    <w:rsid w:val="1A2C0451"/>
    <w:rsid w:val="1B4805B9"/>
    <w:rsid w:val="1B7117D4"/>
    <w:rsid w:val="35AE3512"/>
    <w:rsid w:val="35FB2B16"/>
    <w:rsid w:val="37DBA489"/>
    <w:rsid w:val="3DBF738F"/>
    <w:rsid w:val="3DF7D351"/>
    <w:rsid w:val="3FBEB2E4"/>
    <w:rsid w:val="499066B9"/>
    <w:rsid w:val="4CD008F6"/>
    <w:rsid w:val="50A47F51"/>
    <w:rsid w:val="51461E04"/>
    <w:rsid w:val="536E7F1B"/>
    <w:rsid w:val="5A05185D"/>
    <w:rsid w:val="5F115A43"/>
    <w:rsid w:val="67027E25"/>
    <w:rsid w:val="68F72AAC"/>
    <w:rsid w:val="6FCA4CF5"/>
    <w:rsid w:val="74FD9D66"/>
    <w:rsid w:val="75B10FB4"/>
    <w:rsid w:val="79983BC4"/>
    <w:rsid w:val="7D3F94A2"/>
    <w:rsid w:val="7DFF64C3"/>
    <w:rsid w:val="7FEF6118"/>
    <w:rsid w:val="7FEFD501"/>
    <w:rsid w:val="8F7F29A3"/>
    <w:rsid w:val="8FF5A037"/>
    <w:rsid w:val="B9FADF8D"/>
    <w:rsid w:val="BFDBBBA5"/>
    <w:rsid w:val="D2F3EEC5"/>
    <w:rsid w:val="EAEE1EC3"/>
    <w:rsid w:val="EAF6261F"/>
    <w:rsid w:val="FE6E51EC"/>
    <w:rsid w:val="FF5E9307"/>
    <w:rsid w:val="FFC7EF80"/>
    <w:rsid w:val="FFF841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locked/>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4">
    <w:name w:val="table of authorities"/>
    <w:basedOn w:val="1"/>
    <w:next w:val="1"/>
    <w:qFormat/>
    <w:uiPriority w:val="0"/>
    <w:pPr>
      <w:ind w:left="420" w:leftChars="200"/>
    </w:pPr>
    <w:rPr>
      <w:rFonts w:ascii="Calibri" w:hAnsi="Calibri"/>
      <w:szCs w:val="24"/>
    </w:rPr>
  </w:style>
  <w:style w:type="paragraph" w:styleId="5">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6">
    <w:name w:val="toc 3"/>
    <w:basedOn w:val="1"/>
    <w:next w:val="1"/>
    <w:qFormat/>
    <w:locked/>
    <w:uiPriority w:val="39"/>
    <w:pPr>
      <w:ind w:left="840" w:leftChars="400"/>
    </w:pPr>
  </w:style>
  <w:style w:type="paragraph" w:styleId="7">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12">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3">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4">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5">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6">
    <w:name w:val="Normal (Web)"/>
    <w:basedOn w:val="1"/>
    <w:semiHidden/>
    <w:unhideWhenUsed/>
    <w:qFormat/>
    <w:uiPriority w:val="99"/>
    <w:rPr>
      <w:sz w:val="24"/>
    </w:rPr>
  </w:style>
  <w:style w:type="character" w:styleId="19">
    <w:name w:val="FollowedHyperlink"/>
    <w:basedOn w:val="18"/>
    <w:semiHidden/>
    <w:unhideWhenUsed/>
    <w:qFormat/>
    <w:uiPriority w:val="99"/>
    <w:rPr>
      <w:color w:val="800080"/>
      <w:u w:val="singl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批注框文本 Char"/>
    <w:basedOn w:val="18"/>
    <w:link w:val="8"/>
    <w:semiHidden/>
    <w:qFormat/>
    <w:uiPriority w:val="99"/>
    <w:rPr>
      <w:sz w:val="18"/>
      <w:szCs w:val="18"/>
    </w:rPr>
  </w:style>
  <w:style w:type="paragraph" w:customStyle="1" w:styleId="2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8">
    <w:name w:val="标题 1 Char"/>
    <w:basedOn w:val="18"/>
    <w:link w:val="2"/>
    <w:qFormat/>
    <w:uiPriority w:val="0"/>
    <w:rPr>
      <w:b/>
      <w:bCs/>
      <w:kern w:val="44"/>
      <w:sz w:val="44"/>
      <w:szCs w:val="44"/>
    </w:rPr>
  </w:style>
  <w:style w:type="paragraph" w:customStyle="1" w:styleId="2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241</Words>
  <Characters>1376</Characters>
  <Lines>11</Lines>
  <Paragraphs>3</Paragraphs>
  <TotalTime>2</TotalTime>
  <ScaleCrop>false</ScaleCrop>
  <LinksUpToDate>false</LinksUpToDate>
  <CharactersWithSpaces>1614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2019-04-06T15:39:00Z</dcterms:created>
  <dc:creator>CJ</dc:creator>
  <cp:lastModifiedBy>赵淑卿</cp:lastModifiedBy>
  <dcterms:modified xsi:type="dcterms:W3CDTF">2023-10-30T16:42:08Z</dcterms:modified>
  <dc:title>2021年江门市市场监督管理局财政专项资金</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3120DB26AC3C4E0D96BDCFE947019ACA</vt:lpwstr>
  </property>
</Properties>
</file>