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附件：</w:t>
      </w:r>
    </w:p>
    <w:p>
      <w:pPr>
        <w:adjustRightInd w:val="0"/>
        <w:snapToGrid w:val="0"/>
        <w:spacing w:line="64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w:t>
      </w:r>
      <w:r>
        <w:rPr>
          <w:rFonts w:hint="eastAsia" w:ascii="方正小标宋简体" w:hAnsi="方正小标宋简体" w:eastAsia="方正小标宋简体" w:cs="方正小标宋简体"/>
          <w:bCs/>
          <w:color w:val="auto"/>
          <w:sz w:val="44"/>
          <w:szCs w:val="44"/>
          <w:highlight w:val="none"/>
          <w:lang w:val="en-US" w:eastAsia="zh-CN"/>
        </w:rPr>
        <w:t>3</w:t>
      </w:r>
      <w:r>
        <w:rPr>
          <w:rFonts w:hint="eastAsia" w:ascii="方正小标宋简体" w:hAnsi="方正小标宋简体" w:eastAsia="方正小标宋简体" w:cs="方正小标宋简体"/>
          <w:bCs/>
          <w:color w:val="auto"/>
          <w:sz w:val="44"/>
          <w:szCs w:val="44"/>
          <w:highlight w:val="none"/>
        </w:rPr>
        <w:t>年江门市乡村振兴人才倍增培育项目用户需求书</w:t>
      </w:r>
    </w:p>
    <w:p>
      <w:pPr>
        <w:pStyle w:val="2"/>
        <w:spacing w:line="560" w:lineRule="exact"/>
        <w:rPr>
          <w:rFonts w:ascii="CESI黑体-GB2312" w:hAnsi="CESI黑体-GB2312" w:eastAsia="CESI黑体-GB2312" w:cs="CESI黑体-GB2312"/>
          <w:color w:val="auto"/>
          <w:sz w:val="32"/>
          <w:szCs w:val="32"/>
          <w:highlight w:val="none"/>
          <w:lang w:val="en"/>
        </w:rPr>
      </w:pPr>
    </w:p>
    <w:p>
      <w:pPr>
        <w:pStyle w:val="2"/>
        <w:spacing w:line="570" w:lineRule="exact"/>
        <w:ind w:firstLine="640" w:firstLineChars="200"/>
        <w:rPr>
          <w:rFonts w:hint="eastAsia" w:ascii="方正黑体_GBK" w:hAnsi="方正黑体_GBK" w:eastAsia="方正黑体_GBK" w:cs="方正黑体_GBK"/>
          <w:color w:val="auto"/>
          <w:kern w:val="2"/>
          <w:sz w:val="32"/>
          <w:szCs w:val="32"/>
          <w:highlight w:val="none"/>
          <w:lang w:val="en" w:eastAsia="zh-CN" w:bidi="ar-SA"/>
        </w:rPr>
      </w:pPr>
      <w:r>
        <w:rPr>
          <w:rFonts w:hint="eastAsia" w:ascii="方正黑体_GBK" w:hAnsi="方正黑体_GBK" w:eastAsia="方正黑体_GBK" w:cs="方正黑体_GBK"/>
          <w:color w:val="auto"/>
          <w:kern w:val="2"/>
          <w:sz w:val="32"/>
          <w:szCs w:val="32"/>
          <w:highlight w:val="none"/>
          <w:lang w:val="en" w:eastAsia="zh-CN" w:bidi="ar-SA"/>
        </w:rPr>
        <w:t>一、资格性审查</w:t>
      </w:r>
    </w:p>
    <w:p>
      <w:pPr>
        <w:spacing w:line="57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1.供应商应具备《中华人民共和国政府采购法》第二十二条规定的条件</w:t>
      </w:r>
      <w:r>
        <w:rPr>
          <w:rFonts w:hint="eastAsia" w:ascii="仿宋_GB2312" w:hAnsi="仿宋_GB2312" w:eastAsia="仿宋_GB2312" w:cs="仿宋_GB2312"/>
          <w:color w:val="auto"/>
          <w:sz w:val="32"/>
          <w:szCs w:val="32"/>
          <w:highlight w:val="none"/>
          <w:lang w:eastAsia="zh-CN"/>
        </w:rPr>
        <w:t>。</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3.供应商不得被列入失信被执行人、重大税收违法案件当事人名单及政府采购严重违法失信行为记录名单（处罚期限届满的除外）[以采购代理机构在开标现场通过“信用中国”网站</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HYPERLINK "http://www.creditchina" </w:instrText>
      </w:r>
      <w:r>
        <w:rPr>
          <w:rFonts w:hint="eastAsia" w:ascii="仿宋_GB2312" w:hAnsi="仿宋_GB2312" w:eastAsia="仿宋_GB2312" w:cs="仿宋_GB2312"/>
          <w:color w:val="auto"/>
          <w:sz w:val="32"/>
          <w:szCs w:val="32"/>
          <w:highlight w:val="none"/>
          <w:u w:val="none"/>
        </w:rPr>
        <w:fldChar w:fldCharType="separate"/>
      </w:r>
      <w:r>
        <w:rPr>
          <w:rStyle w:val="16"/>
          <w:rFonts w:hint="eastAsia" w:ascii="仿宋_GB2312" w:hAnsi="仿宋_GB2312" w:eastAsia="仿宋_GB2312" w:cs="仿宋_GB2312"/>
          <w:color w:val="auto"/>
          <w:sz w:val="32"/>
          <w:szCs w:val="32"/>
          <w:highlight w:val="none"/>
          <w:u w:val="none"/>
        </w:rPr>
        <w:t>www.creditchina</w:t>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rPr>
        <w:t>.gov.cn）、中国政府采购网（www. ccgp.gov.cn）等渠道查询的信用信息为准]。</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供应商必须符合《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57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.本项目不接受联合投标。</w:t>
      </w:r>
    </w:p>
    <w:p>
      <w:pPr>
        <w:pStyle w:val="2"/>
        <w:spacing w:line="570" w:lineRule="exact"/>
        <w:ind w:firstLine="640" w:firstLineChars="200"/>
        <w:rPr>
          <w:rFonts w:hint="eastAsia" w:ascii="方正黑体_GBK" w:hAnsi="方正黑体_GBK" w:eastAsia="方正黑体_GBK" w:cs="方正黑体_GBK"/>
          <w:color w:val="auto"/>
          <w:kern w:val="2"/>
          <w:sz w:val="32"/>
          <w:szCs w:val="32"/>
          <w:highlight w:val="none"/>
          <w:lang w:val="en" w:eastAsia="zh-CN" w:bidi="ar-SA"/>
        </w:rPr>
      </w:pPr>
      <w:r>
        <w:rPr>
          <w:rFonts w:hint="eastAsia" w:ascii="方正黑体_GBK" w:hAnsi="方正黑体_GBK" w:eastAsia="方正黑体_GBK" w:cs="方正黑体_GBK"/>
          <w:color w:val="auto"/>
          <w:kern w:val="2"/>
          <w:sz w:val="32"/>
          <w:szCs w:val="32"/>
          <w:highlight w:val="none"/>
          <w:lang w:val="en" w:eastAsia="zh-CN" w:bidi="ar-SA"/>
        </w:rPr>
        <w:t>二、项目基本情况</w:t>
      </w:r>
    </w:p>
    <w:p>
      <w:pPr>
        <w:spacing w:line="570" w:lineRule="exact"/>
        <w:ind w:firstLine="640" w:firstLineChars="200"/>
        <w:rPr>
          <w:rFonts w:hint="eastAsia" w:ascii="仿宋_GB2312" w:hAnsi="仿宋_GB2312" w:eastAsia="仿宋_GB2312" w:cs="仿宋_GB2312"/>
          <w:color w:val="auto"/>
          <w:sz w:val="32"/>
          <w:szCs w:val="32"/>
          <w:highlight w:val="none"/>
        </w:rPr>
      </w:pPr>
      <w:bookmarkStart w:id="0" w:name="_Toc263790354"/>
      <w:bookmarkStart w:id="1" w:name="_Toc262053352"/>
      <w:r>
        <w:rPr>
          <w:rFonts w:hint="eastAsia" w:ascii="仿宋_GB2312" w:hAnsi="仿宋_GB2312" w:eastAsia="仿宋_GB2312" w:cs="仿宋_GB2312"/>
          <w:color w:val="auto"/>
          <w:sz w:val="32"/>
          <w:szCs w:val="32"/>
          <w:highlight w:val="none"/>
        </w:rPr>
        <w:t>1.项目名称：202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年江门市</w:t>
      </w:r>
      <w:r>
        <w:rPr>
          <w:rFonts w:hint="eastAsia" w:ascii="仿宋_GB2312" w:hAnsi="仿宋_GB2312" w:eastAsia="仿宋_GB2312" w:cs="仿宋_GB2312"/>
          <w:color w:val="auto"/>
          <w:sz w:val="32"/>
          <w:szCs w:val="32"/>
          <w:highlight w:val="none"/>
          <w:lang w:eastAsia="zh-CN"/>
        </w:rPr>
        <w:t>乡村振兴人才倍增</w:t>
      </w:r>
      <w:r>
        <w:rPr>
          <w:rFonts w:hint="eastAsia" w:ascii="仿宋_GB2312" w:hAnsi="仿宋_GB2312" w:eastAsia="仿宋_GB2312" w:cs="仿宋_GB2312"/>
          <w:color w:val="auto"/>
          <w:sz w:val="32"/>
          <w:szCs w:val="32"/>
          <w:highlight w:val="none"/>
        </w:rPr>
        <w:t>培育项目。</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2.项目预算：人民币</w:t>
      </w:r>
      <w:r>
        <w:rPr>
          <w:rFonts w:hint="eastAsia" w:ascii="仿宋_GB2312" w:hAnsi="仿宋_GB2312" w:eastAsia="仿宋_GB2312" w:cs="仿宋_GB2312"/>
          <w:color w:val="auto"/>
          <w:sz w:val="32"/>
          <w:szCs w:val="32"/>
          <w:highlight w:val="none"/>
          <w:lang w:val="en-US" w:eastAsia="zh-CN"/>
        </w:rPr>
        <w:t>52.25</w:t>
      </w:r>
      <w:r>
        <w:rPr>
          <w:rFonts w:hint="eastAsia" w:ascii="仿宋_GB2312" w:hAnsi="仿宋_GB2312" w:eastAsia="仿宋_GB2312" w:cs="仿宋_GB2312"/>
          <w:color w:val="auto"/>
          <w:sz w:val="32"/>
          <w:szCs w:val="32"/>
          <w:highlight w:val="none"/>
        </w:rPr>
        <w:t>万元。</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3.本项目属于政府采购项目。</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4.实施周期：202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default" w:ascii="仿宋_GB2312" w:hAnsi="仿宋_GB2312" w:eastAsia="仿宋_GB2312" w:cs="仿宋_GB2312"/>
          <w:color w:val="auto"/>
          <w:sz w:val="32"/>
          <w:szCs w:val="32"/>
          <w:highlight w:val="none"/>
          <w:lang w:eastAsia="zh-CN"/>
        </w:rPr>
        <w:t>9</w:t>
      </w:r>
      <w:r>
        <w:rPr>
          <w:rFonts w:hint="eastAsia" w:ascii="仿宋_GB2312" w:hAnsi="仿宋_GB2312" w:eastAsia="仿宋_GB2312" w:cs="仿宋_GB2312"/>
          <w:color w:val="auto"/>
          <w:sz w:val="32"/>
          <w:szCs w:val="32"/>
          <w:highlight w:val="none"/>
        </w:rPr>
        <w:t>月至202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年11月。</w:t>
      </w:r>
    </w:p>
    <w:p>
      <w:pPr>
        <w:spacing w:line="57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5.实施地点：江门市</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6.总体要求</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（1）在中标后的整个作业期间，报价人若发生人身伤亡、财物或其它损失，无论何种原因所致，采购人和采购代理机构均不负责。</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若评标委员会认为报价人的报价明显低于其他通过符合性审查报价人的报价，有可能影响服务质量或者不能诚信履约的，应当提供书面说明，必要时提交相关证明材料；报价人不能证明其报价合理性的，评标委员会应当将其作为无效响应处理。</w:t>
      </w:r>
    </w:p>
    <w:bookmarkEnd w:id="0"/>
    <w:bookmarkEnd w:id="1"/>
    <w:p>
      <w:pPr>
        <w:spacing w:line="570" w:lineRule="exact"/>
        <w:ind w:firstLine="640" w:firstLineChars="200"/>
        <w:rPr>
          <w:rFonts w:hint="eastAsia" w:ascii="方正黑体_GBK" w:hAnsi="方正黑体_GBK" w:eastAsia="方正黑体_GBK" w:cs="方正黑体_GBK"/>
          <w:color w:val="auto"/>
          <w:kern w:val="2"/>
          <w:sz w:val="32"/>
          <w:szCs w:val="32"/>
          <w:highlight w:val="none"/>
          <w:lang w:val="en" w:eastAsia="zh-CN" w:bidi="ar-SA"/>
        </w:rPr>
      </w:pPr>
      <w:bookmarkStart w:id="2" w:name="_Toc308084832"/>
      <w:bookmarkStart w:id="3" w:name="_Toc521511238"/>
      <w:r>
        <w:rPr>
          <w:rFonts w:hint="eastAsia" w:ascii="方正黑体_GBK" w:hAnsi="方正黑体_GBK" w:eastAsia="方正黑体_GBK" w:cs="方正黑体_GBK"/>
          <w:color w:val="auto"/>
          <w:kern w:val="2"/>
          <w:sz w:val="32"/>
          <w:szCs w:val="32"/>
          <w:highlight w:val="none"/>
          <w:lang w:val="en" w:eastAsia="zh-CN" w:bidi="ar-SA"/>
        </w:rPr>
        <w:t>三、项目要求</w:t>
      </w:r>
      <w:bookmarkEnd w:id="2"/>
      <w:bookmarkEnd w:id="3"/>
    </w:p>
    <w:p>
      <w:pPr>
        <w:pStyle w:val="2"/>
        <w:spacing w:line="570" w:lineRule="exact"/>
        <w:ind w:firstLine="642" w:firstLineChars="200"/>
        <w:rPr>
          <w:rFonts w:hint="eastAsia" w:ascii="方正楷体_GBK" w:hAnsi="方正楷体_GBK" w:eastAsia="方正楷体_GBK" w:cs="方正楷体_GBK"/>
          <w:b/>
          <w:bCs w:val="0"/>
          <w:color w:val="auto"/>
          <w:sz w:val="32"/>
          <w:szCs w:val="32"/>
          <w:highlight w:val="none"/>
        </w:rPr>
      </w:pPr>
      <w:r>
        <w:rPr>
          <w:rFonts w:hint="eastAsia" w:ascii="方正楷体_GBK" w:hAnsi="方正楷体_GBK" w:eastAsia="方正楷体_GBK" w:cs="方正楷体_GBK"/>
          <w:b/>
          <w:bCs w:val="0"/>
          <w:color w:val="auto"/>
          <w:sz w:val="32"/>
          <w:szCs w:val="32"/>
          <w:highlight w:val="none"/>
        </w:rPr>
        <w:t>1.采购任务要求</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推进江门市委“人才倍增”工程，结合实施乡村振兴战略和加快推进六大特色优势农业产业高质量发展行动，拟实施江门市乡村振兴人才倍增培育项目，至2023年12月底，项目期内完成培育培训江门市农业农村各类人才300名，由承担项目培训任务的培训机构自行组织招生。所有学员报名均需登录中国农村远程教育网（http://www.ngx.net.cn）“农民教育培育申报系统”或手机下载“云上智农”APP报名；开班前将学员基础信息、师资等全部录入中国农村远程教育网农民教育培训信息管理系统。采购要求如下：</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共培训300人，培训时长根据培训班别不同，为2-5天，包括集中理论授课和实地观摩实操实训相结合开展。具体培训任务包括：</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茶叶产业技能培训班</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培训100人，分高级茶艺师和高级评茶员两个班，各50人，培训时长均为5天，包括理论授课和观摩实操实训课。针对江门市茶产业发展中的茶叶品茶评茶、茶艺、营销等茶产业发展所需技能技术开展培训，参训学员为江门市区域内茶产业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无人机</w:t>
      </w:r>
      <w:r>
        <w:rPr>
          <w:rFonts w:hint="eastAsia" w:ascii="仿宋_GB2312" w:hAnsi="仿宋_GB2312" w:eastAsia="仿宋_GB2312" w:cs="仿宋_GB2312"/>
          <w:b/>
          <w:bCs/>
          <w:sz w:val="32"/>
          <w:szCs w:val="32"/>
          <w:lang w:eastAsia="zh-CN"/>
        </w:rPr>
        <w:t>植保</w:t>
      </w:r>
      <w:r>
        <w:rPr>
          <w:rFonts w:hint="eastAsia" w:ascii="仿宋_GB2312" w:hAnsi="仿宋_GB2312" w:eastAsia="仿宋_GB2312" w:cs="仿宋_GB2312"/>
          <w:b/>
          <w:bCs/>
          <w:sz w:val="32"/>
          <w:szCs w:val="32"/>
        </w:rPr>
        <w:t>操作培训班</w:t>
      </w:r>
    </w:p>
    <w:p>
      <w:pPr>
        <w:spacing w:line="57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培训50人，培训时长3天，包括1天集中理论授课和2天实地观摩实操实训。针对江门市规模化、标准化种植发展所需的全程机械化、无人机植保、智慧化生产等技术、技能应用开展培训，有效提升全市种植业生产现代化、设施化机械化智能化水平。参训学员为江门市区域内从事种植、植保管护等服务体系的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集约化养殖技术培训班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培训50人，培训时长2天，包括1天集中理论授课和1天实地观摩实操实训。针对江门市特色、优势的肉鸡鸭鹅、鸽、蛋禽等禽类养殖产业高质高效发展所需的良种良法、健康养殖技术提升开展培训，参训学员为江门市区域内从事养殖行业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预制菜产业技术培训班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培训50人，培训时长2天，包括1天集中理论授课和1天实地观摩实操实训。针对江门全市区域内预制菜产业发展所需相关技术，预制菜产业发展趋势、标准等内容开展培训，参训学员为江门市区域内预制菜产业从业人员。</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农业经营管理人才培训班</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50人，培训时长2天，包括1天集中理论授课和1天实地观摩实操实训。针对江门全市区域内新型农业经营主体负责人，以及负责镇、村集体经济发展、运营、管理的干部，经营人员等开展培训。培训内容包括强农惠农政策解读，美丽乡村经济发展运营、新型经营主体发展培育与创新管理、集体经济发展壮大模式与路径等相关内容培训学习。</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val="0"/>
          <w:color w:val="auto"/>
          <w:sz w:val="32"/>
          <w:szCs w:val="32"/>
          <w:highlight w:val="none"/>
        </w:rPr>
      </w:pPr>
      <w:r>
        <w:rPr>
          <w:rFonts w:hint="eastAsia" w:ascii="方正楷体_GBK" w:hAnsi="方正楷体_GBK" w:eastAsia="方正楷体_GBK" w:cs="方正楷体_GBK"/>
          <w:b/>
          <w:bCs w:val="0"/>
          <w:color w:val="auto"/>
          <w:sz w:val="32"/>
          <w:szCs w:val="32"/>
          <w:highlight w:val="none"/>
        </w:rPr>
        <w:t>2.工作成果</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月底前，完成所有培训班的组织实施，共培训学员</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0人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（如发生特殊情况，可根据采购实际适当延后培训完成时间。）</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（1）学员档案。包括培训班学员花名册、作业成果（若有）、考核材料。</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（2）教学档案。教学计划（课程表）、教材、师资信息、课程签到表、课堂（含现场观摩）视图材料、学员满意度调查表等。</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（3）培训评估报告。每个培训班结业后各提交1份培训评估报告，</w:t>
      </w:r>
      <w:r>
        <w:rPr>
          <w:rFonts w:hint="eastAsia" w:ascii="仿宋_GB2312" w:hAnsi="仿宋_GB2312" w:eastAsia="仿宋_GB2312" w:cs="仿宋_GB2312"/>
          <w:color w:val="auto"/>
          <w:sz w:val="32"/>
          <w:szCs w:val="32"/>
          <w:highlight w:val="none"/>
          <w:lang w:eastAsia="zh-CN"/>
        </w:rPr>
        <w:t>整个</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完成后</w:t>
      </w:r>
      <w:r>
        <w:rPr>
          <w:rFonts w:hint="eastAsia" w:ascii="仿宋_GB2312" w:hAnsi="仿宋_GB2312" w:eastAsia="仿宋_GB2312" w:cs="仿宋_GB2312"/>
          <w:color w:val="auto"/>
          <w:sz w:val="32"/>
          <w:szCs w:val="32"/>
          <w:highlight w:val="none"/>
        </w:rPr>
        <w:t>提供1份项目总结报告。</w:t>
      </w:r>
    </w:p>
    <w:p>
      <w:pPr>
        <w:adjustRightInd w:val="0"/>
        <w:snapToGrid w:val="0"/>
        <w:spacing w:line="580" w:lineRule="exact"/>
        <w:ind w:firstLine="642" w:firstLineChars="200"/>
        <w:outlineLvl w:val="0"/>
        <w:rPr>
          <w:rFonts w:hint="eastAsia" w:ascii="方正楷体_GBK" w:hAnsi="方正楷体_GBK" w:eastAsia="方正楷体_GBK" w:cs="方正楷体_GBK"/>
          <w:b/>
          <w:bCs w:val="0"/>
          <w:color w:val="auto"/>
          <w:kern w:val="2"/>
          <w:sz w:val="32"/>
          <w:szCs w:val="32"/>
          <w:highlight w:val="none"/>
          <w:lang w:val="en-US" w:eastAsia="zh-CN" w:bidi="ar-SA"/>
        </w:rPr>
      </w:pPr>
      <w:r>
        <w:rPr>
          <w:rFonts w:hint="eastAsia" w:ascii="方正楷体_GBK" w:hAnsi="方正楷体_GBK" w:eastAsia="方正楷体_GBK" w:cs="方正楷体_GBK"/>
          <w:b/>
          <w:bCs w:val="0"/>
          <w:color w:val="auto"/>
          <w:kern w:val="2"/>
          <w:sz w:val="32"/>
          <w:szCs w:val="32"/>
          <w:highlight w:val="none"/>
          <w:lang w:val="en-US" w:eastAsia="zh-CN" w:bidi="ar-SA"/>
        </w:rPr>
        <w:t>3.项目验收</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（1）验收要求。完成采购人规定的全部工作内容（需提供项目资金审计报告）。</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（2）验收方式。采购人依法自行组织项目验收，并出具验收报告，验收所需一切费用由成交</w:t>
      </w:r>
      <w:bookmarkStart w:id="4" w:name="_GoBack"/>
      <w:bookmarkEnd w:id="4"/>
      <w:r>
        <w:rPr>
          <w:rFonts w:hint="eastAsia" w:ascii="仿宋_GB2312" w:hAnsi="仿宋_GB2312" w:eastAsia="仿宋_GB2312" w:cs="仿宋_GB2312"/>
          <w:color w:val="auto"/>
          <w:sz w:val="32"/>
          <w:szCs w:val="32"/>
          <w:highlight w:val="none"/>
        </w:rPr>
        <w:t>供应商承担，履约验收的各项资料应当存档备查；验收未通过或存在较大质量问题的项目，采购人应依法追究违约中标方的法律责任。</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（3）验收结果。以通过验收为准。</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（4）验收标准。完成项目包工作内容、工作目标、工作成果提交，以及</w:t>
      </w:r>
      <w:r>
        <w:rPr>
          <w:rFonts w:hint="eastAsia" w:ascii="仿宋_GB2312" w:hAnsi="仿宋_GB2312" w:eastAsia="仿宋_GB2312" w:cs="仿宋_GB2312"/>
          <w:color w:val="auto"/>
          <w:sz w:val="32"/>
          <w:szCs w:val="32"/>
          <w:highlight w:val="none"/>
          <w:lang w:eastAsia="zh-CN"/>
        </w:rPr>
        <w:t>参照</w:t>
      </w:r>
      <w:r>
        <w:rPr>
          <w:rFonts w:hint="eastAsia" w:ascii="仿宋_GB2312" w:hAnsi="仿宋_GB2312" w:eastAsia="仿宋_GB2312" w:cs="仿宋_GB2312"/>
          <w:color w:val="auto"/>
          <w:sz w:val="32"/>
          <w:szCs w:val="32"/>
          <w:highlight w:val="none"/>
        </w:rPr>
        <w:t>农业农村部、省农业农村厅关于</w:t>
      </w:r>
      <w:r>
        <w:rPr>
          <w:rFonts w:hint="eastAsia" w:ascii="仿宋_GB2312" w:hAnsi="仿宋_GB2312" w:eastAsia="仿宋_GB2312" w:cs="仿宋_GB2312"/>
          <w:color w:val="auto"/>
          <w:sz w:val="32"/>
          <w:szCs w:val="32"/>
          <w:highlight w:val="none"/>
          <w:lang w:eastAsia="zh-CN"/>
        </w:rPr>
        <w:t>高素质农民培育项目验收</w:t>
      </w:r>
      <w:r>
        <w:rPr>
          <w:rFonts w:hint="eastAsia" w:ascii="仿宋_GB2312" w:hAnsi="仿宋_GB2312" w:eastAsia="仿宋_GB2312" w:cs="仿宋_GB2312"/>
          <w:color w:val="auto"/>
          <w:sz w:val="32"/>
          <w:szCs w:val="32"/>
          <w:highlight w:val="none"/>
        </w:rPr>
        <w:t>相关规范要求。</w:t>
      </w:r>
    </w:p>
    <w:p>
      <w:pPr>
        <w:adjustRightInd w:val="0"/>
        <w:snapToGrid w:val="0"/>
        <w:spacing w:line="580" w:lineRule="exact"/>
        <w:ind w:firstLine="642" w:firstLineChars="200"/>
        <w:outlineLvl w:val="0"/>
        <w:rPr>
          <w:rFonts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4.付款办法</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（1）签订合同，经采购人和供应商双方确认之日起10个工作日内支付合同金额的40%。</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（2）采购项目中所有培训班组织实施，并经采购人确认之日起10个工作日内支付合同金额的50%。</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（3）完成采购项目中规定的所有工作任务，提交相关成果材料和工作台账，成交供应商完成全部项目成果并通过验收，经采购人确认之日起10个工作日内支付合同金额的10%。</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（4）结算方式。转账结算（银行转账）。</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（5）开具发票。成交供应商收款时必须持有效发票。</w:t>
      </w:r>
    </w:p>
    <w:p>
      <w:pPr>
        <w:pStyle w:val="2"/>
        <w:spacing w:line="580" w:lineRule="exact"/>
        <w:ind w:left="638" w:leftChars="304"/>
        <w:rPr>
          <w:rFonts w:ascii="CESI黑体-GB2312" w:hAnsi="CESI黑体-GB2312" w:eastAsia="CESI黑体-GB2312" w:cs="CESI黑体-GB2312"/>
          <w:color w:val="auto"/>
          <w:sz w:val="32"/>
          <w:szCs w:val="32"/>
          <w:highlight w:val="none"/>
        </w:rPr>
      </w:pPr>
      <w:r>
        <w:rPr>
          <w:rFonts w:hint="eastAsia" w:ascii="仿宋_GB2312" w:hAnsi="仿宋_GB2312" w:eastAsia="仿宋_GB2312" w:cs="仿宋_GB2312"/>
          <w:color w:val="auto"/>
          <w:sz w:val="32"/>
          <w:szCs w:val="32"/>
          <w:highlight w:val="none"/>
        </w:rPr>
        <w:t>（6）招标代理费用由成交供应商按合同标的比例承担。</w:t>
      </w:r>
      <w:r>
        <w:rPr>
          <w:rFonts w:hint="eastAsia" w:ascii="方正黑体_GBK" w:hAnsi="方正黑体_GBK" w:eastAsia="方正黑体_GBK" w:cs="方正黑体_GBK"/>
          <w:color w:val="auto"/>
          <w:kern w:val="2"/>
          <w:sz w:val="32"/>
          <w:szCs w:val="32"/>
          <w:highlight w:val="none"/>
          <w:lang w:val="en" w:eastAsia="zh-CN" w:bidi="ar-SA"/>
        </w:rPr>
        <w:t>四、评分标准</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采购方邀请不少于三家符合资格条件的供应商提交响应文件，对响应文件进行公开唱标（评审过程中只有两家符合资格条件的可以继续进行）。供应商给予不少于二次的报价，通过综合评分标准评审</w:t>
      </w:r>
      <w:r>
        <w:rPr>
          <w:rFonts w:hint="eastAsia" w:ascii="仿宋_GB2312" w:hAnsi="仿宋_GB2312" w:eastAsia="仿宋_GB2312" w:cs="仿宋_GB2312"/>
          <w:color w:val="auto"/>
          <w:sz w:val="32"/>
          <w:szCs w:val="32"/>
          <w:highlight w:val="none"/>
        </w:rPr>
        <w:t>，确定排名第一的供应商为项目承担单位。</w:t>
      </w: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p>
    <w:p>
      <w:pPr>
        <w:adjustRightInd w:val="0"/>
        <w:snapToGrid w:val="0"/>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附表：1.资格性审查表</w:t>
      </w:r>
    </w:p>
    <w:p>
      <w:pPr>
        <w:adjustRightInd w:val="0"/>
        <w:snapToGrid w:val="0"/>
        <w:spacing w:line="58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2.符合性审查表</w:t>
      </w:r>
    </w:p>
    <w:p>
      <w:pPr>
        <w:adjustRightInd w:val="0"/>
        <w:snapToGrid w:val="0"/>
        <w:spacing w:line="58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3.评分标准</w:t>
      </w:r>
    </w:p>
    <w:p>
      <w:pPr>
        <w:adjustRightInd w:val="0"/>
        <w:snapToGrid w:val="0"/>
        <w:spacing w:line="580" w:lineRule="exact"/>
        <w:ind w:firstLine="1600" w:firstLine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4.设施设备清单</w:t>
      </w:r>
    </w:p>
    <w:p>
      <w:pPr>
        <w:rPr>
          <w:rFonts w:hint="eastAsia" w:ascii="仿宋_GB2312" w:hAnsi="仿宋" w:eastAsia="仿宋_GB2312"/>
          <w:b/>
          <w:color w:val="auto"/>
          <w:kern w:val="0"/>
          <w:sz w:val="32"/>
          <w:szCs w:val="32"/>
          <w:highlight w:val="none"/>
          <w:lang w:eastAsia="zh-CN"/>
        </w:rPr>
      </w:pPr>
      <w:r>
        <w:rPr>
          <w:rFonts w:hint="eastAsia" w:ascii="仿宋_GB2312" w:hAnsi="仿宋" w:eastAsia="仿宋_GB2312"/>
          <w:b/>
          <w:bCs/>
          <w:color w:val="auto"/>
          <w:sz w:val="32"/>
          <w:szCs w:val="32"/>
          <w:highlight w:val="none"/>
        </w:rPr>
        <w:br w:type="page"/>
      </w:r>
    </w:p>
    <w:p>
      <w:pPr>
        <w:spacing w:line="360" w:lineRule="auto"/>
        <w:jc w:val="center"/>
        <w:rPr>
          <w:rFonts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表1：资格性审查表</w:t>
      </w:r>
    </w:p>
    <w:tbl>
      <w:tblPr>
        <w:tblStyle w:val="13"/>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555"/>
        <w:gridCol w:w="4069"/>
        <w:gridCol w:w="108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pPr>
              <w:spacing w:line="360" w:lineRule="auto"/>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资格性审查</w:t>
            </w:r>
          </w:p>
          <w:p>
            <w:pPr>
              <w:adjustRightInd w:val="0"/>
              <w:snapToGrid w:val="0"/>
              <w:ind w:left="113" w:right="113"/>
              <w:jc w:val="center"/>
              <w:rPr>
                <w:rFonts w:ascii="宋体" w:cs="宋体"/>
                <w:color w:val="auto"/>
                <w:sz w:val="28"/>
                <w:szCs w:val="28"/>
                <w:highlight w:val="none"/>
              </w:rPr>
            </w:pPr>
          </w:p>
        </w:tc>
        <w:tc>
          <w:tcPr>
            <w:tcW w:w="46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①供应商应具备《中华人民共和国政府采购法》第二十二条规定的条件;</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555" w:type="dxa"/>
            <w:vMerge w:val="restart"/>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信用证明是否提供</w:t>
            </w:r>
          </w:p>
        </w:tc>
        <w:tc>
          <w:tcPr>
            <w:tcW w:w="4069" w:type="dxa"/>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②未被列入“信用中国”网站（www.creditchina.gov.cn）“记录失信被执行人或重大税收违法案件当事人名单或政府采购严重违法失信行为”记录名单</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555" w:type="dxa"/>
            <w:vMerge w:val="continue"/>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p>
        </w:tc>
        <w:tc>
          <w:tcPr>
            <w:tcW w:w="4069" w:type="dxa"/>
            <w:tcBorders>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③不处于中国政府采购网（www.ccgp.gov.cn）“政府采购严重违法失信行为信息记录”中的禁止参加政府采购活动期间</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ascii="宋体" w:cs="宋体"/>
                <w:color w:val="auto"/>
                <w:sz w:val="28"/>
                <w:szCs w:val="28"/>
                <w:highlight w:val="none"/>
              </w:rPr>
            </w:pPr>
          </w:p>
        </w:tc>
        <w:tc>
          <w:tcPr>
            <w:tcW w:w="4624" w:type="dxa"/>
            <w:gridSpan w:val="2"/>
            <w:tcBorders>
              <w:top w:val="single" w:color="auto" w:sz="4" w:space="0"/>
              <w:left w:val="single" w:color="auto" w:sz="4" w:space="0"/>
              <w:right w:val="single" w:color="auto" w:sz="4" w:space="0"/>
            </w:tcBorders>
            <w:vAlign w:val="center"/>
          </w:tcPr>
          <w:p>
            <w:pPr>
              <w:adjustRightInd w:val="0"/>
              <w:snapToGrid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eastAsia="zh-CN"/>
              </w:rPr>
              <w:t>④</w:t>
            </w:r>
            <w:r>
              <w:rPr>
                <w:rFonts w:hint="eastAsia" w:ascii="仿宋_GB2312" w:hAnsi="宋体" w:eastAsia="仿宋_GB2312"/>
                <w:color w:val="auto"/>
                <w:sz w:val="28"/>
                <w:szCs w:val="28"/>
                <w:highlight w:val="none"/>
              </w:rPr>
              <w:t>供应商非联合体</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bl>
    <w:p>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rPr>
          <w:rFonts w:ascii="仿宋_GB2312" w:hAnsi="宋体" w:eastAsia="仿宋_GB2312"/>
          <w:color w:val="auto"/>
          <w:sz w:val="32"/>
          <w:szCs w:val="32"/>
          <w:highlight w:val="none"/>
        </w:rPr>
      </w:pP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pPr>
        <w:pStyle w:val="2"/>
        <w:rPr>
          <w:rFonts w:hint="eastAsia" w:ascii="仿宋_GB2312" w:hAnsi="宋体" w:eastAsia="仿宋_GB2312"/>
          <w:color w:val="auto"/>
          <w:sz w:val="28"/>
          <w:szCs w:val="28"/>
          <w:highlight w:val="none"/>
        </w:rPr>
      </w:pPr>
    </w:p>
    <w:p>
      <w:pPr>
        <w:rPr>
          <w:rFonts w:hint="eastAsia" w:ascii="仿宋_GB2312" w:hAnsi="仿宋" w:eastAsia="仿宋_GB2312"/>
          <w:b/>
          <w:color w:val="auto"/>
          <w:kern w:val="0"/>
          <w:sz w:val="32"/>
          <w:szCs w:val="32"/>
          <w:highlight w:val="none"/>
          <w:lang w:eastAsia="zh-CN"/>
        </w:rPr>
      </w:pPr>
      <w:r>
        <w:rPr>
          <w:rFonts w:hint="eastAsia"/>
        </w:rPr>
        <w:br w:type="page"/>
      </w:r>
    </w:p>
    <w:p>
      <w:pPr>
        <w:spacing w:line="360" w:lineRule="auto"/>
        <w:jc w:val="center"/>
        <w:rPr>
          <w:rFonts w:hint="eastAsia" w:ascii="仿宋_GB2312" w:hAnsi="宋体" w:eastAsia="仿宋_GB2312"/>
          <w:color w:val="auto"/>
          <w:sz w:val="28"/>
          <w:szCs w:val="28"/>
          <w:highlight w:val="none"/>
        </w:rPr>
      </w:pPr>
      <w:r>
        <w:rPr>
          <w:rFonts w:hint="eastAsia" w:ascii="仿宋_GB2312" w:hAnsi="仿宋" w:eastAsia="仿宋_GB2312"/>
          <w:b/>
          <w:color w:val="auto"/>
          <w:kern w:val="0"/>
          <w:sz w:val="32"/>
          <w:szCs w:val="32"/>
          <w:highlight w:val="none"/>
          <w:lang w:eastAsia="zh-CN"/>
        </w:rPr>
        <w:t>附</w:t>
      </w:r>
      <w:r>
        <w:rPr>
          <w:rFonts w:hint="eastAsia" w:ascii="仿宋_GB2312" w:hAnsi="仿宋" w:eastAsia="仿宋_GB2312"/>
          <w:b/>
          <w:color w:val="auto"/>
          <w:kern w:val="0"/>
          <w:sz w:val="32"/>
          <w:szCs w:val="32"/>
          <w:highlight w:val="none"/>
        </w:rPr>
        <w:t>表</w:t>
      </w:r>
      <w:r>
        <w:rPr>
          <w:rFonts w:hint="eastAsia" w:ascii="仿宋_GB2312" w:hAnsi="仿宋" w:eastAsia="仿宋_GB2312"/>
          <w:b/>
          <w:color w:val="auto"/>
          <w:kern w:val="0"/>
          <w:sz w:val="32"/>
          <w:szCs w:val="32"/>
          <w:highlight w:val="none"/>
          <w:lang w:val="en-US" w:eastAsia="zh-CN"/>
        </w:rPr>
        <w:t>2</w:t>
      </w:r>
      <w:r>
        <w:rPr>
          <w:rFonts w:hint="eastAsia" w:ascii="仿宋_GB2312" w:hAnsi="仿宋" w:eastAsia="仿宋_GB2312"/>
          <w:b/>
          <w:color w:val="auto"/>
          <w:kern w:val="0"/>
          <w:sz w:val="32"/>
          <w:szCs w:val="32"/>
          <w:highlight w:val="none"/>
        </w:rPr>
        <w:t>：</w:t>
      </w:r>
      <w:r>
        <w:rPr>
          <w:rFonts w:hint="eastAsia" w:ascii="仿宋_GB2312" w:hAnsi="仿宋" w:eastAsia="仿宋_GB2312"/>
          <w:b/>
          <w:color w:val="auto"/>
          <w:kern w:val="0"/>
          <w:sz w:val="32"/>
          <w:szCs w:val="32"/>
          <w:highlight w:val="none"/>
          <w:lang w:val="en-US" w:eastAsia="zh-CN"/>
        </w:rPr>
        <w:t>符合</w:t>
      </w:r>
      <w:r>
        <w:rPr>
          <w:rFonts w:hint="eastAsia" w:ascii="仿宋_GB2312" w:hAnsi="仿宋" w:eastAsia="仿宋_GB2312"/>
          <w:b/>
          <w:color w:val="auto"/>
          <w:kern w:val="0"/>
          <w:sz w:val="32"/>
          <w:szCs w:val="32"/>
          <w:highlight w:val="none"/>
        </w:rPr>
        <w:t>性审查表</w:t>
      </w:r>
    </w:p>
    <w:tbl>
      <w:tblPr>
        <w:tblStyle w:val="13"/>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624"/>
        <w:gridCol w:w="1088"/>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restart"/>
            <w:tcBorders>
              <w:top w:val="single" w:color="auto" w:sz="4" w:space="0"/>
              <w:left w:val="single" w:color="auto" w:sz="4" w:space="0"/>
              <w:right w:val="single" w:color="auto" w:sz="4" w:space="0"/>
            </w:tcBorders>
            <w:textDirection w:val="tbRlV"/>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w:t>
            </w:r>
            <w:r>
              <w:rPr>
                <w:rFonts w:hint="eastAsia" w:ascii="仿宋" w:hAnsi="仿宋" w:eastAsia="仿宋" w:cs="仿宋"/>
                <w:color w:val="auto"/>
                <w:sz w:val="28"/>
                <w:szCs w:val="28"/>
                <w:highlight w:val="none"/>
              </w:rPr>
              <w:t>性审查</w:t>
            </w:r>
          </w:p>
        </w:tc>
        <w:tc>
          <w:tcPr>
            <w:tcW w:w="46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①</w:t>
            </w:r>
            <w:r>
              <w:rPr>
                <w:rFonts w:hint="eastAsia" w:ascii="仿宋" w:hAnsi="仿宋" w:eastAsia="仿宋" w:cs="仿宋"/>
                <w:color w:val="auto"/>
                <w:spacing w:val="0"/>
                <w:w w:val="100"/>
                <w:position w:val="0"/>
                <w:sz w:val="28"/>
                <w:szCs w:val="28"/>
                <w:highlight w:val="none"/>
              </w:rPr>
              <w:t>满足招标文件实质性要求</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98" w:type="dxa"/>
            <w:vMerge w:val="continue"/>
            <w:tcBorders>
              <w:left w:val="single" w:color="auto" w:sz="4" w:space="0"/>
              <w:right w:val="single" w:color="auto" w:sz="4" w:space="0"/>
            </w:tcBorders>
            <w:textDirection w:val="tbRlV"/>
            <w:vAlign w:val="center"/>
          </w:tcPr>
          <w:p>
            <w:pPr>
              <w:adjustRightInd w:val="0"/>
              <w:snapToGrid w:val="0"/>
              <w:ind w:left="113" w:right="113"/>
              <w:jc w:val="center"/>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②</w:t>
            </w:r>
            <w:r>
              <w:rPr>
                <w:rFonts w:hint="eastAsia" w:ascii="仿宋" w:hAnsi="仿宋" w:eastAsia="仿宋" w:cs="仿宋"/>
                <w:color w:val="auto"/>
                <w:spacing w:val="0"/>
                <w:w w:val="100"/>
                <w:position w:val="0"/>
                <w:sz w:val="28"/>
                <w:szCs w:val="28"/>
                <w:highlight w:val="none"/>
              </w:rPr>
              <w:t>有效的《法定代表人证明书》或者《法定代表人授权书》</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③</w:t>
            </w:r>
            <w:r>
              <w:rPr>
                <w:rFonts w:hint="eastAsia" w:ascii="仿宋" w:hAnsi="仿宋" w:eastAsia="仿宋" w:cs="仿宋"/>
                <w:color w:val="auto"/>
                <w:spacing w:val="0"/>
                <w:w w:val="100"/>
                <w:position w:val="0"/>
                <w:sz w:val="28"/>
                <w:szCs w:val="28"/>
                <w:highlight w:val="none"/>
              </w:rPr>
              <w:t>投标报价符合招标文件要求。</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不超过52.25万</w:t>
            </w:r>
            <w:r>
              <w:rPr>
                <w:rFonts w:hint="eastAsia" w:ascii="仿宋" w:hAnsi="仿宋" w:eastAsia="仿宋" w:cs="仿宋"/>
                <w:color w:val="auto"/>
                <w:spacing w:val="0"/>
                <w:w w:val="100"/>
                <w:position w:val="0"/>
                <w:sz w:val="28"/>
                <w:szCs w:val="28"/>
                <w:highlight w:val="none"/>
                <w:lang w:eastAsia="zh-CN"/>
              </w:rPr>
              <w:t>）</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④投标有效期符合招标文件要求</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⑤投标文件无采购人不能接受的条件</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8"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auto"/>
                <w:sz w:val="28"/>
                <w:szCs w:val="28"/>
                <w:highlight w:val="none"/>
              </w:rPr>
            </w:pPr>
          </w:p>
        </w:tc>
        <w:tc>
          <w:tcPr>
            <w:tcW w:w="4624" w:type="dxa"/>
            <w:tcBorders>
              <w:top w:val="single" w:color="auto" w:sz="4" w:space="0"/>
              <w:left w:val="single" w:color="auto" w:sz="4" w:space="0"/>
              <w:right w:val="single" w:color="auto" w:sz="4" w:space="0"/>
            </w:tcBorders>
            <w:vAlign w:val="center"/>
          </w:tcPr>
          <w:p>
            <w:pPr>
              <w:adjustRightInd w:val="0"/>
              <w:snapToGrid w:val="0"/>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⑥</w:t>
            </w:r>
            <w:r>
              <w:rPr>
                <w:rFonts w:hint="eastAsia" w:ascii="仿宋" w:hAnsi="仿宋" w:eastAsia="仿宋" w:cs="仿宋"/>
                <w:color w:val="auto"/>
                <w:spacing w:val="0"/>
                <w:w w:val="100"/>
                <w:position w:val="0"/>
                <w:sz w:val="28"/>
                <w:szCs w:val="28"/>
                <w:highlight w:val="none"/>
              </w:rPr>
              <w:t>没有其他未实质性响应招标文件要求的。</w:t>
            </w:r>
          </w:p>
        </w:tc>
        <w:tc>
          <w:tcPr>
            <w:tcW w:w="108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55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olor w:val="auto"/>
                <w:sz w:val="28"/>
                <w:szCs w:val="28"/>
                <w:highlight w:val="none"/>
              </w:rPr>
            </w:pPr>
          </w:p>
        </w:tc>
      </w:tr>
    </w:tbl>
    <w:p>
      <w:pPr>
        <w:rPr>
          <w:rFonts w:ascii="方正仿宋_GBK" w:hAnsi="方正仿宋_GBK" w:eastAsia="方正仿宋_GBK" w:cs="方正仿宋_GBK"/>
          <w:b/>
          <w:color w:val="auto"/>
          <w:kern w:val="0"/>
          <w:sz w:val="32"/>
          <w:szCs w:val="32"/>
          <w:highlight w:val="none"/>
        </w:rPr>
      </w:pPr>
    </w:p>
    <w:p>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pStyle w:val="2"/>
        <w:rPr>
          <w:color w:val="auto"/>
          <w:highlight w:val="none"/>
        </w:rPr>
      </w:pPr>
    </w:p>
    <w:p>
      <w:pPr>
        <w:rPr>
          <w:color w:val="auto"/>
          <w:highlight w:val="none"/>
        </w:rPr>
      </w:pPr>
    </w:p>
    <w:p>
      <w:pPr>
        <w:pStyle w:val="6"/>
        <w:rPr>
          <w:color w:val="auto"/>
          <w:highlight w:val="none"/>
        </w:rPr>
      </w:pPr>
    </w:p>
    <w:p>
      <w:pPr>
        <w:pStyle w:val="6"/>
        <w:rPr>
          <w:color w:val="auto"/>
          <w:highlight w:val="none"/>
        </w:rPr>
      </w:pPr>
    </w:p>
    <w:p>
      <w:pP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专家签名：</w:t>
      </w:r>
    </w:p>
    <w:p>
      <w:pPr>
        <w:pStyle w:val="6"/>
        <w:rPr>
          <w:color w:val="auto"/>
          <w:highlight w:val="none"/>
        </w:rPr>
      </w:pPr>
    </w:p>
    <w:p>
      <w:pPr>
        <w:rPr>
          <w:rFonts w:hint="eastAsia" w:ascii="仿宋_GB2312" w:hAnsi="仿宋" w:eastAsia="仿宋_GB2312"/>
          <w:b/>
          <w:color w:val="auto"/>
          <w:kern w:val="0"/>
          <w:sz w:val="32"/>
          <w:szCs w:val="32"/>
          <w:highlight w:val="none"/>
          <w:lang w:eastAsia="zh-CN"/>
        </w:rPr>
      </w:pPr>
      <w:r>
        <w:rPr>
          <w:rFonts w:hint="eastAsia" w:ascii="方正仿宋_GBK" w:hAnsi="方正仿宋_GBK" w:eastAsia="方正仿宋_GBK" w:cs="方正仿宋_GBK"/>
          <w:b/>
          <w:color w:val="auto"/>
          <w:kern w:val="0"/>
          <w:sz w:val="32"/>
          <w:szCs w:val="32"/>
          <w:highlight w:val="none"/>
        </w:rPr>
        <w:br w:type="page"/>
      </w:r>
    </w:p>
    <w:p>
      <w:pPr>
        <w:jc w:val="center"/>
        <w:rPr>
          <w:rFonts w:hint="eastAsia" w:ascii="楷体" w:hAnsi="楷体" w:eastAsia="楷体" w:cs="楷体"/>
          <w:color w:val="auto"/>
          <w:sz w:val="32"/>
          <w:szCs w:val="32"/>
          <w:highlight w:val="none"/>
        </w:rPr>
      </w:pPr>
      <w:r>
        <w:rPr>
          <w:rFonts w:hint="eastAsia" w:ascii="仿宋_GB2312" w:hAnsi="仿宋" w:eastAsia="仿宋_GB2312"/>
          <w:b/>
          <w:color w:val="auto"/>
          <w:kern w:val="0"/>
          <w:sz w:val="32"/>
          <w:szCs w:val="32"/>
          <w:highlight w:val="none"/>
          <w:lang w:eastAsia="zh-CN"/>
        </w:rPr>
        <w:t>附</w:t>
      </w:r>
      <w:r>
        <w:rPr>
          <w:rFonts w:hint="eastAsia" w:ascii="方正仿宋_GBK" w:hAnsi="方正仿宋_GBK" w:eastAsia="方正仿宋_GBK" w:cs="方正仿宋_GBK"/>
          <w:b/>
          <w:color w:val="auto"/>
          <w:kern w:val="0"/>
          <w:sz w:val="32"/>
          <w:szCs w:val="32"/>
          <w:highlight w:val="none"/>
        </w:rPr>
        <w:t>表</w:t>
      </w:r>
      <w:r>
        <w:rPr>
          <w:rFonts w:hint="eastAsia" w:ascii="方正仿宋_GBK" w:hAnsi="方正仿宋_GBK" w:eastAsia="方正仿宋_GBK" w:cs="方正仿宋_GBK"/>
          <w:b/>
          <w:color w:val="auto"/>
          <w:kern w:val="0"/>
          <w:sz w:val="32"/>
          <w:szCs w:val="32"/>
          <w:highlight w:val="none"/>
          <w:lang w:val="en-US" w:eastAsia="zh-CN"/>
        </w:rPr>
        <w:t>3</w:t>
      </w:r>
      <w:r>
        <w:rPr>
          <w:rFonts w:hint="eastAsia" w:ascii="方正仿宋_GBK" w:hAnsi="方正仿宋_GBK" w:eastAsia="方正仿宋_GBK" w:cs="方正仿宋_GBK"/>
          <w:b/>
          <w:color w:val="auto"/>
          <w:kern w:val="0"/>
          <w:sz w:val="32"/>
          <w:szCs w:val="32"/>
          <w:highlight w:val="none"/>
        </w:rPr>
        <w:t>：</w:t>
      </w:r>
      <w:r>
        <w:rPr>
          <w:rFonts w:hint="eastAsia" w:ascii="楷体" w:hAnsi="楷体" w:eastAsia="楷体" w:cs="楷体"/>
          <w:color w:val="auto"/>
          <w:sz w:val="32"/>
          <w:szCs w:val="32"/>
          <w:highlight w:val="none"/>
        </w:rPr>
        <w:t>1.技术评分标准（共</w:t>
      </w:r>
      <w:r>
        <w:rPr>
          <w:rFonts w:hint="eastAsia" w:ascii="楷体" w:hAnsi="楷体" w:eastAsia="楷体" w:cs="楷体"/>
          <w:color w:val="auto"/>
          <w:sz w:val="32"/>
          <w:szCs w:val="32"/>
          <w:highlight w:val="none"/>
          <w:lang w:val="en-US" w:eastAsia="zh-CN"/>
        </w:rPr>
        <w:t>4</w:t>
      </w:r>
      <w:r>
        <w:rPr>
          <w:rFonts w:hint="eastAsia" w:ascii="楷体" w:hAnsi="楷体" w:eastAsia="楷体" w:cs="楷体"/>
          <w:color w:val="auto"/>
          <w:sz w:val="32"/>
          <w:szCs w:val="32"/>
          <w:highlight w:val="none"/>
        </w:rPr>
        <w:t>0分）</w:t>
      </w:r>
    </w:p>
    <w:tbl>
      <w:tblPr>
        <w:tblStyle w:val="13"/>
        <w:tblW w:w="60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6"/>
        <w:gridCol w:w="1498"/>
        <w:gridCol w:w="8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exact"/>
          <w:jc w:val="center"/>
        </w:trPr>
        <w:tc>
          <w:tcPr>
            <w:tcW w:w="260" w:type="pct"/>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728" w:type="pct"/>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评审内容及分值</w:t>
            </w:r>
          </w:p>
        </w:tc>
        <w:tc>
          <w:tcPr>
            <w:tcW w:w="4011" w:type="pct"/>
            <w:vAlign w:val="center"/>
          </w:tcPr>
          <w:p>
            <w:pPr>
              <w:spacing w:line="400" w:lineRule="exact"/>
              <w:jc w:val="center"/>
              <w:rPr>
                <w:rFonts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6" w:hRule="exact"/>
          <w:jc w:val="center"/>
        </w:trPr>
        <w:tc>
          <w:tcPr>
            <w:tcW w:w="260" w:type="pct"/>
            <w:vAlign w:val="center"/>
          </w:tcPr>
          <w:p>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728" w:type="pct"/>
            <w:vAlign w:val="center"/>
          </w:tcPr>
          <w:p>
            <w:pPr>
              <w:spacing w:line="360" w:lineRule="exact"/>
              <w:jc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服务方案（15分）</w:t>
            </w:r>
          </w:p>
        </w:tc>
        <w:tc>
          <w:tcPr>
            <w:tcW w:w="4011" w:type="pct"/>
            <w:vAlign w:val="center"/>
          </w:tcPr>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根据供应商项目实施方案，结合培训班主题和培训目标、培训内容，制定科学、合理、可行的服务方案：</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1.对项目工作内容和要求理解到位，服务方案（含项目计划）内容全面详细，针对性、操作性强，组织实施方案详细，保障措施和应急措施具体可操作性强，疫情防控及教学安全等应急措施完善有效的，得15分；</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2.对项目工作内容和要求较好了解，服务方案（含项目计划）内容较详细，针对性、操作性一般，组织实施方案、保障措施、应急措施等基本能够满足需求的，得10分；</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3.对项目工作内容和要求基本了解，服务方案（含项目计划）内容完整，针对性、操作性欠缺，得5分；</w:t>
            </w:r>
          </w:p>
          <w:p>
            <w:pPr>
              <w:spacing w:line="3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4.对项目工作内容和要求不了解，提供的方案（含项目计划）不够详细，无针对性、可行性差，以及没有就项目实际情况提供技术服务方案的，得1分。</w:t>
            </w:r>
          </w:p>
          <w:p>
            <w:pPr>
              <w:spacing w:line="3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9" w:hRule="atLeast"/>
          <w:jc w:val="center"/>
        </w:trPr>
        <w:tc>
          <w:tcPr>
            <w:tcW w:w="260" w:type="pct"/>
            <w:vAlign w:val="center"/>
          </w:tcPr>
          <w:p>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p>
        </w:tc>
        <w:tc>
          <w:tcPr>
            <w:tcW w:w="728" w:type="pct"/>
            <w:vAlign w:val="center"/>
          </w:tcPr>
          <w:p>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师资配备（15分）</w:t>
            </w:r>
          </w:p>
        </w:tc>
        <w:tc>
          <w:tcPr>
            <w:tcW w:w="4011" w:type="pct"/>
            <w:vAlign w:val="center"/>
          </w:tcPr>
          <w:p>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供应商须配有实施项目对应的课程的专业讲师队伍以及配有专职教学管理员：</w:t>
            </w:r>
          </w:p>
          <w:p>
            <w:pPr>
              <w:numPr>
                <w:ilvl w:val="0"/>
                <w:numId w:val="1"/>
              </w:num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每配有1名副高及以上职称或博士学历专业讲师得3分；配有中级职称或硕士学历、乡土专家讲师得1分。</w:t>
            </w:r>
          </w:p>
          <w:p>
            <w:pPr>
              <w:numPr>
                <w:ilvl w:val="0"/>
                <w:numId w:val="1"/>
              </w:numPr>
              <w:spacing w:line="360" w:lineRule="exact"/>
              <w:ind w:left="0" w:leftChars="0" w:firstLine="0" w:firstLineChars="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每配有中级职称或本科学历以上的专职教学管理员的得1分。</w:t>
            </w:r>
          </w:p>
          <w:p>
            <w:pPr>
              <w:spacing w:line="360" w:lineRule="exact"/>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此项最高15分，缺任意一类别该项不得分</w:t>
            </w:r>
          </w:p>
          <w:p>
            <w:pPr>
              <w:spacing w:line="360" w:lineRule="exact"/>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注：讲师需提供身份证及职称证书复印件，无职称证书的提供学历证书；专职教学管理员需提供身份证、职称证书或学历证书及所在单位供应商近三个月内的其中一个月购买的社保证明，乡土专家师资需提供有关认定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5" w:hRule="atLeast"/>
          <w:jc w:val="center"/>
        </w:trPr>
        <w:tc>
          <w:tcPr>
            <w:tcW w:w="260" w:type="pct"/>
            <w:vAlign w:val="center"/>
          </w:tcPr>
          <w:p>
            <w:pPr>
              <w:spacing w:line="360" w:lineRule="exact"/>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3</w:t>
            </w:r>
          </w:p>
        </w:tc>
        <w:tc>
          <w:tcPr>
            <w:tcW w:w="728" w:type="pct"/>
            <w:vAlign w:val="center"/>
          </w:tcPr>
          <w:p>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资金预算和使用合理性</w:t>
            </w:r>
          </w:p>
          <w:p>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（10分）</w:t>
            </w:r>
          </w:p>
        </w:tc>
        <w:tc>
          <w:tcPr>
            <w:tcW w:w="4011" w:type="pct"/>
            <w:vAlign w:val="center"/>
          </w:tcPr>
          <w:p>
            <w:pPr>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1.资金预算方案细化、合理的，得10分；</w:t>
            </w:r>
          </w:p>
          <w:p>
            <w:pPr>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2.资金预算方案较合理的，得7分；</w:t>
            </w:r>
          </w:p>
          <w:p>
            <w:pPr>
              <w:spacing w:line="36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3.资金预算方案不够细化的，得4分；</w:t>
            </w:r>
          </w:p>
          <w:p>
            <w:pPr>
              <w:spacing w:line="360" w:lineRule="exact"/>
              <w:jc w:val="left"/>
              <w:rPr>
                <w:color w:val="auto"/>
                <w:highlight w:val="none"/>
              </w:rPr>
            </w:pPr>
            <w:r>
              <w:rPr>
                <w:rFonts w:hint="eastAsia" w:ascii="仿宋" w:hAnsi="仿宋" w:eastAsia="仿宋" w:cs="仿宋"/>
                <w:color w:val="auto"/>
                <w:kern w:val="0"/>
                <w:sz w:val="28"/>
                <w:szCs w:val="28"/>
                <w:highlight w:val="none"/>
              </w:rPr>
              <w:t>4.资金预算方案不合理或没有资金预算的不得分。</w:t>
            </w:r>
          </w:p>
        </w:tc>
      </w:tr>
    </w:tbl>
    <w:p>
      <w:pPr>
        <w:pStyle w:val="2"/>
        <w:spacing w:line="560" w:lineRule="exact"/>
        <w:rPr>
          <w:rFonts w:hint="eastAsia" w:ascii="楷体" w:hAnsi="楷体" w:eastAsia="楷体" w:cs="楷体"/>
          <w:color w:val="auto"/>
          <w:sz w:val="32"/>
          <w:szCs w:val="32"/>
          <w:highlight w:val="none"/>
        </w:rPr>
      </w:pPr>
    </w:p>
    <w:p>
      <w:pPr>
        <w:rPr>
          <w:rFonts w:hint="eastAsia"/>
        </w:rPr>
      </w:pPr>
      <w:r>
        <w:rPr>
          <w:rFonts w:hint="eastAsia"/>
        </w:rPr>
        <w:br w:type="page"/>
      </w:r>
    </w:p>
    <w:p>
      <w:pPr>
        <w:pStyle w:val="2"/>
        <w:spacing w:line="560" w:lineRule="exact"/>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2.商务评分标准（共</w:t>
      </w:r>
      <w:r>
        <w:rPr>
          <w:rFonts w:hint="eastAsia" w:ascii="楷体" w:hAnsi="楷体" w:eastAsia="楷体" w:cs="楷体"/>
          <w:color w:val="auto"/>
          <w:sz w:val="32"/>
          <w:szCs w:val="32"/>
          <w:highlight w:val="none"/>
          <w:lang w:val="en-US" w:eastAsia="zh-CN"/>
        </w:rPr>
        <w:t>3</w:t>
      </w:r>
      <w:r>
        <w:rPr>
          <w:rFonts w:hint="eastAsia" w:ascii="楷体" w:hAnsi="楷体" w:eastAsia="楷体" w:cs="楷体"/>
          <w:color w:val="auto"/>
          <w:sz w:val="32"/>
          <w:szCs w:val="32"/>
          <w:highlight w:val="none"/>
        </w:rPr>
        <w:t>0分）</w:t>
      </w:r>
    </w:p>
    <w:tbl>
      <w:tblPr>
        <w:tblStyle w:val="13"/>
        <w:tblW w:w="593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1625"/>
        <w:gridCol w:w="77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jc w:val="center"/>
        </w:trPr>
        <w:tc>
          <w:tcPr>
            <w:tcW w:w="770"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1625" w:type="dxa"/>
            <w:vAlign w:val="center"/>
          </w:tcPr>
          <w:p>
            <w:pPr>
              <w:spacing w:line="400" w:lineRule="exact"/>
              <w:jc w:val="center"/>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rPr>
              <w:t>评审内容及分值</w:t>
            </w:r>
          </w:p>
        </w:tc>
        <w:tc>
          <w:tcPr>
            <w:tcW w:w="7721"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评分细则</w:t>
            </w:r>
          </w:p>
        </w:tc>
      </w:tr>
      <w:tr>
        <w:tblPrEx>
          <w:tblCellMar>
            <w:top w:w="0" w:type="dxa"/>
            <w:left w:w="108" w:type="dxa"/>
            <w:bottom w:w="0" w:type="dxa"/>
            <w:right w:w="108" w:type="dxa"/>
          </w:tblCellMar>
        </w:tblPrEx>
        <w:trPr>
          <w:trHeight w:val="411" w:hRule="atLeast"/>
          <w:jc w:val="center"/>
        </w:trPr>
        <w:tc>
          <w:tcPr>
            <w:tcW w:w="770" w:type="dxa"/>
            <w:vAlign w:val="center"/>
          </w:tcPr>
          <w:p>
            <w:pPr>
              <w:spacing w:line="4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p>
        </w:tc>
        <w:tc>
          <w:tcPr>
            <w:tcW w:w="1625" w:type="dxa"/>
            <w:vAlign w:val="center"/>
          </w:tcPr>
          <w:p>
            <w:pPr>
              <w:spacing w:line="4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投标人实力（</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tc>
        <w:tc>
          <w:tcPr>
            <w:tcW w:w="7721" w:type="dxa"/>
            <w:vAlign w:val="center"/>
          </w:tcPr>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eastAsia="zh-CN"/>
              </w:rPr>
              <w:t>投标人为列入中组部、农业农村部或省农业农村厅认定的培训基地（综合类）名单的，得</w:t>
            </w:r>
            <w:r>
              <w:rPr>
                <w:rFonts w:hint="eastAsia" w:ascii="仿宋" w:hAnsi="仿宋" w:eastAsia="仿宋" w:cs="仿宋"/>
                <w:color w:val="auto"/>
                <w:sz w:val="28"/>
                <w:szCs w:val="28"/>
                <w:highlight w:val="none"/>
                <w:lang w:val="en-US" w:eastAsia="zh-CN"/>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70" w:type="dxa"/>
            <w:vAlign w:val="center"/>
          </w:tcPr>
          <w:p>
            <w:pPr>
              <w:spacing w:line="4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625" w:type="dxa"/>
            <w:vAlign w:val="center"/>
          </w:tcPr>
          <w:p>
            <w:pPr>
              <w:spacing w:line="4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拟投入的硬件和设施（</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7721" w:type="dxa"/>
            <w:vAlign w:val="center"/>
          </w:tcPr>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1、根据供应商提供的场地服务进行评分，评分标准包括但不仅限于：软硬件设施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见附表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（如有，须附上清单）、多媒体投影及音响设备、能开展在线直播等多渠道培训的、培训精品课件摄制的、能提供网上教学平台的等等；</w:t>
            </w:r>
          </w:p>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①投入设施非常齐全、合理，优于教学需要的，得5分；</w:t>
            </w:r>
          </w:p>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②投入设施齐全、合理性尚可，能满足教学需要的，得3分；</w:t>
            </w:r>
          </w:p>
          <w:p>
            <w:pPr>
              <w:spacing w:line="4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③投入设施不齐全、合理性一般，较满足教学需要的，得1分；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注：提供相关场所和教学设施的图片、清单加盖公章，不提供不得分。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2.有</w:t>
            </w:r>
            <w:r>
              <w:rPr>
                <w:rFonts w:hint="eastAsia" w:ascii="仿宋" w:hAnsi="仿宋" w:eastAsia="仿宋" w:cs="仿宋"/>
                <w:color w:val="auto"/>
                <w:sz w:val="28"/>
                <w:szCs w:val="28"/>
                <w:highlight w:val="none"/>
                <w:lang w:eastAsia="zh-CN"/>
              </w:rPr>
              <w:t>实习实训场所或合作实训基地的，得</w:t>
            </w:r>
            <w:r>
              <w:rPr>
                <w:rFonts w:hint="eastAsia" w:ascii="仿宋" w:hAnsi="仿宋" w:eastAsia="仿宋" w:cs="仿宋"/>
                <w:color w:val="auto"/>
                <w:sz w:val="28"/>
                <w:szCs w:val="28"/>
                <w:highlight w:val="none"/>
                <w:lang w:val="en-US" w:eastAsia="zh-CN"/>
              </w:rPr>
              <w:t>5分，没有的不得分；</w:t>
            </w:r>
          </w:p>
          <w:p>
            <w:pPr>
              <w:spacing w:line="40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eastAsia="zh-CN"/>
              </w:rPr>
              <w:t>相关场所和教学设施的图片、清单</w:t>
            </w:r>
            <w:r>
              <w:rPr>
                <w:rFonts w:hint="eastAsia" w:ascii="仿宋" w:hAnsi="仿宋" w:eastAsia="仿宋" w:cs="仿宋"/>
                <w:color w:val="auto"/>
                <w:sz w:val="28"/>
                <w:szCs w:val="28"/>
                <w:highlight w:val="none"/>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5" w:hRule="atLeast"/>
          <w:jc w:val="center"/>
        </w:trPr>
        <w:tc>
          <w:tcPr>
            <w:tcW w:w="770" w:type="dxa"/>
            <w:vAlign w:val="center"/>
          </w:tcPr>
          <w:p>
            <w:pPr>
              <w:spacing w:line="4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1625" w:type="dxa"/>
            <w:vAlign w:val="center"/>
          </w:tcPr>
          <w:p>
            <w:pPr>
              <w:spacing w:line="40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项目相关</w:t>
            </w:r>
          </w:p>
          <w:p>
            <w:pPr>
              <w:spacing w:line="40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业绩</w:t>
            </w:r>
          </w:p>
          <w:p>
            <w:pPr>
              <w:spacing w:line="40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bCs/>
                <w:color w:val="auto"/>
                <w:sz w:val="28"/>
                <w:szCs w:val="28"/>
                <w:highlight w:val="none"/>
              </w:rPr>
              <w:t>分）</w:t>
            </w:r>
          </w:p>
        </w:tc>
        <w:tc>
          <w:tcPr>
            <w:tcW w:w="7721" w:type="dxa"/>
            <w:vAlign w:val="center"/>
          </w:tcPr>
          <w:p>
            <w:pPr>
              <w:pStyle w:val="2"/>
              <w:numPr>
                <w:ilvl w:val="0"/>
                <w:numId w:val="2"/>
              </w:numPr>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近三年（20</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年1月1日至</w:t>
            </w:r>
            <w:r>
              <w:rPr>
                <w:rFonts w:hint="eastAsia" w:ascii="仿宋" w:hAnsi="仿宋" w:eastAsia="仿宋" w:cs="仿宋"/>
                <w:color w:val="auto"/>
                <w:kern w:val="0"/>
                <w:sz w:val="28"/>
                <w:szCs w:val="28"/>
                <w:highlight w:val="none"/>
                <w:lang w:val="en-US" w:eastAsia="zh-CN"/>
              </w:rPr>
              <w:t>开标截止日为止</w:t>
            </w:r>
            <w:r>
              <w:rPr>
                <w:rFonts w:hint="eastAsia" w:ascii="仿宋" w:hAnsi="仿宋" w:eastAsia="仿宋" w:cs="仿宋"/>
                <w:color w:val="auto"/>
                <w:kern w:val="0"/>
                <w:sz w:val="28"/>
                <w:szCs w:val="28"/>
                <w:highlight w:val="none"/>
              </w:rPr>
              <w:t>）有承担过</w:t>
            </w:r>
          </w:p>
          <w:p>
            <w:pPr>
              <w:pStyle w:val="2"/>
              <w:spacing w:line="400" w:lineRule="exac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省农业农村厅立项的农业经理人、创新创业人才等大型培训每项得2分；</w:t>
            </w:r>
            <w:r>
              <w:rPr>
                <w:rFonts w:hint="eastAsia" w:ascii="仿宋" w:hAnsi="仿宋" w:eastAsia="仿宋" w:cs="仿宋"/>
                <w:color w:val="auto"/>
                <w:kern w:val="0"/>
                <w:sz w:val="28"/>
                <w:szCs w:val="28"/>
                <w:highlight w:val="none"/>
                <w:lang w:val="en-US" w:eastAsia="zh-CN"/>
              </w:rPr>
              <w:t>承担过</w:t>
            </w:r>
            <w:r>
              <w:rPr>
                <w:rFonts w:hint="eastAsia" w:ascii="仿宋" w:hAnsi="仿宋" w:eastAsia="仿宋" w:cs="仿宋"/>
                <w:color w:val="auto"/>
                <w:kern w:val="0"/>
                <w:sz w:val="28"/>
                <w:szCs w:val="28"/>
                <w:highlight w:val="none"/>
                <w:lang w:eastAsia="zh-CN"/>
              </w:rPr>
              <w:t>高素质（精勤）农民、基层农技人员等各类农业农村人才培训的项目每项得1分；</w:t>
            </w:r>
            <w:r>
              <w:rPr>
                <w:rFonts w:hint="eastAsia" w:ascii="仿宋" w:hAnsi="仿宋" w:eastAsia="仿宋" w:cs="仿宋"/>
                <w:color w:val="auto"/>
                <w:kern w:val="0"/>
                <w:sz w:val="28"/>
                <w:szCs w:val="28"/>
                <w:highlight w:val="none"/>
                <w:lang w:val="en-US" w:eastAsia="zh-CN"/>
              </w:rPr>
              <w:t>最高得7分。</w:t>
            </w:r>
          </w:p>
          <w:p>
            <w:pPr>
              <w:pStyle w:val="2"/>
              <w:spacing w:line="4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2.近三年（20</w:t>
            </w:r>
            <w:r>
              <w:rPr>
                <w:rFonts w:hint="eastAsia" w:ascii="仿宋" w:hAnsi="仿宋" w:eastAsia="仿宋" w:cs="仿宋"/>
                <w:color w:val="auto"/>
                <w:kern w:val="0"/>
                <w:sz w:val="28"/>
                <w:szCs w:val="28"/>
                <w:highlight w:val="none"/>
                <w:lang w:val="en-US" w:eastAsia="zh-CN"/>
              </w:rPr>
              <w:t>20</w:t>
            </w:r>
            <w:r>
              <w:rPr>
                <w:rFonts w:hint="eastAsia" w:ascii="仿宋" w:hAnsi="仿宋" w:eastAsia="仿宋" w:cs="仿宋"/>
                <w:color w:val="auto"/>
                <w:kern w:val="0"/>
                <w:sz w:val="28"/>
                <w:szCs w:val="28"/>
                <w:highlight w:val="none"/>
              </w:rPr>
              <w:t>年1月1日至</w:t>
            </w:r>
            <w:r>
              <w:rPr>
                <w:rFonts w:hint="eastAsia" w:ascii="仿宋" w:hAnsi="仿宋" w:eastAsia="仿宋" w:cs="仿宋"/>
                <w:color w:val="auto"/>
                <w:kern w:val="0"/>
                <w:sz w:val="28"/>
                <w:szCs w:val="28"/>
                <w:highlight w:val="none"/>
                <w:lang w:val="en-US" w:eastAsia="zh-CN"/>
              </w:rPr>
              <w:t>开标截止日为止</w:t>
            </w:r>
            <w:r>
              <w:rPr>
                <w:rFonts w:hint="eastAsia" w:ascii="仿宋" w:hAnsi="仿宋" w:eastAsia="仿宋" w:cs="仿宋"/>
                <w:color w:val="auto"/>
                <w:kern w:val="0"/>
                <w:sz w:val="28"/>
                <w:szCs w:val="28"/>
                <w:highlight w:val="none"/>
              </w:rPr>
              <w:t>）培训学员满意度≥95%的，得</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分；90%≤满意度&lt;95%，得</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分；</w:t>
            </w:r>
            <w:r>
              <w:rPr>
                <w:rFonts w:hint="eastAsia" w:ascii="仿宋" w:hAnsi="仿宋" w:eastAsia="仿宋" w:cs="仿宋"/>
                <w:color w:val="auto"/>
                <w:kern w:val="0"/>
                <w:sz w:val="28"/>
                <w:szCs w:val="28"/>
                <w:highlight w:val="none"/>
                <w:lang w:val="en-US" w:eastAsia="zh-CN"/>
              </w:rPr>
              <w:t>85%≤满意度&lt;90%，得1分；</w:t>
            </w:r>
            <w:r>
              <w:rPr>
                <w:rFonts w:hint="eastAsia" w:ascii="仿宋" w:hAnsi="仿宋" w:eastAsia="仿宋" w:cs="仿宋"/>
                <w:color w:val="auto"/>
                <w:kern w:val="0"/>
                <w:sz w:val="28"/>
                <w:szCs w:val="28"/>
                <w:highlight w:val="none"/>
              </w:rPr>
              <w:t>满意度低于</w:t>
            </w:r>
            <w:r>
              <w:rPr>
                <w:rFonts w:hint="eastAsia" w:ascii="仿宋" w:hAnsi="仿宋" w:eastAsia="仿宋" w:cs="仿宋"/>
                <w:color w:val="auto"/>
                <w:kern w:val="0"/>
                <w:sz w:val="28"/>
                <w:szCs w:val="28"/>
                <w:highlight w:val="none"/>
                <w:lang w:val="en-US" w:eastAsia="zh-CN"/>
              </w:rPr>
              <w:t>85</w:t>
            </w:r>
            <w:r>
              <w:rPr>
                <w:rFonts w:hint="eastAsia" w:ascii="仿宋" w:hAnsi="仿宋" w:eastAsia="仿宋" w:cs="仿宋"/>
                <w:color w:val="auto"/>
                <w:kern w:val="0"/>
                <w:sz w:val="28"/>
                <w:szCs w:val="28"/>
                <w:highlight w:val="none"/>
              </w:rPr>
              <w:t>%不得分。</w:t>
            </w:r>
          </w:p>
          <w:p>
            <w:pPr>
              <w:pStyle w:val="2"/>
              <w:spacing w:line="40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（提供项目下达通知书或项目合同或项目验收结题书等证明文件复印件加盖公章，满意度评价为“云上智农”或其他培训管理平台的学员评价截图，未按要求提供资料或无资料的不得分）</w:t>
            </w:r>
          </w:p>
        </w:tc>
      </w:tr>
    </w:tbl>
    <w:p>
      <w:pP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br w:type="page"/>
      </w:r>
    </w:p>
    <w:p>
      <w:pPr>
        <w:spacing w:line="560" w:lineRule="exact"/>
        <w:ind w:firstLine="640" w:firstLineChars="200"/>
        <w:jc w:val="cente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3.价格评分标准（共</w:t>
      </w:r>
      <w:r>
        <w:rPr>
          <w:rFonts w:hint="eastAsia" w:ascii="楷体" w:hAnsi="楷体" w:eastAsia="楷体" w:cs="楷体"/>
          <w:color w:val="auto"/>
          <w:sz w:val="32"/>
          <w:szCs w:val="32"/>
          <w:highlight w:val="none"/>
          <w:lang w:val="en-US" w:eastAsia="zh-CN"/>
        </w:rPr>
        <w:t>3</w:t>
      </w:r>
      <w:r>
        <w:rPr>
          <w:rFonts w:hint="eastAsia" w:ascii="楷体" w:hAnsi="楷体" w:eastAsia="楷体" w:cs="楷体"/>
          <w:color w:val="auto"/>
          <w:sz w:val="32"/>
          <w:szCs w:val="32"/>
          <w:highlight w:val="none"/>
        </w:rPr>
        <w:t>0分）</w:t>
      </w:r>
    </w:p>
    <w:tbl>
      <w:tblPr>
        <w:tblStyle w:val="14"/>
        <w:tblW w:w="10155"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160"/>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09"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序号</w:t>
            </w:r>
          </w:p>
        </w:tc>
        <w:tc>
          <w:tcPr>
            <w:tcW w:w="2160"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评审内容</w:t>
            </w:r>
          </w:p>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及分值</w:t>
            </w:r>
          </w:p>
        </w:tc>
        <w:tc>
          <w:tcPr>
            <w:tcW w:w="7086" w:type="dxa"/>
            <w:vAlign w:val="center"/>
          </w:tcPr>
          <w:p>
            <w:pPr>
              <w:spacing w:line="400" w:lineRule="exact"/>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2160" w:type="dxa"/>
            <w:vAlign w:val="center"/>
          </w:tcPr>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申报单位价格评估（</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0分）</w:t>
            </w:r>
          </w:p>
        </w:tc>
        <w:tc>
          <w:tcPr>
            <w:tcW w:w="7086" w:type="dxa"/>
            <w:vAlign w:val="center"/>
          </w:tcPr>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价格评估得分采用低价优先法计算，即通过资格审查且价格最低者的评审价为评审基准价，其价格评估得分为</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0分;其他申报人的价格评估得分按如下公式价格评估计算∶</w:t>
            </w:r>
          </w:p>
          <w:p>
            <w:pPr>
              <w:pStyle w:val="2"/>
              <w:spacing w:line="40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A单位价格评估得分=（评标基准价÷A单位评标价）×</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0</w:t>
            </w:r>
          </w:p>
        </w:tc>
      </w:tr>
    </w:tbl>
    <w:p>
      <w:pPr>
        <w:widowControl/>
        <w:jc w:val="left"/>
        <w:rPr>
          <w:rFonts w:hint="eastAsia" w:ascii="仿宋_GB2312" w:hAnsi="仿宋" w:eastAsia="仿宋_GB2312"/>
          <w:b/>
          <w:bCs/>
          <w:color w:val="auto"/>
          <w:sz w:val="32"/>
          <w:szCs w:val="32"/>
          <w:highlight w:val="none"/>
        </w:rPr>
      </w:pPr>
    </w:p>
    <w:p>
      <w:pP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br w:type="page"/>
      </w:r>
    </w:p>
    <w:p>
      <w:pPr>
        <w:widowControl/>
        <w:jc w:val="center"/>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rPr>
        <w:t>附表</w:t>
      </w:r>
      <w:r>
        <w:rPr>
          <w:rFonts w:hint="eastAsia" w:ascii="仿宋_GB2312" w:hAnsi="仿宋" w:eastAsia="仿宋_GB2312"/>
          <w:b/>
          <w:bCs/>
          <w:color w:val="auto"/>
          <w:sz w:val="32"/>
          <w:szCs w:val="32"/>
          <w:highlight w:val="none"/>
          <w:lang w:val="en-US" w:eastAsia="zh-CN"/>
        </w:rPr>
        <w:t>4</w:t>
      </w:r>
      <w:r>
        <w:rPr>
          <w:rFonts w:hint="eastAsia" w:ascii="仿宋_GB2312" w:hAnsi="仿宋" w:eastAsia="仿宋_GB2312"/>
          <w:b/>
          <w:bCs/>
          <w:color w:val="auto"/>
          <w:sz w:val="32"/>
          <w:szCs w:val="32"/>
          <w:highlight w:val="none"/>
          <w:lang w:eastAsia="zh-CN"/>
        </w:rPr>
        <w:t>设施设备清单</w:t>
      </w:r>
    </w:p>
    <w:p>
      <w:pPr>
        <w:widowControl/>
        <w:jc w:val="left"/>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eastAsia="zh-CN"/>
        </w:rPr>
        <w:t>（下表为供应商需配备的设施设备清单</w:t>
      </w:r>
      <w:r>
        <w:rPr>
          <w:rFonts w:hint="eastAsia" w:ascii="仿宋_GB2312" w:hAnsi="仿宋" w:eastAsia="仿宋_GB2312"/>
          <w:b/>
          <w:bCs/>
          <w:color w:val="auto"/>
          <w:sz w:val="32"/>
          <w:szCs w:val="32"/>
          <w:highlight w:val="none"/>
          <w:lang w:val="en-US" w:eastAsia="zh-CN"/>
        </w:rPr>
        <w:t>，必须响应</w:t>
      </w:r>
      <w:r>
        <w:rPr>
          <w:rFonts w:hint="eastAsia" w:ascii="仿宋_GB2312" w:hAnsi="仿宋" w:eastAsia="仿宋_GB2312"/>
          <w:b/>
          <w:bCs/>
          <w:color w:val="auto"/>
          <w:sz w:val="32"/>
          <w:szCs w:val="32"/>
          <w:highlight w:val="none"/>
          <w:lang w:eastAsia="zh-CN"/>
        </w:rPr>
        <w:t>）</w:t>
      </w:r>
    </w:p>
    <w:p>
      <w:pPr>
        <w:rPr>
          <w:color w:val="auto"/>
          <w:highlight w:val="none"/>
        </w:rPr>
      </w:pPr>
      <w:r>
        <w:rPr>
          <w:rFonts w:hint="eastAsia" w:ascii="宋体" w:hAnsi="宋体"/>
          <w:b/>
          <w:bCs/>
          <w:color w:val="auto"/>
          <w:sz w:val="24"/>
          <w:szCs w:val="24"/>
          <w:highlight w:val="none"/>
          <w:vertAlign w:val="baseline"/>
          <w:lang w:eastAsia="zh-CN"/>
        </w:rPr>
        <w:t>一、配有专业教学所需的设施设备</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hint="eastAsia" w:ascii="宋体" w:hAnsi="宋体"/>
                <w:b/>
                <w:bCs/>
                <w:color w:val="auto"/>
                <w:sz w:val="24"/>
                <w:szCs w:val="24"/>
                <w:highlight w:val="none"/>
                <w:vertAlign w:val="baseline"/>
                <w:lang w:eastAsia="zh-CN"/>
              </w:rPr>
            </w:pPr>
            <w:r>
              <w:rPr>
                <w:rFonts w:hint="eastAsia" w:ascii="宋体" w:hAnsi="宋体"/>
                <w:b/>
                <w:color w:val="auto"/>
                <w:sz w:val="24"/>
                <w:szCs w:val="24"/>
                <w:highlight w:val="none"/>
              </w:rPr>
              <w:t>（一）教学设施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auto"/>
              <w:rPr>
                <w:rFonts w:hint="eastAsia" w:ascii="宋体" w:hAnsi="宋体"/>
                <w:b/>
                <w:bCs/>
                <w:color w:val="auto"/>
                <w:sz w:val="24"/>
                <w:szCs w:val="24"/>
                <w:highlight w:val="none"/>
                <w:vertAlign w:val="baseline"/>
                <w:lang w:eastAsia="zh-CN"/>
              </w:rPr>
            </w:pPr>
            <w:r>
              <w:rPr>
                <w:rFonts w:ascii="宋体" w:hAnsi="宋体"/>
                <w:color w:val="auto"/>
                <w:sz w:val="24"/>
                <w:szCs w:val="24"/>
                <w:highlight w:val="none"/>
              </w:rPr>
              <w:t>专业教室，有</w:t>
            </w:r>
            <w:r>
              <w:rPr>
                <w:rFonts w:hint="eastAsia" w:ascii="宋体" w:hAnsi="宋体"/>
                <w:color w:val="auto"/>
                <w:sz w:val="24"/>
                <w:szCs w:val="24"/>
                <w:highlight w:val="none"/>
                <w:lang w:val="en-US" w:eastAsia="zh-CN"/>
              </w:rPr>
              <w:t>2个</w:t>
            </w:r>
            <w:r>
              <w:rPr>
                <w:rFonts w:hint="eastAsia" w:ascii="宋体" w:hAnsi="宋体"/>
                <w:color w:val="auto"/>
                <w:sz w:val="24"/>
                <w:szCs w:val="24"/>
                <w:highlight w:val="none"/>
                <w:lang w:eastAsia="zh-CN"/>
              </w:rPr>
              <w:t>至少可容纳</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0人的</w:t>
            </w:r>
            <w:r>
              <w:rPr>
                <w:rFonts w:ascii="宋体" w:hAnsi="宋体"/>
                <w:color w:val="auto"/>
                <w:sz w:val="24"/>
                <w:szCs w:val="24"/>
                <w:highlight w:val="none"/>
              </w:rPr>
              <w:t>培训教室。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24"/>
              <w:spacing w:before="0" w:after="0" w:line="360" w:lineRule="auto"/>
              <w:rPr>
                <w:rFonts w:hint="eastAsia" w:ascii="宋体" w:hAnsi="宋体"/>
                <w:color w:val="auto"/>
                <w:sz w:val="24"/>
                <w:szCs w:val="24"/>
                <w:highlight w:val="none"/>
                <w:lang w:val="en-US" w:eastAsia="zh-CN"/>
              </w:rPr>
            </w:pP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二</w:t>
            </w:r>
            <w:r>
              <w:rPr>
                <w:rFonts w:hint="eastAsia" w:ascii="宋体" w:hAnsi="宋体" w:eastAsia="宋体" w:cs="Times New Roman"/>
                <w:b/>
                <w:color w:val="auto"/>
                <w:highlight w:val="none"/>
              </w:rPr>
              <w:t>）环境设备</w:t>
            </w:r>
          </w:p>
        </w:tc>
      </w:tr>
    </w:tbl>
    <w:tbl>
      <w:tblPr>
        <w:tblStyle w:val="14"/>
        <w:tblpPr w:leftFromText="180" w:rightFromText="180" w:vertAnchor="text" w:horzAnchor="page" w:tblpX="1810" w:tblpY="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3"/>
        <w:gridCol w:w="1573"/>
        <w:gridCol w:w="150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37"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物品类别</w:t>
            </w:r>
          </w:p>
        </w:tc>
        <w:tc>
          <w:tcPr>
            <w:tcW w:w="923"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数量</w:t>
            </w:r>
          </w:p>
        </w:tc>
        <w:tc>
          <w:tcPr>
            <w:tcW w:w="883"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单位</w:t>
            </w:r>
          </w:p>
        </w:tc>
        <w:tc>
          <w:tcPr>
            <w:tcW w:w="955" w:type="pct"/>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37" w:type="pct"/>
            <w:noWrap w:val="0"/>
            <w:vAlign w:val="top"/>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饮水器</w:t>
            </w:r>
          </w:p>
        </w:tc>
        <w:tc>
          <w:tcPr>
            <w:tcW w:w="923" w:type="pct"/>
            <w:noWrap w:val="0"/>
            <w:vAlign w:val="top"/>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8</w:t>
            </w:r>
          </w:p>
        </w:tc>
        <w:tc>
          <w:tcPr>
            <w:tcW w:w="883" w:type="pct"/>
            <w:noWrap w:val="0"/>
            <w:vAlign w:val="top"/>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955" w:type="pct"/>
            <w:noWrap w:val="0"/>
            <w:vAlign w:val="top"/>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bl>
    <w:p>
      <w:pPr>
        <w:pStyle w:val="2"/>
        <w:rPr>
          <w:color w:val="auto"/>
          <w:highlight w:val="none"/>
        </w:rPr>
      </w:pPr>
    </w:p>
    <w:p>
      <w:pPr>
        <w:pStyle w:val="24"/>
        <w:spacing w:before="0" w:after="0" w:line="360" w:lineRule="auto"/>
        <w:rPr>
          <w:rFonts w:hint="eastAsia" w:ascii="宋体" w:hAnsi="宋体" w:eastAsia="宋体" w:cs="Times New Roman"/>
          <w:b/>
          <w:color w:val="auto"/>
          <w:highlight w:val="none"/>
        </w:rPr>
      </w:pPr>
      <w:r>
        <w:rPr>
          <w:rFonts w:hint="eastAsia" w:ascii="宋体" w:hAnsi="宋体" w:eastAsia="宋体" w:cs="Times New Roman"/>
          <w:b/>
          <w:color w:val="auto"/>
          <w:highlight w:val="none"/>
          <w:lang w:eastAsia="zh-CN"/>
        </w:rPr>
        <w:t>二、</w:t>
      </w:r>
      <w:r>
        <w:rPr>
          <w:rFonts w:hint="eastAsia" w:ascii="宋体" w:hAnsi="宋体" w:eastAsia="宋体" w:cs="Times New Roman"/>
          <w:b/>
          <w:color w:val="auto"/>
          <w:highlight w:val="none"/>
        </w:rPr>
        <w:t>教学辅助配套设备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4"/>
        <w:gridCol w:w="1671"/>
        <w:gridCol w:w="143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物品类别</w:t>
            </w:r>
          </w:p>
        </w:tc>
        <w:tc>
          <w:tcPr>
            <w:tcW w:w="167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数量</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单位</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高清照相机</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办公自动化设备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投影仪</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音响设备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套</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录影机</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远程送话设备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套</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教学授课设备</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套</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多媒体设备（黑板、展示台）</w:t>
            </w:r>
          </w:p>
        </w:tc>
        <w:tc>
          <w:tcPr>
            <w:tcW w:w="1671" w:type="dxa"/>
            <w:noWrap w:val="0"/>
            <w:vAlign w:val="center"/>
          </w:tcPr>
          <w:p>
            <w:pPr>
              <w:pStyle w:val="24"/>
              <w:spacing w:before="0" w:after="0"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台</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文具用品</w:t>
            </w:r>
          </w:p>
        </w:tc>
        <w:tc>
          <w:tcPr>
            <w:tcW w:w="1671" w:type="dxa"/>
            <w:noWrap w:val="0"/>
            <w:vAlign w:val="center"/>
          </w:tcPr>
          <w:p>
            <w:pPr>
              <w:pStyle w:val="24"/>
              <w:spacing w:before="0" w:after="0" w:line="360" w:lineRule="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p>
        </w:tc>
        <w:tc>
          <w:tcPr>
            <w:tcW w:w="1436" w:type="dxa"/>
            <w:noWrap w:val="0"/>
            <w:vAlign w:val="center"/>
          </w:tcPr>
          <w:p>
            <w:pPr>
              <w:pStyle w:val="24"/>
              <w:spacing w:before="0" w:after="0" w:line="360" w:lineRule="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rPr>
              <w:t>套</w:t>
            </w:r>
            <w:r>
              <w:rPr>
                <w:rFonts w:hint="eastAsia" w:ascii="宋体" w:hAnsi="宋体" w:eastAsia="宋体" w:cs="Times New Roman"/>
                <w:color w:val="auto"/>
                <w:highlight w:val="none"/>
                <w:lang w:val="en-US" w:eastAsia="zh-CN"/>
              </w:rPr>
              <w:t>/人</w:t>
            </w:r>
          </w:p>
        </w:tc>
        <w:tc>
          <w:tcPr>
            <w:tcW w:w="1651" w:type="dxa"/>
            <w:noWrap w:val="0"/>
            <w:vAlign w:val="center"/>
          </w:tcPr>
          <w:p>
            <w:pPr>
              <w:pStyle w:val="24"/>
              <w:spacing w:before="0" w:after="0" w:line="360" w:lineRule="auto"/>
              <w:rPr>
                <w:rFonts w:ascii="宋体" w:hAnsi="宋体" w:eastAsia="宋体" w:cs="Times New Roman"/>
                <w:color w:val="auto"/>
                <w:highlight w:val="none"/>
              </w:rPr>
            </w:pPr>
            <w:r>
              <w:rPr>
                <w:rFonts w:hint="eastAsia" w:ascii="宋体" w:hAnsi="宋体" w:eastAsia="宋体" w:cs="Times New Roman"/>
                <w:color w:val="auto"/>
                <w:highlight w:val="none"/>
              </w:rPr>
              <w:t>教学使用</w:t>
            </w:r>
          </w:p>
        </w:tc>
      </w:tr>
    </w:tbl>
    <w:p>
      <w:pPr>
        <w:pStyle w:val="2"/>
        <w:rPr>
          <w:rFonts w:hint="eastAsia"/>
          <w:b/>
          <w:bCs/>
          <w:color w:val="auto"/>
          <w:sz w:val="24"/>
          <w:szCs w:val="24"/>
          <w:highlight w:val="none"/>
          <w:lang w:eastAsia="zh-CN"/>
        </w:rPr>
      </w:pPr>
      <w:r>
        <w:rPr>
          <w:rFonts w:hint="eastAsia"/>
          <w:b/>
          <w:bCs/>
          <w:color w:val="auto"/>
          <w:sz w:val="24"/>
          <w:szCs w:val="24"/>
          <w:highlight w:val="none"/>
          <w:lang w:eastAsia="zh-CN"/>
        </w:rPr>
        <w:t>注：上述硬件设备，由供应商提供，只在培训期间租借使用。</w:t>
      </w:r>
    </w:p>
    <w:p>
      <w:pPr>
        <w:rPr>
          <w:rFonts w:hint="eastAsia"/>
          <w:b/>
          <w:bCs/>
          <w:color w:val="auto"/>
          <w:sz w:val="24"/>
          <w:szCs w:val="24"/>
          <w:highlight w:val="none"/>
          <w:lang w:eastAsia="zh-CN"/>
        </w:rPr>
      </w:pPr>
    </w:p>
    <w:p>
      <w:pPr>
        <w:pStyle w:val="3"/>
        <w:rPr>
          <w:rFonts w:hint="eastAsia"/>
          <w:b/>
          <w:bCs/>
          <w:color w:val="auto"/>
          <w:sz w:val="24"/>
          <w:szCs w:val="24"/>
          <w:highlight w:val="none"/>
          <w:lang w:eastAsia="zh-CN"/>
        </w:rPr>
      </w:pPr>
    </w:p>
    <w:p>
      <w:pPr>
        <w:rPr>
          <w:rFonts w:hint="eastAsia"/>
          <w:b/>
          <w:bCs/>
          <w:color w:val="auto"/>
          <w:sz w:val="24"/>
          <w:szCs w:val="24"/>
          <w:highlight w:val="none"/>
          <w:lang w:eastAsia="zh-CN"/>
        </w:rPr>
      </w:pPr>
    </w:p>
    <w:p>
      <w:pPr>
        <w:pStyle w:val="2"/>
        <w:rPr>
          <w:rFonts w:hint="eastAsia"/>
          <w:lang w:eastAsia="zh-CN"/>
        </w:rPr>
      </w:pPr>
    </w:p>
    <w:p>
      <w:pPr>
        <w:rPr>
          <w:rFonts w:hint="eastAsia"/>
          <w:b/>
          <w:bCs/>
          <w:color w:val="auto"/>
          <w:sz w:val="24"/>
          <w:szCs w:val="24"/>
          <w:highlight w:val="none"/>
          <w:lang w:eastAsia="zh-CN"/>
        </w:rPr>
      </w:pPr>
    </w:p>
    <w:p>
      <w:pPr>
        <w:pStyle w:val="24"/>
        <w:spacing w:before="0" w:after="0" w:line="360" w:lineRule="auto"/>
        <w:jc w:val="both"/>
        <w:rPr>
          <w:rFonts w:hint="default" w:asciiTheme="minorEastAsia" w:hAnsiTheme="minorEastAsia" w:eastAsiaTheme="minorEastAsia" w:cstheme="minorBidi"/>
          <w:b/>
          <w:color w:val="auto"/>
          <w:highlight w:val="none"/>
          <w:lang w:eastAsia="zh-CN"/>
        </w:rPr>
      </w:pPr>
      <w:r>
        <w:rPr>
          <w:rFonts w:hint="default" w:asciiTheme="minorEastAsia" w:hAnsiTheme="minorEastAsia" w:eastAsiaTheme="minorEastAsia" w:cstheme="minorBidi"/>
          <w:b/>
          <w:color w:val="auto"/>
          <w:highlight w:val="none"/>
          <w:lang w:eastAsia="zh-CN"/>
        </w:rPr>
        <w:t>三</w:t>
      </w:r>
      <w:r>
        <w:rPr>
          <w:rFonts w:hint="eastAsia" w:asciiTheme="minorEastAsia" w:hAnsiTheme="minorEastAsia" w:eastAsiaTheme="minorEastAsia" w:cstheme="minorBidi"/>
          <w:b/>
          <w:color w:val="auto"/>
          <w:highlight w:val="none"/>
          <w:lang w:eastAsia="zh-CN"/>
        </w:rPr>
        <w:t>、</w:t>
      </w:r>
      <w:r>
        <w:rPr>
          <w:rFonts w:hint="default" w:asciiTheme="minorEastAsia" w:hAnsiTheme="minorEastAsia" w:eastAsiaTheme="minorEastAsia" w:cstheme="minorBidi"/>
          <w:b/>
          <w:color w:val="auto"/>
          <w:highlight w:val="none"/>
          <w:lang w:eastAsia="zh-CN"/>
        </w:rPr>
        <w:t>茶叶产业技能培训班所需设备设施</w:t>
      </w:r>
    </w:p>
    <w:p>
      <w:pPr>
        <w:pStyle w:val="24"/>
        <w:spacing w:before="0" w:after="0" w:line="360" w:lineRule="auto"/>
        <w:jc w:val="both"/>
        <w:rPr>
          <w:rFonts w:asciiTheme="minorEastAsia" w:hAnsiTheme="minorEastAsia" w:eastAsiaTheme="minorEastAsia" w:cstheme="minorBidi"/>
          <w:b/>
          <w:color w:val="auto"/>
          <w:highlight w:val="none"/>
        </w:rPr>
      </w:pPr>
      <w:r>
        <w:rPr>
          <w:rFonts w:hint="default" w:asciiTheme="minorEastAsia" w:hAnsiTheme="minorEastAsia" w:eastAsiaTheme="minorEastAsia" w:cstheme="minorBidi"/>
          <w:b/>
          <w:color w:val="auto"/>
          <w:highlight w:val="none"/>
        </w:rPr>
        <w:t>（1）高级</w:t>
      </w:r>
      <w:r>
        <w:rPr>
          <w:rFonts w:hint="eastAsia" w:asciiTheme="minorEastAsia" w:hAnsiTheme="minorEastAsia" w:eastAsiaTheme="minorEastAsia" w:cstheme="minorBidi"/>
          <w:b/>
          <w:color w:val="auto"/>
          <w:highlight w:val="none"/>
        </w:rPr>
        <w:t>茶艺师培训班相关硬件设备：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4"/>
        <w:gridCol w:w="1671"/>
        <w:gridCol w:w="143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物品类别</w:t>
            </w:r>
          </w:p>
        </w:tc>
        <w:tc>
          <w:tcPr>
            <w:tcW w:w="167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数量</w:t>
            </w:r>
          </w:p>
        </w:tc>
        <w:tc>
          <w:tcPr>
            <w:tcW w:w="1436"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单位</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盖碗茶具</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玻璃杯（含杯垫）</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紫砂壶</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把</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紫砂品茗杯</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公道杯</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滤网</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品茗杯、闻香杯</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1</w:t>
            </w:r>
            <w:r>
              <w:rPr>
                <w:rFonts w:hint="default" w:asciiTheme="minorEastAsia" w:hAnsiTheme="minorEastAsia" w:eastAsiaTheme="minorEastAsia" w:cstheme="minorBidi"/>
                <w:color w:val="auto"/>
                <w:highlight w:val="none"/>
              </w:rPr>
              <w:t>2</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茶荷</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1</w:t>
            </w:r>
            <w:r>
              <w:rPr>
                <w:rFonts w:hint="default" w:asciiTheme="minorEastAsia" w:hAnsiTheme="minorEastAsia" w:eastAsiaTheme="minorEastAsia" w:cstheme="minorBidi"/>
                <w:color w:val="auto"/>
                <w:highlight w:val="none"/>
              </w:rPr>
              <w:t>2</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随手泡煮水壶</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把</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茶道组</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水洗</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茶盘</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西式调饮茶器具</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桌子、椅子</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5</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茶巾</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120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条</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精美茶席</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120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条</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六大茶类、再加工茶、代用茶</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若干</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bl>
    <w:p>
      <w:pPr>
        <w:pStyle w:val="24"/>
        <w:spacing w:before="0" w:after="0" w:line="360" w:lineRule="auto"/>
        <w:jc w:val="both"/>
        <w:rPr>
          <w:rFonts w:hint="default" w:asciiTheme="minorEastAsia" w:hAnsiTheme="minorEastAsia" w:eastAsiaTheme="minorEastAsia" w:cstheme="minorBidi"/>
          <w:b/>
          <w:color w:val="auto"/>
          <w:highlight w:val="none"/>
          <w:lang w:eastAsia="zh-CN"/>
        </w:rPr>
      </w:pPr>
    </w:p>
    <w:p>
      <w:pPr>
        <w:pStyle w:val="24"/>
        <w:spacing w:before="0" w:after="0" w:line="360" w:lineRule="auto"/>
        <w:jc w:val="both"/>
        <w:rPr>
          <w:rFonts w:hint="eastAsia" w:asciiTheme="minorEastAsia" w:hAnsiTheme="minorEastAsia" w:eastAsiaTheme="minorEastAsia" w:cstheme="minorBidi"/>
          <w:b/>
          <w:color w:val="auto"/>
          <w:highlight w:val="none"/>
        </w:rPr>
      </w:pPr>
      <w:r>
        <w:rPr>
          <w:rFonts w:hint="default" w:asciiTheme="minorEastAsia" w:hAnsiTheme="minorEastAsia" w:eastAsiaTheme="minorEastAsia" w:cstheme="minorBidi"/>
          <w:b/>
          <w:color w:val="auto"/>
          <w:highlight w:val="none"/>
          <w:lang w:eastAsia="zh-CN"/>
        </w:rPr>
        <w:t>（2）高级</w:t>
      </w:r>
      <w:r>
        <w:rPr>
          <w:rFonts w:hint="eastAsia" w:asciiTheme="minorEastAsia" w:hAnsiTheme="minorEastAsia" w:eastAsiaTheme="minorEastAsia" w:cstheme="minorBidi"/>
          <w:b/>
          <w:color w:val="auto"/>
          <w:highlight w:val="none"/>
        </w:rPr>
        <w:t>评茶</w:t>
      </w:r>
      <w:r>
        <w:rPr>
          <w:rFonts w:hint="eastAsia" w:asciiTheme="minorEastAsia" w:hAnsiTheme="minorEastAsia" w:eastAsiaTheme="minorEastAsia" w:cstheme="minorBidi"/>
          <w:b/>
          <w:color w:val="auto"/>
          <w:highlight w:val="none"/>
          <w:lang w:eastAsia="zh-CN"/>
        </w:rPr>
        <w:t>员</w:t>
      </w:r>
      <w:r>
        <w:rPr>
          <w:rFonts w:hint="eastAsia" w:asciiTheme="minorEastAsia" w:hAnsiTheme="minorEastAsia" w:eastAsiaTheme="minorEastAsia" w:cstheme="minorBidi"/>
          <w:b/>
          <w:color w:val="auto"/>
          <w:highlight w:val="none"/>
        </w:rPr>
        <w:t>培训班相关硬件设备：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4"/>
        <w:gridCol w:w="1671"/>
        <w:gridCol w:w="143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物品类别</w:t>
            </w:r>
          </w:p>
        </w:tc>
        <w:tc>
          <w:tcPr>
            <w:tcW w:w="167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数量</w:t>
            </w:r>
          </w:p>
        </w:tc>
        <w:tc>
          <w:tcPr>
            <w:tcW w:w="1436"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单位</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设备用途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评茶杯</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评茶碗</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乌龙茶盖碗评茶用组</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default" w:asciiTheme="minorEastAsia" w:hAnsiTheme="minorEastAsia" w:eastAsiaTheme="minorEastAsia" w:cstheme="minorBidi"/>
                <w:color w:val="auto"/>
                <w:highlight w:val="none"/>
              </w:rPr>
              <w:t>10</w:t>
            </w:r>
            <w:r>
              <w:rPr>
                <w:rFonts w:hint="eastAsia" w:asciiTheme="minorEastAsia" w:hAnsiTheme="minorEastAsia" w:eastAsiaTheme="minorEastAsia" w:cstheme="minorBidi"/>
                <w:color w:val="auto"/>
                <w:highlight w:val="none"/>
              </w:rPr>
              <w:t>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评茶勺</w:t>
            </w:r>
          </w:p>
        </w:tc>
        <w:tc>
          <w:tcPr>
            <w:tcW w:w="1671"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120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评茶用具（含电子秤、计时器、天平称、）</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50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评茶盘</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100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叶底盘</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100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吐茶桶</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kern w:val="2"/>
                <w:sz w:val="24"/>
                <w:szCs w:val="24"/>
                <w:highlight w:val="none"/>
                <w:lang w:eastAsia="zh-CN" w:bidi="ar-SA"/>
              </w:rPr>
              <w:t>50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过滤勺</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50</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只</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干评台、湿评台</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2</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套</w:t>
            </w: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操作台、操作桌</w:t>
            </w:r>
          </w:p>
        </w:tc>
        <w:tc>
          <w:tcPr>
            <w:tcW w:w="1671" w:type="dxa"/>
            <w:vAlign w:val="center"/>
          </w:tcPr>
          <w:p>
            <w:pPr>
              <w:pStyle w:val="24"/>
              <w:spacing w:before="0" w:after="0" w:line="360" w:lineRule="auto"/>
              <w:rPr>
                <w:rFonts w:hint="default" w:asciiTheme="minorEastAsia" w:hAnsiTheme="minorEastAsia" w:eastAsiaTheme="minorEastAsia" w:cstheme="minorBidi"/>
                <w:color w:val="auto"/>
                <w:kern w:val="2"/>
                <w:sz w:val="24"/>
                <w:szCs w:val="24"/>
                <w:highlight w:val="none"/>
                <w:lang w:eastAsia="zh-CN" w:bidi="ar-SA"/>
              </w:rPr>
            </w:pPr>
            <w:r>
              <w:rPr>
                <w:rFonts w:hint="default" w:asciiTheme="minorEastAsia" w:hAnsiTheme="minorEastAsia" w:eastAsiaTheme="minorEastAsia" w:cstheme="minorBidi"/>
                <w:color w:val="auto"/>
                <w:highlight w:val="none"/>
              </w:rPr>
              <w:t>50</w:t>
            </w:r>
          </w:p>
        </w:tc>
        <w:tc>
          <w:tcPr>
            <w:tcW w:w="1436" w:type="dxa"/>
            <w:vAlign w:val="center"/>
          </w:tcPr>
          <w:p>
            <w:pPr>
              <w:pStyle w:val="24"/>
              <w:spacing w:before="0" w:after="0"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张</w:t>
            </w:r>
          </w:p>
        </w:tc>
        <w:tc>
          <w:tcPr>
            <w:tcW w:w="1651" w:type="dxa"/>
            <w:vAlign w:val="center"/>
          </w:tcPr>
          <w:p>
            <w:pPr>
              <w:pStyle w:val="24"/>
              <w:spacing w:before="0" w:after="0" w:line="360" w:lineRule="auto"/>
              <w:rPr>
                <w:rFonts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64"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六大茶类</w:t>
            </w:r>
          </w:p>
        </w:tc>
        <w:tc>
          <w:tcPr>
            <w:tcW w:w="1671"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eastAsiaTheme="minorEastAsia" w:cstheme="minorBidi"/>
                <w:color w:val="auto"/>
                <w:highlight w:val="none"/>
              </w:rPr>
              <w:t>若干</w:t>
            </w:r>
          </w:p>
        </w:tc>
        <w:tc>
          <w:tcPr>
            <w:tcW w:w="1436" w:type="dxa"/>
            <w:vAlign w:val="center"/>
          </w:tcPr>
          <w:p>
            <w:pPr>
              <w:pStyle w:val="24"/>
              <w:spacing w:before="0" w:after="0" w:line="360" w:lineRule="auto"/>
              <w:rPr>
                <w:rFonts w:hint="eastAsia" w:asciiTheme="minorEastAsia" w:hAnsiTheme="minorEastAsia" w:eastAsiaTheme="minorEastAsia" w:cstheme="minorBidi"/>
                <w:color w:val="auto"/>
                <w:kern w:val="2"/>
                <w:sz w:val="24"/>
                <w:szCs w:val="24"/>
                <w:highlight w:val="none"/>
                <w:lang w:val="en-US" w:eastAsia="zh-CN" w:bidi="ar-SA"/>
              </w:rPr>
            </w:pPr>
          </w:p>
        </w:tc>
        <w:tc>
          <w:tcPr>
            <w:tcW w:w="1651" w:type="dxa"/>
            <w:vAlign w:val="center"/>
          </w:tcPr>
          <w:p>
            <w:pPr>
              <w:pStyle w:val="24"/>
              <w:spacing w:before="0" w:after="0" w:line="360" w:lineRule="auto"/>
              <w:rPr>
                <w:rFonts w:hint="eastAsia" w:asciiTheme="minorEastAsia" w:hAnsiTheme="minorEastAsia" w:eastAsiaTheme="minorEastAsia" w:cstheme="minorBidi"/>
                <w:color w:val="auto"/>
                <w:highlight w:val="none"/>
              </w:rPr>
            </w:pPr>
            <w:r>
              <w:rPr>
                <w:rFonts w:hint="eastAsia" w:asciiTheme="minorEastAsia" w:hAnsiTheme="minorEastAsia" w:eastAsiaTheme="minorEastAsia" w:cstheme="minorBidi"/>
                <w:color w:val="auto"/>
                <w:highlight w:val="none"/>
              </w:rPr>
              <w:t>教学使用</w:t>
            </w:r>
          </w:p>
        </w:tc>
      </w:tr>
    </w:tbl>
    <w:p>
      <w:pPr>
        <w:pStyle w:val="24"/>
        <w:spacing w:before="0" w:after="0" w:line="360" w:lineRule="auto"/>
        <w:jc w:val="both"/>
        <w:rPr>
          <w:rFonts w:hint="default" w:asciiTheme="minorEastAsia" w:hAnsiTheme="minorEastAsia" w:eastAsiaTheme="minorEastAsia" w:cstheme="minorBidi"/>
          <w:b/>
          <w:color w:val="auto"/>
          <w:highlight w:val="none"/>
          <w:lang w:eastAsia="zh-CN"/>
        </w:rPr>
      </w:pPr>
    </w:p>
    <w:p>
      <w:pPr>
        <w:rPr>
          <w:rFonts w:hint="eastAsia"/>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4CE53"/>
    <w:multiLevelType w:val="singleLevel"/>
    <w:tmpl w:val="B054CE53"/>
    <w:lvl w:ilvl="0" w:tentative="0">
      <w:start w:val="1"/>
      <w:numFmt w:val="decimal"/>
      <w:lvlText w:val="%1."/>
      <w:lvlJc w:val="left"/>
      <w:pPr>
        <w:tabs>
          <w:tab w:val="left" w:pos="312"/>
        </w:tabs>
      </w:pPr>
    </w:lvl>
  </w:abstractNum>
  <w:abstractNum w:abstractNumId="1">
    <w:nsid w:val="F642239D"/>
    <w:multiLevelType w:val="singleLevel"/>
    <w:tmpl w:val="F642239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hZjUyNzc3NmUwZTliZGYzN2YyZGRlMWNlNjA3Y2QifQ=="/>
  </w:docVars>
  <w:rsids>
    <w:rsidRoot w:val="00317175"/>
    <w:rsid w:val="000006F6"/>
    <w:rsid w:val="000021F9"/>
    <w:rsid w:val="00002840"/>
    <w:rsid w:val="000065D3"/>
    <w:rsid w:val="00010A31"/>
    <w:rsid w:val="0001104F"/>
    <w:rsid w:val="00012332"/>
    <w:rsid w:val="00014AEF"/>
    <w:rsid w:val="00017089"/>
    <w:rsid w:val="000171BA"/>
    <w:rsid w:val="000176F0"/>
    <w:rsid w:val="00020254"/>
    <w:rsid w:val="00021FDC"/>
    <w:rsid w:val="00026985"/>
    <w:rsid w:val="0003093A"/>
    <w:rsid w:val="0003261C"/>
    <w:rsid w:val="0003524F"/>
    <w:rsid w:val="00036CCF"/>
    <w:rsid w:val="00036FB6"/>
    <w:rsid w:val="00037ADB"/>
    <w:rsid w:val="00037B6A"/>
    <w:rsid w:val="00040DA0"/>
    <w:rsid w:val="000436EA"/>
    <w:rsid w:val="00044139"/>
    <w:rsid w:val="00047ACD"/>
    <w:rsid w:val="00050226"/>
    <w:rsid w:val="000507D2"/>
    <w:rsid w:val="00050970"/>
    <w:rsid w:val="00051813"/>
    <w:rsid w:val="00055A6E"/>
    <w:rsid w:val="00055D71"/>
    <w:rsid w:val="00056A4D"/>
    <w:rsid w:val="00056F2C"/>
    <w:rsid w:val="00057D74"/>
    <w:rsid w:val="00060179"/>
    <w:rsid w:val="00060874"/>
    <w:rsid w:val="000609D9"/>
    <w:rsid w:val="0006270D"/>
    <w:rsid w:val="00062BD7"/>
    <w:rsid w:val="00062CD6"/>
    <w:rsid w:val="000632F6"/>
    <w:rsid w:val="000641F8"/>
    <w:rsid w:val="00066A82"/>
    <w:rsid w:val="00066DEB"/>
    <w:rsid w:val="0006738D"/>
    <w:rsid w:val="00067929"/>
    <w:rsid w:val="000704B2"/>
    <w:rsid w:val="00070B83"/>
    <w:rsid w:val="00070E18"/>
    <w:rsid w:val="00071A5C"/>
    <w:rsid w:val="0007282E"/>
    <w:rsid w:val="000734E9"/>
    <w:rsid w:val="00074E7B"/>
    <w:rsid w:val="00075571"/>
    <w:rsid w:val="00075ED2"/>
    <w:rsid w:val="000818E2"/>
    <w:rsid w:val="00082FDF"/>
    <w:rsid w:val="00090627"/>
    <w:rsid w:val="000920F5"/>
    <w:rsid w:val="00093A42"/>
    <w:rsid w:val="00094800"/>
    <w:rsid w:val="0009561B"/>
    <w:rsid w:val="000A1515"/>
    <w:rsid w:val="000A22F3"/>
    <w:rsid w:val="000A271E"/>
    <w:rsid w:val="000A3202"/>
    <w:rsid w:val="000A58A7"/>
    <w:rsid w:val="000A7018"/>
    <w:rsid w:val="000B0063"/>
    <w:rsid w:val="000B061C"/>
    <w:rsid w:val="000B10E1"/>
    <w:rsid w:val="000B1A08"/>
    <w:rsid w:val="000B4860"/>
    <w:rsid w:val="000B54EA"/>
    <w:rsid w:val="000B64AD"/>
    <w:rsid w:val="000B72FA"/>
    <w:rsid w:val="000B7B28"/>
    <w:rsid w:val="000C07E5"/>
    <w:rsid w:val="000C09F5"/>
    <w:rsid w:val="000C12BC"/>
    <w:rsid w:val="000C3565"/>
    <w:rsid w:val="000C569E"/>
    <w:rsid w:val="000C5DEC"/>
    <w:rsid w:val="000C6C71"/>
    <w:rsid w:val="000D0567"/>
    <w:rsid w:val="000D1809"/>
    <w:rsid w:val="000D2888"/>
    <w:rsid w:val="000D3634"/>
    <w:rsid w:val="000D3D60"/>
    <w:rsid w:val="000D4B32"/>
    <w:rsid w:val="000D5389"/>
    <w:rsid w:val="000D6CB5"/>
    <w:rsid w:val="000D72A4"/>
    <w:rsid w:val="000D7B90"/>
    <w:rsid w:val="000D7D0C"/>
    <w:rsid w:val="000D7F0C"/>
    <w:rsid w:val="000E1985"/>
    <w:rsid w:val="000E27E8"/>
    <w:rsid w:val="000E2E05"/>
    <w:rsid w:val="000F00F1"/>
    <w:rsid w:val="000F17DD"/>
    <w:rsid w:val="000F2A3D"/>
    <w:rsid w:val="000F2AD3"/>
    <w:rsid w:val="000F536C"/>
    <w:rsid w:val="000F5FE4"/>
    <w:rsid w:val="000F78B3"/>
    <w:rsid w:val="0010457A"/>
    <w:rsid w:val="00104F31"/>
    <w:rsid w:val="00104F59"/>
    <w:rsid w:val="00105A12"/>
    <w:rsid w:val="0011115C"/>
    <w:rsid w:val="00111745"/>
    <w:rsid w:val="001146B9"/>
    <w:rsid w:val="00115253"/>
    <w:rsid w:val="001172C2"/>
    <w:rsid w:val="00122764"/>
    <w:rsid w:val="001233AD"/>
    <w:rsid w:val="0012365D"/>
    <w:rsid w:val="00123989"/>
    <w:rsid w:val="0012500F"/>
    <w:rsid w:val="0012572D"/>
    <w:rsid w:val="00126215"/>
    <w:rsid w:val="00126318"/>
    <w:rsid w:val="0012723D"/>
    <w:rsid w:val="001276B1"/>
    <w:rsid w:val="00130496"/>
    <w:rsid w:val="0013147A"/>
    <w:rsid w:val="001332DB"/>
    <w:rsid w:val="00133C74"/>
    <w:rsid w:val="00134462"/>
    <w:rsid w:val="00134ACB"/>
    <w:rsid w:val="0013731F"/>
    <w:rsid w:val="0013799D"/>
    <w:rsid w:val="00137D78"/>
    <w:rsid w:val="0014298E"/>
    <w:rsid w:val="00143241"/>
    <w:rsid w:val="00143450"/>
    <w:rsid w:val="00143F75"/>
    <w:rsid w:val="00143FB5"/>
    <w:rsid w:val="001446E2"/>
    <w:rsid w:val="00145FDF"/>
    <w:rsid w:val="001468BC"/>
    <w:rsid w:val="0015140C"/>
    <w:rsid w:val="001520F6"/>
    <w:rsid w:val="001529D6"/>
    <w:rsid w:val="00157B20"/>
    <w:rsid w:val="00160250"/>
    <w:rsid w:val="0016025D"/>
    <w:rsid w:val="00160BAE"/>
    <w:rsid w:val="00160CD4"/>
    <w:rsid w:val="00161739"/>
    <w:rsid w:val="00164EC3"/>
    <w:rsid w:val="00166235"/>
    <w:rsid w:val="001704D0"/>
    <w:rsid w:val="00170541"/>
    <w:rsid w:val="001714E2"/>
    <w:rsid w:val="0017168B"/>
    <w:rsid w:val="001719B3"/>
    <w:rsid w:val="00172145"/>
    <w:rsid w:val="00173515"/>
    <w:rsid w:val="0017419E"/>
    <w:rsid w:val="00175A12"/>
    <w:rsid w:val="0018273D"/>
    <w:rsid w:val="001846CB"/>
    <w:rsid w:val="001910C2"/>
    <w:rsid w:val="00191F05"/>
    <w:rsid w:val="00194544"/>
    <w:rsid w:val="0019780E"/>
    <w:rsid w:val="001979F1"/>
    <w:rsid w:val="001A0BE4"/>
    <w:rsid w:val="001A3A7A"/>
    <w:rsid w:val="001A5CD7"/>
    <w:rsid w:val="001A77E6"/>
    <w:rsid w:val="001A78DF"/>
    <w:rsid w:val="001B05CD"/>
    <w:rsid w:val="001B241E"/>
    <w:rsid w:val="001B2882"/>
    <w:rsid w:val="001B3CF0"/>
    <w:rsid w:val="001B41A1"/>
    <w:rsid w:val="001B5FFA"/>
    <w:rsid w:val="001B7077"/>
    <w:rsid w:val="001B7C61"/>
    <w:rsid w:val="001B7C96"/>
    <w:rsid w:val="001C2519"/>
    <w:rsid w:val="001C3EC6"/>
    <w:rsid w:val="001C3F67"/>
    <w:rsid w:val="001C73A7"/>
    <w:rsid w:val="001C7CBC"/>
    <w:rsid w:val="001D0A15"/>
    <w:rsid w:val="001D191C"/>
    <w:rsid w:val="001D5BAE"/>
    <w:rsid w:val="001D5E6A"/>
    <w:rsid w:val="001D65C5"/>
    <w:rsid w:val="001D7EE6"/>
    <w:rsid w:val="001E0DAB"/>
    <w:rsid w:val="001E1158"/>
    <w:rsid w:val="001E2481"/>
    <w:rsid w:val="001E2728"/>
    <w:rsid w:val="001E36DF"/>
    <w:rsid w:val="001E3D25"/>
    <w:rsid w:val="001E40F1"/>
    <w:rsid w:val="001E4D0D"/>
    <w:rsid w:val="001E72C4"/>
    <w:rsid w:val="001E7927"/>
    <w:rsid w:val="001F055D"/>
    <w:rsid w:val="001F0595"/>
    <w:rsid w:val="001F06C3"/>
    <w:rsid w:val="001F0CD5"/>
    <w:rsid w:val="001F2BA6"/>
    <w:rsid w:val="001F3885"/>
    <w:rsid w:val="001F428D"/>
    <w:rsid w:val="001F5ADB"/>
    <w:rsid w:val="001F5EFB"/>
    <w:rsid w:val="001F65F1"/>
    <w:rsid w:val="001F6AF9"/>
    <w:rsid w:val="00200351"/>
    <w:rsid w:val="00200FC1"/>
    <w:rsid w:val="002029F7"/>
    <w:rsid w:val="002035E8"/>
    <w:rsid w:val="0020545E"/>
    <w:rsid w:val="00205E4B"/>
    <w:rsid w:val="002060BE"/>
    <w:rsid w:val="002072B8"/>
    <w:rsid w:val="0021003F"/>
    <w:rsid w:val="002101DB"/>
    <w:rsid w:val="00210D94"/>
    <w:rsid w:val="00211507"/>
    <w:rsid w:val="002118DA"/>
    <w:rsid w:val="002118F0"/>
    <w:rsid w:val="00211BE0"/>
    <w:rsid w:val="0021569F"/>
    <w:rsid w:val="00217F0F"/>
    <w:rsid w:val="0022108F"/>
    <w:rsid w:val="0022202F"/>
    <w:rsid w:val="00223174"/>
    <w:rsid w:val="0022442F"/>
    <w:rsid w:val="00224BAA"/>
    <w:rsid w:val="00225CD2"/>
    <w:rsid w:val="00226F9E"/>
    <w:rsid w:val="00227D87"/>
    <w:rsid w:val="002315EF"/>
    <w:rsid w:val="00231F07"/>
    <w:rsid w:val="00232073"/>
    <w:rsid w:val="00232748"/>
    <w:rsid w:val="002327AB"/>
    <w:rsid w:val="002348E9"/>
    <w:rsid w:val="002349D8"/>
    <w:rsid w:val="002350FD"/>
    <w:rsid w:val="0023514F"/>
    <w:rsid w:val="002407B5"/>
    <w:rsid w:val="00243024"/>
    <w:rsid w:val="00243BDE"/>
    <w:rsid w:val="00245E43"/>
    <w:rsid w:val="00245EB1"/>
    <w:rsid w:val="00246070"/>
    <w:rsid w:val="00246478"/>
    <w:rsid w:val="0024650C"/>
    <w:rsid w:val="00247F08"/>
    <w:rsid w:val="00250000"/>
    <w:rsid w:val="002508C0"/>
    <w:rsid w:val="00252FC1"/>
    <w:rsid w:val="00253BA1"/>
    <w:rsid w:val="00254A15"/>
    <w:rsid w:val="00254BA2"/>
    <w:rsid w:val="00255F34"/>
    <w:rsid w:val="00256324"/>
    <w:rsid w:val="002566D7"/>
    <w:rsid w:val="00261ACF"/>
    <w:rsid w:val="0026227D"/>
    <w:rsid w:val="002642E6"/>
    <w:rsid w:val="00264829"/>
    <w:rsid w:val="00264991"/>
    <w:rsid w:val="00264F48"/>
    <w:rsid w:val="00271AD7"/>
    <w:rsid w:val="0027313E"/>
    <w:rsid w:val="00273AF0"/>
    <w:rsid w:val="0027414B"/>
    <w:rsid w:val="002758BC"/>
    <w:rsid w:val="00275973"/>
    <w:rsid w:val="00276138"/>
    <w:rsid w:val="002814C9"/>
    <w:rsid w:val="00282882"/>
    <w:rsid w:val="00282E69"/>
    <w:rsid w:val="00286F04"/>
    <w:rsid w:val="0029009F"/>
    <w:rsid w:val="00290151"/>
    <w:rsid w:val="002907B3"/>
    <w:rsid w:val="00290F7B"/>
    <w:rsid w:val="00292B80"/>
    <w:rsid w:val="0029490A"/>
    <w:rsid w:val="00294993"/>
    <w:rsid w:val="00296E39"/>
    <w:rsid w:val="002979CE"/>
    <w:rsid w:val="00297B19"/>
    <w:rsid w:val="00297DAD"/>
    <w:rsid w:val="002A035F"/>
    <w:rsid w:val="002A2466"/>
    <w:rsid w:val="002A24EE"/>
    <w:rsid w:val="002A5293"/>
    <w:rsid w:val="002A6053"/>
    <w:rsid w:val="002A68A5"/>
    <w:rsid w:val="002A7B4C"/>
    <w:rsid w:val="002A7F6B"/>
    <w:rsid w:val="002B092A"/>
    <w:rsid w:val="002B1117"/>
    <w:rsid w:val="002B24EF"/>
    <w:rsid w:val="002B419A"/>
    <w:rsid w:val="002C1B1F"/>
    <w:rsid w:val="002C5329"/>
    <w:rsid w:val="002C5D62"/>
    <w:rsid w:val="002D2D33"/>
    <w:rsid w:val="002D39F2"/>
    <w:rsid w:val="002E3B95"/>
    <w:rsid w:val="002F0462"/>
    <w:rsid w:val="002F0C12"/>
    <w:rsid w:val="002F16AE"/>
    <w:rsid w:val="002F2FAD"/>
    <w:rsid w:val="002F3B68"/>
    <w:rsid w:val="002F3F5D"/>
    <w:rsid w:val="002F5210"/>
    <w:rsid w:val="002F53B1"/>
    <w:rsid w:val="00302C26"/>
    <w:rsid w:val="00310D16"/>
    <w:rsid w:val="0031170B"/>
    <w:rsid w:val="00311C38"/>
    <w:rsid w:val="00311C44"/>
    <w:rsid w:val="003147F8"/>
    <w:rsid w:val="00317175"/>
    <w:rsid w:val="00317289"/>
    <w:rsid w:val="00317A2C"/>
    <w:rsid w:val="0032177F"/>
    <w:rsid w:val="003223EB"/>
    <w:rsid w:val="00322908"/>
    <w:rsid w:val="00323904"/>
    <w:rsid w:val="00324ADA"/>
    <w:rsid w:val="00330FBF"/>
    <w:rsid w:val="00332EE1"/>
    <w:rsid w:val="003368D8"/>
    <w:rsid w:val="003405BB"/>
    <w:rsid w:val="00342CA6"/>
    <w:rsid w:val="00343CCD"/>
    <w:rsid w:val="00343F09"/>
    <w:rsid w:val="00344184"/>
    <w:rsid w:val="003449F0"/>
    <w:rsid w:val="00346DB6"/>
    <w:rsid w:val="00347156"/>
    <w:rsid w:val="00347AB5"/>
    <w:rsid w:val="00347B58"/>
    <w:rsid w:val="00347E28"/>
    <w:rsid w:val="003501E8"/>
    <w:rsid w:val="0035044A"/>
    <w:rsid w:val="00352F34"/>
    <w:rsid w:val="003534AB"/>
    <w:rsid w:val="00353E91"/>
    <w:rsid w:val="00353ECE"/>
    <w:rsid w:val="003543D6"/>
    <w:rsid w:val="00360D6E"/>
    <w:rsid w:val="003645EC"/>
    <w:rsid w:val="003661C8"/>
    <w:rsid w:val="003666E4"/>
    <w:rsid w:val="00366773"/>
    <w:rsid w:val="00371BD1"/>
    <w:rsid w:val="003743F6"/>
    <w:rsid w:val="003767D8"/>
    <w:rsid w:val="0038007B"/>
    <w:rsid w:val="0038067D"/>
    <w:rsid w:val="00380D7A"/>
    <w:rsid w:val="0039183B"/>
    <w:rsid w:val="00391EEE"/>
    <w:rsid w:val="003920C2"/>
    <w:rsid w:val="00393E89"/>
    <w:rsid w:val="003941A1"/>
    <w:rsid w:val="003952F3"/>
    <w:rsid w:val="00395D23"/>
    <w:rsid w:val="00397518"/>
    <w:rsid w:val="003A1490"/>
    <w:rsid w:val="003A1D01"/>
    <w:rsid w:val="003A6F77"/>
    <w:rsid w:val="003A70C7"/>
    <w:rsid w:val="003B0C3C"/>
    <w:rsid w:val="003B0DC0"/>
    <w:rsid w:val="003B0F82"/>
    <w:rsid w:val="003B15EB"/>
    <w:rsid w:val="003B3296"/>
    <w:rsid w:val="003B5B3B"/>
    <w:rsid w:val="003C2304"/>
    <w:rsid w:val="003C269D"/>
    <w:rsid w:val="003C314D"/>
    <w:rsid w:val="003C3246"/>
    <w:rsid w:val="003C3EA0"/>
    <w:rsid w:val="003C4E92"/>
    <w:rsid w:val="003C60E2"/>
    <w:rsid w:val="003D054A"/>
    <w:rsid w:val="003D17B5"/>
    <w:rsid w:val="003E0222"/>
    <w:rsid w:val="003E0AC1"/>
    <w:rsid w:val="003E2E86"/>
    <w:rsid w:val="003E3DD0"/>
    <w:rsid w:val="003E50F8"/>
    <w:rsid w:val="003E765D"/>
    <w:rsid w:val="003F088B"/>
    <w:rsid w:val="003F08AC"/>
    <w:rsid w:val="003F090E"/>
    <w:rsid w:val="003F13D3"/>
    <w:rsid w:val="003F59F3"/>
    <w:rsid w:val="003F5CD2"/>
    <w:rsid w:val="00401290"/>
    <w:rsid w:val="00404925"/>
    <w:rsid w:val="004049EC"/>
    <w:rsid w:val="0040690E"/>
    <w:rsid w:val="00407D45"/>
    <w:rsid w:val="00410DC0"/>
    <w:rsid w:val="0041466C"/>
    <w:rsid w:val="0041660C"/>
    <w:rsid w:val="0041672D"/>
    <w:rsid w:val="0042041E"/>
    <w:rsid w:val="004221DD"/>
    <w:rsid w:val="00423311"/>
    <w:rsid w:val="004244C8"/>
    <w:rsid w:val="00424AAC"/>
    <w:rsid w:val="00424CDA"/>
    <w:rsid w:val="00424DED"/>
    <w:rsid w:val="0042502D"/>
    <w:rsid w:val="0042695F"/>
    <w:rsid w:val="00430736"/>
    <w:rsid w:val="00432099"/>
    <w:rsid w:val="00434479"/>
    <w:rsid w:val="00435105"/>
    <w:rsid w:val="00435A41"/>
    <w:rsid w:val="00436B3C"/>
    <w:rsid w:val="00437511"/>
    <w:rsid w:val="00437924"/>
    <w:rsid w:val="00440402"/>
    <w:rsid w:val="0044160B"/>
    <w:rsid w:val="00442089"/>
    <w:rsid w:val="00443C18"/>
    <w:rsid w:val="0045188D"/>
    <w:rsid w:val="00452D4D"/>
    <w:rsid w:val="004537F3"/>
    <w:rsid w:val="00455CD3"/>
    <w:rsid w:val="00455FD7"/>
    <w:rsid w:val="0045633B"/>
    <w:rsid w:val="0046355D"/>
    <w:rsid w:val="00466874"/>
    <w:rsid w:val="0047006A"/>
    <w:rsid w:val="004705FE"/>
    <w:rsid w:val="00472C7E"/>
    <w:rsid w:val="00473C77"/>
    <w:rsid w:val="0047408B"/>
    <w:rsid w:val="00474DA7"/>
    <w:rsid w:val="00474F09"/>
    <w:rsid w:val="0047506D"/>
    <w:rsid w:val="004765C2"/>
    <w:rsid w:val="00480A2E"/>
    <w:rsid w:val="00480BCF"/>
    <w:rsid w:val="00480EFB"/>
    <w:rsid w:val="00481044"/>
    <w:rsid w:val="00481880"/>
    <w:rsid w:val="00481E07"/>
    <w:rsid w:val="004834A2"/>
    <w:rsid w:val="004853A2"/>
    <w:rsid w:val="00485535"/>
    <w:rsid w:val="00485995"/>
    <w:rsid w:val="00490099"/>
    <w:rsid w:val="004913C6"/>
    <w:rsid w:val="00493266"/>
    <w:rsid w:val="00494817"/>
    <w:rsid w:val="00497BD0"/>
    <w:rsid w:val="004A0B89"/>
    <w:rsid w:val="004A0C7D"/>
    <w:rsid w:val="004A2B06"/>
    <w:rsid w:val="004A5AFC"/>
    <w:rsid w:val="004A5EB2"/>
    <w:rsid w:val="004A750C"/>
    <w:rsid w:val="004B16F6"/>
    <w:rsid w:val="004B1EE6"/>
    <w:rsid w:val="004B28FB"/>
    <w:rsid w:val="004B395F"/>
    <w:rsid w:val="004C08E3"/>
    <w:rsid w:val="004C0E53"/>
    <w:rsid w:val="004C1AD3"/>
    <w:rsid w:val="004C3B69"/>
    <w:rsid w:val="004C437C"/>
    <w:rsid w:val="004C6A08"/>
    <w:rsid w:val="004C71C8"/>
    <w:rsid w:val="004C75B1"/>
    <w:rsid w:val="004D150A"/>
    <w:rsid w:val="004D1668"/>
    <w:rsid w:val="004D332E"/>
    <w:rsid w:val="004D53A7"/>
    <w:rsid w:val="004E16EC"/>
    <w:rsid w:val="004E2035"/>
    <w:rsid w:val="004E50F5"/>
    <w:rsid w:val="004E7404"/>
    <w:rsid w:val="004F0A0E"/>
    <w:rsid w:val="004F1222"/>
    <w:rsid w:val="004F1876"/>
    <w:rsid w:val="004F22E8"/>
    <w:rsid w:val="004F3C68"/>
    <w:rsid w:val="004F4703"/>
    <w:rsid w:val="004F4BD0"/>
    <w:rsid w:val="004F7B57"/>
    <w:rsid w:val="005000B3"/>
    <w:rsid w:val="00500AE7"/>
    <w:rsid w:val="00502DEC"/>
    <w:rsid w:val="00503865"/>
    <w:rsid w:val="0050393C"/>
    <w:rsid w:val="00511FCC"/>
    <w:rsid w:val="0051386A"/>
    <w:rsid w:val="0052274E"/>
    <w:rsid w:val="0052292D"/>
    <w:rsid w:val="00523098"/>
    <w:rsid w:val="005247B9"/>
    <w:rsid w:val="0052492A"/>
    <w:rsid w:val="00525B33"/>
    <w:rsid w:val="00533441"/>
    <w:rsid w:val="0053623E"/>
    <w:rsid w:val="00540E33"/>
    <w:rsid w:val="00542AC1"/>
    <w:rsid w:val="0054332F"/>
    <w:rsid w:val="00544E62"/>
    <w:rsid w:val="00544EDA"/>
    <w:rsid w:val="005464AC"/>
    <w:rsid w:val="00547C88"/>
    <w:rsid w:val="0055173F"/>
    <w:rsid w:val="0055269F"/>
    <w:rsid w:val="00553C32"/>
    <w:rsid w:val="0055602A"/>
    <w:rsid w:val="005566C3"/>
    <w:rsid w:val="00557029"/>
    <w:rsid w:val="00557888"/>
    <w:rsid w:val="00560446"/>
    <w:rsid w:val="005604FB"/>
    <w:rsid w:val="005609A3"/>
    <w:rsid w:val="00563BF4"/>
    <w:rsid w:val="00563FF8"/>
    <w:rsid w:val="00564373"/>
    <w:rsid w:val="0056538C"/>
    <w:rsid w:val="00565D41"/>
    <w:rsid w:val="0056667E"/>
    <w:rsid w:val="00566B7D"/>
    <w:rsid w:val="00567308"/>
    <w:rsid w:val="00570F91"/>
    <w:rsid w:val="005710B1"/>
    <w:rsid w:val="005718B3"/>
    <w:rsid w:val="00573658"/>
    <w:rsid w:val="00573999"/>
    <w:rsid w:val="005758F3"/>
    <w:rsid w:val="0057678E"/>
    <w:rsid w:val="0057797F"/>
    <w:rsid w:val="0058115D"/>
    <w:rsid w:val="00583241"/>
    <w:rsid w:val="00583515"/>
    <w:rsid w:val="005841E1"/>
    <w:rsid w:val="00584652"/>
    <w:rsid w:val="0058483F"/>
    <w:rsid w:val="0058533F"/>
    <w:rsid w:val="0058599A"/>
    <w:rsid w:val="00586BA9"/>
    <w:rsid w:val="00587392"/>
    <w:rsid w:val="005907A7"/>
    <w:rsid w:val="00590910"/>
    <w:rsid w:val="00591535"/>
    <w:rsid w:val="0059161C"/>
    <w:rsid w:val="00593527"/>
    <w:rsid w:val="00593FF0"/>
    <w:rsid w:val="0059407E"/>
    <w:rsid w:val="00594BA8"/>
    <w:rsid w:val="005975C9"/>
    <w:rsid w:val="005A111E"/>
    <w:rsid w:val="005A2408"/>
    <w:rsid w:val="005A2430"/>
    <w:rsid w:val="005A4CCD"/>
    <w:rsid w:val="005A4D7E"/>
    <w:rsid w:val="005A6B2B"/>
    <w:rsid w:val="005B187C"/>
    <w:rsid w:val="005B3954"/>
    <w:rsid w:val="005B4D80"/>
    <w:rsid w:val="005B5A14"/>
    <w:rsid w:val="005C24C3"/>
    <w:rsid w:val="005C5896"/>
    <w:rsid w:val="005C6379"/>
    <w:rsid w:val="005C6DFB"/>
    <w:rsid w:val="005C7CD5"/>
    <w:rsid w:val="005D0974"/>
    <w:rsid w:val="005D0CDE"/>
    <w:rsid w:val="005D1836"/>
    <w:rsid w:val="005D2DB1"/>
    <w:rsid w:val="005D61CE"/>
    <w:rsid w:val="005D63A9"/>
    <w:rsid w:val="005D7275"/>
    <w:rsid w:val="005D7C69"/>
    <w:rsid w:val="005E0B98"/>
    <w:rsid w:val="005E0BB2"/>
    <w:rsid w:val="005E1761"/>
    <w:rsid w:val="005E317F"/>
    <w:rsid w:val="005E3810"/>
    <w:rsid w:val="005E6302"/>
    <w:rsid w:val="005E6EA1"/>
    <w:rsid w:val="005E7F72"/>
    <w:rsid w:val="005F0F43"/>
    <w:rsid w:val="005F1F2A"/>
    <w:rsid w:val="005F24A4"/>
    <w:rsid w:val="005F2D52"/>
    <w:rsid w:val="005F52E9"/>
    <w:rsid w:val="005F61BB"/>
    <w:rsid w:val="005F6F77"/>
    <w:rsid w:val="00600B43"/>
    <w:rsid w:val="00601541"/>
    <w:rsid w:val="006026E8"/>
    <w:rsid w:val="006046AA"/>
    <w:rsid w:val="006105AD"/>
    <w:rsid w:val="006109F8"/>
    <w:rsid w:val="00613AC1"/>
    <w:rsid w:val="00617394"/>
    <w:rsid w:val="006173A0"/>
    <w:rsid w:val="00623F0F"/>
    <w:rsid w:val="00624870"/>
    <w:rsid w:val="006257CC"/>
    <w:rsid w:val="00626415"/>
    <w:rsid w:val="0063095F"/>
    <w:rsid w:val="006311D2"/>
    <w:rsid w:val="00633A2E"/>
    <w:rsid w:val="006407D8"/>
    <w:rsid w:val="00640A21"/>
    <w:rsid w:val="006413F5"/>
    <w:rsid w:val="00644BF9"/>
    <w:rsid w:val="0064648D"/>
    <w:rsid w:val="00651367"/>
    <w:rsid w:val="00652C59"/>
    <w:rsid w:val="006536B8"/>
    <w:rsid w:val="006565AA"/>
    <w:rsid w:val="00656D74"/>
    <w:rsid w:val="0065735F"/>
    <w:rsid w:val="006576F2"/>
    <w:rsid w:val="00662173"/>
    <w:rsid w:val="00662199"/>
    <w:rsid w:val="0066401D"/>
    <w:rsid w:val="00665604"/>
    <w:rsid w:val="00665DA7"/>
    <w:rsid w:val="00667871"/>
    <w:rsid w:val="00667BAD"/>
    <w:rsid w:val="00672DFA"/>
    <w:rsid w:val="00673946"/>
    <w:rsid w:val="00673B00"/>
    <w:rsid w:val="00677540"/>
    <w:rsid w:val="00680A11"/>
    <w:rsid w:val="0068367D"/>
    <w:rsid w:val="00683801"/>
    <w:rsid w:val="00685155"/>
    <w:rsid w:val="006877A3"/>
    <w:rsid w:val="006917FE"/>
    <w:rsid w:val="00691BAC"/>
    <w:rsid w:val="0069253F"/>
    <w:rsid w:val="00692B43"/>
    <w:rsid w:val="00695158"/>
    <w:rsid w:val="0069542A"/>
    <w:rsid w:val="006963C6"/>
    <w:rsid w:val="00696584"/>
    <w:rsid w:val="006966DE"/>
    <w:rsid w:val="0069689B"/>
    <w:rsid w:val="006A0503"/>
    <w:rsid w:val="006A16A6"/>
    <w:rsid w:val="006A27DE"/>
    <w:rsid w:val="006A3E65"/>
    <w:rsid w:val="006A6A81"/>
    <w:rsid w:val="006A7A95"/>
    <w:rsid w:val="006B04D1"/>
    <w:rsid w:val="006B062C"/>
    <w:rsid w:val="006B268D"/>
    <w:rsid w:val="006B2D53"/>
    <w:rsid w:val="006B4940"/>
    <w:rsid w:val="006B4ED8"/>
    <w:rsid w:val="006B6306"/>
    <w:rsid w:val="006B6316"/>
    <w:rsid w:val="006B7CED"/>
    <w:rsid w:val="006C045D"/>
    <w:rsid w:val="006C1122"/>
    <w:rsid w:val="006C1EF0"/>
    <w:rsid w:val="006C3E37"/>
    <w:rsid w:val="006C406F"/>
    <w:rsid w:val="006C41E3"/>
    <w:rsid w:val="006C4EBB"/>
    <w:rsid w:val="006C6246"/>
    <w:rsid w:val="006C7122"/>
    <w:rsid w:val="006D207E"/>
    <w:rsid w:val="006D3766"/>
    <w:rsid w:val="006D6D13"/>
    <w:rsid w:val="006D71A0"/>
    <w:rsid w:val="006E005E"/>
    <w:rsid w:val="006E104D"/>
    <w:rsid w:val="006E1595"/>
    <w:rsid w:val="006E342D"/>
    <w:rsid w:val="006E3813"/>
    <w:rsid w:val="006E68BB"/>
    <w:rsid w:val="006E6C05"/>
    <w:rsid w:val="006E77B4"/>
    <w:rsid w:val="006F07B1"/>
    <w:rsid w:val="006F10A0"/>
    <w:rsid w:val="006F2341"/>
    <w:rsid w:val="006F393B"/>
    <w:rsid w:val="006F3C1A"/>
    <w:rsid w:val="006F562D"/>
    <w:rsid w:val="006F6158"/>
    <w:rsid w:val="006F7B59"/>
    <w:rsid w:val="007010E5"/>
    <w:rsid w:val="00702A29"/>
    <w:rsid w:val="00703606"/>
    <w:rsid w:val="0070489F"/>
    <w:rsid w:val="0070651F"/>
    <w:rsid w:val="0071115C"/>
    <w:rsid w:val="00714C7B"/>
    <w:rsid w:val="0072154A"/>
    <w:rsid w:val="0072158D"/>
    <w:rsid w:val="007222F8"/>
    <w:rsid w:val="00726FC9"/>
    <w:rsid w:val="007270F4"/>
    <w:rsid w:val="00727B55"/>
    <w:rsid w:val="0073220C"/>
    <w:rsid w:val="00733DEE"/>
    <w:rsid w:val="00733E4E"/>
    <w:rsid w:val="00733EA3"/>
    <w:rsid w:val="00736209"/>
    <w:rsid w:val="0074012D"/>
    <w:rsid w:val="00740389"/>
    <w:rsid w:val="00741792"/>
    <w:rsid w:val="00742292"/>
    <w:rsid w:val="00744588"/>
    <w:rsid w:val="0074485D"/>
    <w:rsid w:val="00745908"/>
    <w:rsid w:val="00746BFE"/>
    <w:rsid w:val="00746D86"/>
    <w:rsid w:val="00747937"/>
    <w:rsid w:val="007537E8"/>
    <w:rsid w:val="00753E17"/>
    <w:rsid w:val="007613E5"/>
    <w:rsid w:val="00762F94"/>
    <w:rsid w:val="00763C03"/>
    <w:rsid w:val="0076424B"/>
    <w:rsid w:val="007667BE"/>
    <w:rsid w:val="007711F4"/>
    <w:rsid w:val="00776351"/>
    <w:rsid w:val="00776977"/>
    <w:rsid w:val="00777120"/>
    <w:rsid w:val="00783152"/>
    <w:rsid w:val="007832A1"/>
    <w:rsid w:val="007833B1"/>
    <w:rsid w:val="00786F06"/>
    <w:rsid w:val="007876E1"/>
    <w:rsid w:val="0079140D"/>
    <w:rsid w:val="00791756"/>
    <w:rsid w:val="007924F3"/>
    <w:rsid w:val="00794B9B"/>
    <w:rsid w:val="00796B19"/>
    <w:rsid w:val="00797EF9"/>
    <w:rsid w:val="007A0E7C"/>
    <w:rsid w:val="007A141A"/>
    <w:rsid w:val="007A1DC6"/>
    <w:rsid w:val="007A1DCC"/>
    <w:rsid w:val="007A3238"/>
    <w:rsid w:val="007A4F9D"/>
    <w:rsid w:val="007A7EF2"/>
    <w:rsid w:val="007B11F0"/>
    <w:rsid w:val="007B25F6"/>
    <w:rsid w:val="007B4DF2"/>
    <w:rsid w:val="007B4E81"/>
    <w:rsid w:val="007B5632"/>
    <w:rsid w:val="007B5AF1"/>
    <w:rsid w:val="007B5D0B"/>
    <w:rsid w:val="007C086A"/>
    <w:rsid w:val="007C1281"/>
    <w:rsid w:val="007C171C"/>
    <w:rsid w:val="007C5177"/>
    <w:rsid w:val="007C64EB"/>
    <w:rsid w:val="007D0A77"/>
    <w:rsid w:val="007D2E1E"/>
    <w:rsid w:val="007D4192"/>
    <w:rsid w:val="007D68FD"/>
    <w:rsid w:val="007D7E45"/>
    <w:rsid w:val="007D7F36"/>
    <w:rsid w:val="007E0184"/>
    <w:rsid w:val="007E1120"/>
    <w:rsid w:val="007E1690"/>
    <w:rsid w:val="007E18A3"/>
    <w:rsid w:val="007E605C"/>
    <w:rsid w:val="007E72F3"/>
    <w:rsid w:val="007E7635"/>
    <w:rsid w:val="007F30F8"/>
    <w:rsid w:val="007F3CE6"/>
    <w:rsid w:val="007F783F"/>
    <w:rsid w:val="00800FC6"/>
    <w:rsid w:val="00802841"/>
    <w:rsid w:val="00804696"/>
    <w:rsid w:val="008057E2"/>
    <w:rsid w:val="008075A5"/>
    <w:rsid w:val="0081058C"/>
    <w:rsid w:val="0081083B"/>
    <w:rsid w:val="00810F0D"/>
    <w:rsid w:val="008122C5"/>
    <w:rsid w:val="00813610"/>
    <w:rsid w:val="00815EAD"/>
    <w:rsid w:val="00816329"/>
    <w:rsid w:val="00822921"/>
    <w:rsid w:val="008258FC"/>
    <w:rsid w:val="00826207"/>
    <w:rsid w:val="0082759E"/>
    <w:rsid w:val="00827DAF"/>
    <w:rsid w:val="0083258C"/>
    <w:rsid w:val="0083425D"/>
    <w:rsid w:val="008404A2"/>
    <w:rsid w:val="00840ED1"/>
    <w:rsid w:val="00843DD7"/>
    <w:rsid w:val="0084563E"/>
    <w:rsid w:val="008456A2"/>
    <w:rsid w:val="00845C51"/>
    <w:rsid w:val="00853723"/>
    <w:rsid w:val="008538B3"/>
    <w:rsid w:val="00854B40"/>
    <w:rsid w:val="00856A38"/>
    <w:rsid w:val="008615D4"/>
    <w:rsid w:val="0086175E"/>
    <w:rsid w:val="00861E9E"/>
    <w:rsid w:val="00870E0D"/>
    <w:rsid w:val="00871EFA"/>
    <w:rsid w:val="00872CC7"/>
    <w:rsid w:val="008745B2"/>
    <w:rsid w:val="00876122"/>
    <w:rsid w:val="008777D5"/>
    <w:rsid w:val="0088283E"/>
    <w:rsid w:val="00882A49"/>
    <w:rsid w:val="0088439B"/>
    <w:rsid w:val="00884494"/>
    <w:rsid w:val="00884707"/>
    <w:rsid w:val="00885969"/>
    <w:rsid w:val="00887910"/>
    <w:rsid w:val="0089228F"/>
    <w:rsid w:val="0089338B"/>
    <w:rsid w:val="00893FE1"/>
    <w:rsid w:val="00895410"/>
    <w:rsid w:val="00895E7F"/>
    <w:rsid w:val="008A0DF7"/>
    <w:rsid w:val="008A183A"/>
    <w:rsid w:val="008A1857"/>
    <w:rsid w:val="008A2397"/>
    <w:rsid w:val="008A3DC0"/>
    <w:rsid w:val="008A4B8C"/>
    <w:rsid w:val="008A4E16"/>
    <w:rsid w:val="008A6497"/>
    <w:rsid w:val="008A6DEB"/>
    <w:rsid w:val="008A6F71"/>
    <w:rsid w:val="008A7C22"/>
    <w:rsid w:val="008B08C6"/>
    <w:rsid w:val="008B0F4C"/>
    <w:rsid w:val="008B198D"/>
    <w:rsid w:val="008B2A2C"/>
    <w:rsid w:val="008B31F3"/>
    <w:rsid w:val="008B4B85"/>
    <w:rsid w:val="008B78ED"/>
    <w:rsid w:val="008B7F78"/>
    <w:rsid w:val="008C22CD"/>
    <w:rsid w:val="008C23A7"/>
    <w:rsid w:val="008C61C8"/>
    <w:rsid w:val="008C765B"/>
    <w:rsid w:val="008C7F1F"/>
    <w:rsid w:val="008D03F4"/>
    <w:rsid w:val="008D0445"/>
    <w:rsid w:val="008D20B4"/>
    <w:rsid w:val="008D310F"/>
    <w:rsid w:val="008D3919"/>
    <w:rsid w:val="008D4D7D"/>
    <w:rsid w:val="008D65C9"/>
    <w:rsid w:val="008D6E92"/>
    <w:rsid w:val="008E180E"/>
    <w:rsid w:val="008E192E"/>
    <w:rsid w:val="008E27F5"/>
    <w:rsid w:val="008E2994"/>
    <w:rsid w:val="008E4335"/>
    <w:rsid w:val="008E45F0"/>
    <w:rsid w:val="008E49D8"/>
    <w:rsid w:val="008E4B58"/>
    <w:rsid w:val="008E5C92"/>
    <w:rsid w:val="008F04C7"/>
    <w:rsid w:val="008F258C"/>
    <w:rsid w:val="008F591E"/>
    <w:rsid w:val="008F66FD"/>
    <w:rsid w:val="0090065E"/>
    <w:rsid w:val="00902C77"/>
    <w:rsid w:val="00904F5D"/>
    <w:rsid w:val="00905EAF"/>
    <w:rsid w:val="00910761"/>
    <w:rsid w:val="00911DE6"/>
    <w:rsid w:val="009137D3"/>
    <w:rsid w:val="00913F78"/>
    <w:rsid w:val="00915F07"/>
    <w:rsid w:val="009210C9"/>
    <w:rsid w:val="00922551"/>
    <w:rsid w:val="00926C33"/>
    <w:rsid w:val="009277EE"/>
    <w:rsid w:val="009301A1"/>
    <w:rsid w:val="00933362"/>
    <w:rsid w:val="00934E20"/>
    <w:rsid w:val="00936253"/>
    <w:rsid w:val="00937725"/>
    <w:rsid w:val="00937A3E"/>
    <w:rsid w:val="00940D97"/>
    <w:rsid w:val="00940DC7"/>
    <w:rsid w:val="0094145E"/>
    <w:rsid w:val="00941ABC"/>
    <w:rsid w:val="00943DAB"/>
    <w:rsid w:val="0094487B"/>
    <w:rsid w:val="00946DB8"/>
    <w:rsid w:val="009501BF"/>
    <w:rsid w:val="00950295"/>
    <w:rsid w:val="0095103D"/>
    <w:rsid w:val="00951D9B"/>
    <w:rsid w:val="00951F37"/>
    <w:rsid w:val="00952C96"/>
    <w:rsid w:val="00953969"/>
    <w:rsid w:val="009542FD"/>
    <w:rsid w:val="0095521D"/>
    <w:rsid w:val="00957260"/>
    <w:rsid w:val="00957990"/>
    <w:rsid w:val="009633D9"/>
    <w:rsid w:val="00963563"/>
    <w:rsid w:val="009635E4"/>
    <w:rsid w:val="009640FE"/>
    <w:rsid w:val="009641D5"/>
    <w:rsid w:val="00965005"/>
    <w:rsid w:val="0097055E"/>
    <w:rsid w:val="009723F0"/>
    <w:rsid w:val="00975F7F"/>
    <w:rsid w:val="009815AE"/>
    <w:rsid w:val="00985C47"/>
    <w:rsid w:val="00986217"/>
    <w:rsid w:val="009871DA"/>
    <w:rsid w:val="009873EA"/>
    <w:rsid w:val="0099177E"/>
    <w:rsid w:val="00991F6B"/>
    <w:rsid w:val="00994620"/>
    <w:rsid w:val="009A4A76"/>
    <w:rsid w:val="009A5A3A"/>
    <w:rsid w:val="009A6528"/>
    <w:rsid w:val="009A6ED1"/>
    <w:rsid w:val="009A7BD8"/>
    <w:rsid w:val="009A7C66"/>
    <w:rsid w:val="009B15C6"/>
    <w:rsid w:val="009B2FE8"/>
    <w:rsid w:val="009B4FF1"/>
    <w:rsid w:val="009B523F"/>
    <w:rsid w:val="009B5469"/>
    <w:rsid w:val="009C16ED"/>
    <w:rsid w:val="009C3E68"/>
    <w:rsid w:val="009C5DFC"/>
    <w:rsid w:val="009C6E20"/>
    <w:rsid w:val="009C7059"/>
    <w:rsid w:val="009C7535"/>
    <w:rsid w:val="009D206D"/>
    <w:rsid w:val="009D56F9"/>
    <w:rsid w:val="009D626B"/>
    <w:rsid w:val="009D6531"/>
    <w:rsid w:val="009D6AAC"/>
    <w:rsid w:val="009D798E"/>
    <w:rsid w:val="009E0826"/>
    <w:rsid w:val="009E2467"/>
    <w:rsid w:val="009E26CC"/>
    <w:rsid w:val="009E2945"/>
    <w:rsid w:val="009E2DBF"/>
    <w:rsid w:val="009E30AF"/>
    <w:rsid w:val="009E4274"/>
    <w:rsid w:val="009E4710"/>
    <w:rsid w:val="009E5171"/>
    <w:rsid w:val="009E5F19"/>
    <w:rsid w:val="009E72FD"/>
    <w:rsid w:val="009F0C0F"/>
    <w:rsid w:val="009F4FA1"/>
    <w:rsid w:val="009F7A00"/>
    <w:rsid w:val="009F7EB1"/>
    <w:rsid w:val="00A0122A"/>
    <w:rsid w:val="00A01C5B"/>
    <w:rsid w:val="00A02648"/>
    <w:rsid w:val="00A1107F"/>
    <w:rsid w:val="00A110C2"/>
    <w:rsid w:val="00A11573"/>
    <w:rsid w:val="00A1205F"/>
    <w:rsid w:val="00A13738"/>
    <w:rsid w:val="00A13C24"/>
    <w:rsid w:val="00A13EB3"/>
    <w:rsid w:val="00A1576C"/>
    <w:rsid w:val="00A16AE2"/>
    <w:rsid w:val="00A175AB"/>
    <w:rsid w:val="00A17D0E"/>
    <w:rsid w:val="00A22402"/>
    <w:rsid w:val="00A254E4"/>
    <w:rsid w:val="00A25B4F"/>
    <w:rsid w:val="00A2622C"/>
    <w:rsid w:val="00A30A42"/>
    <w:rsid w:val="00A32DBF"/>
    <w:rsid w:val="00A33900"/>
    <w:rsid w:val="00A34BFC"/>
    <w:rsid w:val="00A34CB7"/>
    <w:rsid w:val="00A352D8"/>
    <w:rsid w:val="00A3753F"/>
    <w:rsid w:val="00A3765C"/>
    <w:rsid w:val="00A377FF"/>
    <w:rsid w:val="00A40470"/>
    <w:rsid w:val="00A41D41"/>
    <w:rsid w:val="00A45273"/>
    <w:rsid w:val="00A51208"/>
    <w:rsid w:val="00A53FBB"/>
    <w:rsid w:val="00A56697"/>
    <w:rsid w:val="00A60036"/>
    <w:rsid w:val="00A60845"/>
    <w:rsid w:val="00A614F7"/>
    <w:rsid w:val="00A61E2F"/>
    <w:rsid w:val="00A62005"/>
    <w:rsid w:val="00A63F5D"/>
    <w:rsid w:val="00A66001"/>
    <w:rsid w:val="00A67640"/>
    <w:rsid w:val="00A678E9"/>
    <w:rsid w:val="00A739DB"/>
    <w:rsid w:val="00A757AC"/>
    <w:rsid w:val="00A7582B"/>
    <w:rsid w:val="00A75EF6"/>
    <w:rsid w:val="00A80470"/>
    <w:rsid w:val="00A809C8"/>
    <w:rsid w:val="00A823DC"/>
    <w:rsid w:val="00A83C66"/>
    <w:rsid w:val="00A83CD2"/>
    <w:rsid w:val="00A86744"/>
    <w:rsid w:val="00A86812"/>
    <w:rsid w:val="00A868BF"/>
    <w:rsid w:val="00A90707"/>
    <w:rsid w:val="00A91062"/>
    <w:rsid w:val="00A93153"/>
    <w:rsid w:val="00A93F9F"/>
    <w:rsid w:val="00A95EE9"/>
    <w:rsid w:val="00A973E8"/>
    <w:rsid w:val="00AA0ECC"/>
    <w:rsid w:val="00AA10A6"/>
    <w:rsid w:val="00AA128A"/>
    <w:rsid w:val="00AA1668"/>
    <w:rsid w:val="00AA2040"/>
    <w:rsid w:val="00AA22B2"/>
    <w:rsid w:val="00AA353A"/>
    <w:rsid w:val="00AA3B1B"/>
    <w:rsid w:val="00AA53BA"/>
    <w:rsid w:val="00AA6278"/>
    <w:rsid w:val="00AA67A4"/>
    <w:rsid w:val="00AA686C"/>
    <w:rsid w:val="00AA6E25"/>
    <w:rsid w:val="00AA74CD"/>
    <w:rsid w:val="00AA7609"/>
    <w:rsid w:val="00AA78B5"/>
    <w:rsid w:val="00AB0F0F"/>
    <w:rsid w:val="00AB2458"/>
    <w:rsid w:val="00AB4044"/>
    <w:rsid w:val="00AB41B9"/>
    <w:rsid w:val="00AB45DF"/>
    <w:rsid w:val="00AB464F"/>
    <w:rsid w:val="00AB4792"/>
    <w:rsid w:val="00AB494A"/>
    <w:rsid w:val="00AB50BA"/>
    <w:rsid w:val="00AB6CE2"/>
    <w:rsid w:val="00AC15E6"/>
    <w:rsid w:val="00AC3F2A"/>
    <w:rsid w:val="00AC6B1C"/>
    <w:rsid w:val="00AC79E7"/>
    <w:rsid w:val="00AC7CF3"/>
    <w:rsid w:val="00AD3630"/>
    <w:rsid w:val="00AD3683"/>
    <w:rsid w:val="00AD501E"/>
    <w:rsid w:val="00AE170A"/>
    <w:rsid w:val="00AE1F4B"/>
    <w:rsid w:val="00AE3C4C"/>
    <w:rsid w:val="00AE7874"/>
    <w:rsid w:val="00AE7DBE"/>
    <w:rsid w:val="00AF05DD"/>
    <w:rsid w:val="00AF10F2"/>
    <w:rsid w:val="00AF1131"/>
    <w:rsid w:val="00AF20B0"/>
    <w:rsid w:val="00AF2759"/>
    <w:rsid w:val="00AF3B6B"/>
    <w:rsid w:val="00AF3C36"/>
    <w:rsid w:val="00AF470D"/>
    <w:rsid w:val="00AF4866"/>
    <w:rsid w:val="00AF4A34"/>
    <w:rsid w:val="00AF5678"/>
    <w:rsid w:val="00AF5D21"/>
    <w:rsid w:val="00AF659A"/>
    <w:rsid w:val="00AF67D1"/>
    <w:rsid w:val="00AF74A0"/>
    <w:rsid w:val="00B007EB"/>
    <w:rsid w:val="00B01E3A"/>
    <w:rsid w:val="00B02666"/>
    <w:rsid w:val="00B040E2"/>
    <w:rsid w:val="00B04283"/>
    <w:rsid w:val="00B05C41"/>
    <w:rsid w:val="00B06102"/>
    <w:rsid w:val="00B062D6"/>
    <w:rsid w:val="00B06D8A"/>
    <w:rsid w:val="00B10B93"/>
    <w:rsid w:val="00B175C3"/>
    <w:rsid w:val="00B25647"/>
    <w:rsid w:val="00B26C79"/>
    <w:rsid w:val="00B26EC6"/>
    <w:rsid w:val="00B307C2"/>
    <w:rsid w:val="00B3256A"/>
    <w:rsid w:val="00B33E55"/>
    <w:rsid w:val="00B36C5A"/>
    <w:rsid w:val="00B40C07"/>
    <w:rsid w:val="00B40DA7"/>
    <w:rsid w:val="00B4174E"/>
    <w:rsid w:val="00B4401A"/>
    <w:rsid w:val="00B44D0B"/>
    <w:rsid w:val="00B45F43"/>
    <w:rsid w:val="00B46C9D"/>
    <w:rsid w:val="00B472CA"/>
    <w:rsid w:val="00B477D6"/>
    <w:rsid w:val="00B506B5"/>
    <w:rsid w:val="00B51163"/>
    <w:rsid w:val="00B5210E"/>
    <w:rsid w:val="00B53776"/>
    <w:rsid w:val="00B54067"/>
    <w:rsid w:val="00B569FB"/>
    <w:rsid w:val="00B56D7A"/>
    <w:rsid w:val="00B578E6"/>
    <w:rsid w:val="00B606B3"/>
    <w:rsid w:val="00B62177"/>
    <w:rsid w:val="00B67AE8"/>
    <w:rsid w:val="00B70370"/>
    <w:rsid w:val="00B708C3"/>
    <w:rsid w:val="00B723B4"/>
    <w:rsid w:val="00B73DE8"/>
    <w:rsid w:val="00B76566"/>
    <w:rsid w:val="00B76A07"/>
    <w:rsid w:val="00B80645"/>
    <w:rsid w:val="00B90792"/>
    <w:rsid w:val="00B921E4"/>
    <w:rsid w:val="00B93462"/>
    <w:rsid w:val="00B96A75"/>
    <w:rsid w:val="00BA03F3"/>
    <w:rsid w:val="00BA0B2B"/>
    <w:rsid w:val="00BA103F"/>
    <w:rsid w:val="00BA2593"/>
    <w:rsid w:val="00BA2613"/>
    <w:rsid w:val="00BA442C"/>
    <w:rsid w:val="00BA59DE"/>
    <w:rsid w:val="00BA6494"/>
    <w:rsid w:val="00BA7F08"/>
    <w:rsid w:val="00BB2CC6"/>
    <w:rsid w:val="00BB2E54"/>
    <w:rsid w:val="00BB30D0"/>
    <w:rsid w:val="00BB35AE"/>
    <w:rsid w:val="00BB5ACC"/>
    <w:rsid w:val="00BB609A"/>
    <w:rsid w:val="00BB672C"/>
    <w:rsid w:val="00BB6B71"/>
    <w:rsid w:val="00BC2523"/>
    <w:rsid w:val="00BC32BB"/>
    <w:rsid w:val="00BC3B29"/>
    <w:rsid w:val="00BC58F1"/>
    <w:rsid w:val="00BC6BD5"/>
    <w:rsid w:val="00BC7C86"/>
    <w:rsid w:val="00BC7FEA"/>
    <w:rsid w:val="00BD0F24"/>
    <w:rsid w:val="00BD160E"/>
    <w:rsid w:val="00BD1727"/>
    <w:rsid w:val="00BD1F35"/>
    <w:rsid w:val="00BD21D8"/>
    <w:rsid w:val="00BD319C"/>
    <w:rsid w:val="00BD6F01"/>
    <w:rsid w:val="00BD75B6"/>
    <w:rsid w:val="00BE008B"/>
    <w:rsid w:val="00BE3A4C"/>
    <w:rsid w:val="00BE4E39"/>
    <w:rsid w:val="00BE5568"/>
    <w:rsid w:val="00BE6FC0"/>
    <w:rsid w:val="00BE7498"/>
    <w:rsid w:val="00BF005E"/>
    <w:rsid w:val="00BF19C1"/>
    <w:rsid w:val="00BF2118"/>
    <w:rsid w:val="00BF2D1C"/>
    <w:rsid w:val="00BF3A38"/>
    <w:rsid w:val="00BF3C28"/>
    <w:rsid w:val="00BF4A3B"/>
    <w:rsid w:val="00BF647F"/>
    <w:rsid w:val="00BF6AF7"/>
    <w:rsid w:val="00BF79EC"/>
    <w:rsid w:val="00C011F8"/>
    <w:rsid w:val="00C028F0"/>
    <w:rsid w:val="00C02EDE"/>
    <w:rsid w:val="00C034CD"/>
    <w:rsid w:val="00C060EE"/>
    <w:rsid w:val="00C063C0"/>
    <w:rsid w:val="00C0686F"/>
    <w:rsid w:val="00C0746A"/>
    <w:rsid w:val="00C075F4"/>
    <w:rsid w:val="00C119A4"/>
    <w:rsid w:val="00C132B2"/>
    <w:rsid w:val="00C14574"/>
    <w:rsid w:val="00C14C80"/>
    <w:rsid w:val="00C2055E"/>
    <w:rsid w:val="00C20FE6"/>
    <w:rsid w:val="00C228A4"/>
    <w:rsid w:val="00C2325D"/>
    <w:rsid w:val="00C23CB4"/>
    <w:rsid w:val="00C24067"/>
    <w:rsid w:val="00C241DD"/>
    <w:rsid w:val="00C2440B"/>
    <w:rsid w:val="00C24A3E"/>
    <w:rsid w:val="00C2582C"/>
    <w:rsid w:val="00C26893"/>
    <w:rsid w:val="00C271FA"/>
    <w:rsid w:val="00C272D1"/>
    <w:rsid w:val="00C303DC"/>
    <w:rsid w:val="00C30E36"/>
    <w:rsid w:val="00C325DF"/>
    <w:rsid w:val="00C32AFA"/>
    <w:rsid w:val="00C34AB3"/>
    <w:rsid w:val="00C365EC"/>
    <w:rsid w:val="00C36F65"/>
    <w:rsid w:val="00C37CBF"/>
    <w:rsid w:val="00C37CE8"/>
    <w:rsid w:val="00C4047A"/>
    <w:rsid w:val="00C410EE"/>
    <w:rsid w:val="00C424E8"/>
    <w:rsid w:val="00C42AE3"/>
    <w:rsid w:val="00C43C17"/>
    <w:rsid w:val="00C43FBE"/>
    <w:rsid w:val="00C4440A"/>
    <w:rsid w:val="00C45743"/>
    <w:rsid w:val="00C4577B"/>
    <w:rsid w:val="00C45EC2"/>
    <w:rsid w:val="00C46969"/>
    <w:rsid w:val="00C508BD"/>
    <w:rsid w:val="00C52C0C"/>
    <w:rsid w:val="00C53251"/>
    <w:rsid w:val="00C53812"/>
    <w:rsid w:val="00C54539"/>
    <w:rsid w:val="00C54D2A"/>
    <w:rsid w:val="00C56811"/>
    <w:rsid w:val="00C573AD"/>
    <w:rsid w:val="00C57584"/>
    <w:rsid w:val="00C60227"/>
    <w:rsid w:val="00C61D43"/>
    <w:rsid w:val="00C644BD"/>
    <w:rsid w:val="00C66D7D"/>
    <w:rsid w:val="00C67086"/>
    <w:rsid w:val="00C673D8"/>
    <w:rsid w:val="00C67949"/>
    <w:rsid w:val="00C711F4"/>
    <w:rsid w:val="00C72CDE"/>
    <w:rsid w:val="00C73690"/>
    <w:rsid w:val="00C7443E"/>
    <w:rsid w:val="00C74ED8"/>
    <w:rsid w:val="00C751AB"/>
    <w:rsid w:val="00C771EB"/>
    <w:rsid w:val="00C77555"/>
    <w:rsid w:val="00C81805"/>
    <w:rsid w:val="00C834D1"/>
    <w:rsid w:val="00C834F5"/>
    <w:rsid w:val="00C83DB3"/>
    <w:rsid w:val="00C8475D"/>
    <w:rsid w:val="00C84BA8"/>
    <w:rsid w:val="00C92DF9"/>
    <w:rsid w:val="00C9552F"/>
    <w:rsid w:val="00C96051"/>
    <w:rsid w:val="00C964C4"/>
    <w:rsid w:val="00C977B4"/>
    <w:rsid w:val="00CA2862"/>
    <w:rsid w:val="00CA31C5"/>
    <w:rsid w:val="00CA54A0"/>
    <w:rsid w:val="00CA6316"/>
    <w:rsid w:val="00CA669F"/>
    <w:rsid w:val="00CB1231"/>
    <w:rsid w:val="00CB2234"/>
    <w:rsid w:val="00CB3603"/>
    <w:rsid w:val="00CB536F"/>
    <w:rsid w:val="00CB71C3"/>
    <w:rsid w:val="00CB7ABB"/>
    <w:rsid w:val="00CC0298"/>
    <w:rsid w:val="00CC0932"/>
    <w:rsid w:val="00CC0FAE"/>
    <w:rsid w:val="00CC2EC0"/>
    <w:rsid w:val="00CC3436"/>
    <w:rsid w:val="00CC3440"/>
    <w:rsid w:val="00CC3845"/>
    <w:rsid w:val="00CC4925"/>
    <w:rsid w:val="00CC5343"/>
    <w:rsid w:val="00CC690B"/>
    <w:rsid w:val="00CC6A28"/>
    <w:rsid w:val="00CC6CF4"/>
    <w:rsid w:val="00CD0441"/>
    <w:rsid w:val="00CD36C2"/>
    <w:rsid w:val="00CD7E11"/>
    <w:rsid w:val="00CE0305"/>
    <w:rsid w:val="00CE34BB"/>
    <w:rsid w:val="00CE39BC"/>
    <w:rsid w:val="00CE7071"/>
    <w:rsid w:val="00CF2048"/>
    <w:rsid w:val="00CF631C"/>
    <w:rsid w:val="00CF7E91"/>
    <w:rsid w:val="00D00B80"/>
    <w:rsid w:val="00D0135E"/>
    <w:rsid w:val="00D03277"/>
    <w:rsid w:val="00D0398B"/>
    <w:rsid w:val="00D046B7"/>
    <w:rsid w:val="00D0572A"/>
    <w:rsid w:val="00D11536"/>
    <w:rsid w:val="00D11883"/>
    <w:rsid w:val="00D119CD"/>
    <w:rsid w:val="00D13927"/>
    <w:rsid w:val="00D1417D"/>
    <w:rsid w:val="00D15944"/>
    <w:rsid w:val="00D21E47"/>
    <w:rsid w:val="00D228FF"/>
    <w:rsid w:val="00D22B1B"/>
    <w:rsid w:val="00D2794B"/>
    <w:rsid w:val="00D31C10"/>
    <w:rsid w:val="00D32086"/>
    <w:rsid w:val="00D3272D"/>
    <w:rsid w:val="00D35844"/>
    <w:rsid w:val="00D4335D"/>
    <w:rsid w:val="00D43FE8"/>
    <w:rsid w:val="00D44E5F"/>
    <w:rsid w:val="00D458C4"/>
    <w:rsid w:val="00D468E9"/>
    <w:rsid w:val="00D46E6A"/>
    <w:rsid w:val="00D50098"/>
    <w:rsid w:val="00D5165A"/>
    <w:rsid w:val="00D51976"/>
    <w:rsid w:val="00D52203"/>
    <w:rsid w:val="00D52A2E"/>
    <w:rsid w:val="00D543EA"/>
    <w:rsid w:val="00D546A2"/>
    <w:rsid w:val="00D54E49"/>
    <w:rsid w:val="00D54EEC"/>
    <w:rsid w:val="00D54F41"/>
    <w:rsid w:val="00D55B70"/>
    <w:rsid w:val="00D56544"/>
    <w:rsid w:val="00D63B35"/>
    <w:rsid w:val="00D642AB"/>
    <w:rsid w:val="00D64C68"/>
    <w:rsid w:val="00D66F25"/>
    <w:rsid w:val="00D67705"/>
    <w:rsid w:val="00D67E40"/>
    <w:rsid w:val="00D71EED"/>
    <w:rsid w:val="00D7349B"/>
    <w:rsid w:val="00D7543D"/>
    <w:rsid w:val="00D765C8"/>
    <w:rsid w:val="00D76739"/>
    <w:rsid w:val="00D7749B"/>
    <w:rsid w:val="00D77902"/>
    <w:rsid w:val="00D80FD8"/>
    <w:rsid w:val="00D828C6"/>
    <w:rsid w:val="00D87004"/>
    <w:rsid w:val="00D87425"/>
    <w:rsid w:val="00D90129"/>
    <w:rsid w:val="00D924C5"/>
    <w:rsid w:val="00D93784"/>
    <w:rsid w:val="00D93DC5"/>
    <w:rsid w:val="00D946B9"/>
    <w:rsid w:val="00D956B3"/>
    <w:rsid w:val="00D966D0"/>
    <w:rsid w:val="00DA3883"/>
    <w:rsid w:val="00DA545D"/>
    <w:rsid w:val="00DA5792"/>
    <w:rsid w:val="00DA59B9"/>
    <w:rsid w:val="00DA5F9B"/>
    <w:rsid w:val="00DB23C5"/>
    <w:rsid w:val="00DB36FD"/>
    <w:rsid w:val="00DB415A"/>
    <w:rsid w:val="00DB50D0"/>
    <w:rsid w:val="00DB5769"/>
    <w:rsid w:val="00DB7DFE"/>
    <w:rsid w:val="00DC0920"/>
    <w:rsid w:val="00DC2B46"/>
    <w:rsid w:val="00DC421A"/>
    <w:rsid w:val="00DC4BAA"/>
    <w:rsid w:val="00DC6F2A"/>
    <w:rsid w:val="00DD15F2"/>
    <w:rsid w:val="00DD4FF7"/>
    <w:rsid w:val="00DD555D"/>
    <w:rsid w:val="00DD7AF7"/>
    <w:rsid w:val="00DD7C8A"/>
    <w:rsid w:val="00DE0447"/>
    <w:rsid w:val="00DE0F92"/>
    <w:rsid w:val="00DE153F"/>
    <w:rsid w:val="00DE20AF"/>
    <w:rsid w:val="00DE71DC"/>
    <w:rsid w:val="00DE786B"/>
    <w:rsid w:val="00DF1E30"/>
    <w:rsid w:val="00DF2DB3"/>
    <w:rsid w:val="00DF3181"/>
    <w:rsid w:val="00DF416C"/>
    <w:rsid w:val="00DF4620"/>
    <w:rsid w:val="00DF5C67"/>
    <w:rsid w:val="00DF694F"/>
    <w:rsid w:val="00E00FC1"/>
    <w:rsid w:val="00E01979"/>
    <w:rsid w:val="00E019C6"/>
    <w:rsid w:val="00E07BDC"/>
    <w:rsid w:val="00E07EEE"/>
    <w:rsid w:val="00E10308"/>
    <w:rsid w:val="00E10BD7"/>
    <w:rsid w:val="00E11CE6"/>
    <w:rsid w:val="00E13E17"/>
    <w:rsid w:val="00E13FD2"/>
    <w:rsid w:val="00E14261"/>
    <w:rsid w:val="00E1540E"/>
    <w:rsid w:val="00E160AF"/>
    <w:rsid w:val="00E176D4"/>
    <w:rsid w:val="00E17987"/>
    <w:rsid w:val="00E21BC8"/>
    <w:rsid w:val="00E23EA1"/>
    <w:rsid w:val="00E241A3"/>
    <w:rsid w:val="00E2711B"/>
    <w:rsid w:val="00E27A42"/>
    <w:rsid w:val="00E27F57"/>
    <w:rsid w:val="00E27FD2"/>
    <w:rsid w:val="00E304FD"/>
    <w:rsid w:val="00E30FA1"/>
    <w:rsid w:val="00E335FB"/>
    <w:rsid w:val="00E37647"/>
    <w:rsid w:val="00E40466"/>
    <w:rsid w:val="00E41745"/>
    <w:rsid w:val="00E42322"/>
    <w:rsid w:val="00E4361B"/>
    <w:rsid w:val="00E44B45"/>
    <w:rsid w:val="00E44BFD"/>
    <w:rsid w:val="00E45144"/>
    <w:rsid w:val="00E45D12"/>
    <w:rsid w:val="00E462DA"/>
    <w:rsid w:val="00E5099F"/>
    <w:rsid w:val="00E52002"/>
    <w:rsid w:val="00E52DBD"/>
    <w:rsid w:val="00E532BF"/>
    <w:rsid w:val="00E541AE"/>
    <w:rsid w:val="00E54739"/>
    <w:rsid w:val="00E57B96"/>
    <w:rsid w:val="00E61599"/>
    <w:rsid w:val="00E656A9"/>
    <w:rsid w:val="00E65EEC"/>
    <w:rsid w:val="00E7037D"/>
    <w:rsid w:val="00E70590"/>
    <w:rsid w:val="00E72565"/>
    <w:rsid w:val="00E73094"/>
    <w:rsid w:val="00E731DD"/>
    <w:rsid w:val="00E73227"/>
    <w:rsid w:val="00E73C09"/>
    <w:rsid w:val="00E73E93"/>
    <w:rsid w:val="00E74AEB"/>
    <w:rsid w:val="00E762FC"/>
    <w:rsid w:val="00E763B4"/>
    <w:rsid w:val="00E7642C"/>
    <w:rsid w:val="00E80485"/>
    <w:rsid w:val="00E82743"/>
    <w:rsid w:val="00E82C74"/>
    <w:rsid w:val="00E8345E"/>
    <w:rsid w:val="00E8669F"/>
    <w:rsid w:val="00E86EAC"/>
    <w:rsid w:val="00E9365C"/>
    <w:rsid w:val="00E93686"/>
    <w:rsid w:val="00E94B61"/>
    <w:rsid w:val="00E9518C"/>
    <w:rsid w:val="00E95C09"/>
    <w:rsid w:val="00E9601B"/>
    <w:rsid w:val="00E9683C"/>
    <w:rsid w:val="00E9700E"/>
    <w:rsid w:val="00E97AB8"/>
    <w:rsid w:val="00EA2534"/>
    <w:rsid w:val="00EA334D"/>
    <w:rsid w:val="00EA33DE"/>
    <w:rsid w:val="00EA7474"/>
    <w:rsid w:val="00EA75EF"/>
    <w:rsid w:val="00EA7D2E"/>
    <w:rsid w:val="00EB659D"/>
    <w:rsid w:val="00EB66CE"/>
    <w:rsid w:val="00EB769C"/>
    <w:rsid w:val="00EB77DC"/>
    <w:rsid w:val="00EC2166"/>
    <w:rsid w:val="00EC3572"/>
    <w:rsid w:val="00EC35D9"/>
    <w:rsid w:val="00EC58D0"/>
    <w:rsid w:val="00EC7A4C"/>
    <w:rsid w:val="00EC7B7F"/>
    <w:rsid w:val="00ED0313"/>
    <w:rsid w:val="00ED0EA1"/>
    <w:rsid w:val="00ED3CD0"/>
    <w:rsid w:val="00ED4326"/>
    <w:rsid w:val="00ED4A89"/>
    <w:rsid w:val="00ED5BEE"/>
    <w:rsid w:val="00EE3720"/>
    <w:rsid w:val="00EE6A60"/>
    <w:rsid w:val="00EE6B76"/>
    <w:rsid w:val="00EF0DDF"/>
    <w:rsid w:val="00EF2700"/>
    <w:rsid w:val="00EF4810"/>
    <w:rsid w:val="00EF4ACB"/>
    <w:rsid w:val="00EF522D"/>
    <w:rsid w:val="00EF5CC1"/>
    <w:rsid w:val="00EF64F6"/>
    <w:rsid w:val="00F000DB"/>
    <w:rsid w:val="00F009F9"/>
    <w:rsid w:val="00F01109"/>
    <w:rsid w:val="00F01C65"/>
    <w:rsid w:val="00F0280D"/>
    <w:rsid w:val="00F03A90"/>
    <w:rsid w:val="00F04760"/>
    <w:rsid w:val="00F0499C"/>
    <w:rsid w:val="00F06F08"/>
    <w:rsid w:val="00F07A31"/>
    <w:rsid w:val="00F07B55"/>
    <w:rsid w:val="00F10C0F"/>
    <w:rsid w:val="00F10F85"/>
    <w:rsid w:val="00F11B42"/>
    <w:rsid w:val="00F124BE"/>
    <w:rsid w:val="00F128DA"/>
    <w:rsid w:val="00F12BF8"/>
    <w:rsid w:val="00F17506"/>
    <w:rsid w:val="00F178D1"/>
    <w:rsid w:val="00F2037F"/>
    <w:rsid w:val="00F20D53"/>
    <w:rsid w:val="00F20F23"/>
    <w:rsid w:val="00F22878"/>
    <w:rsid w:val="00F22E78"/>
    <w:rsid w:val="00F23EDF"/>
    <w:rsid w:val="00F2438B"/>
    <w:rsid w:val="00F25D2C"/>
    <w:rsid w:val="00F26712"/>
    <w:rsid w:val="00F26BF6"/>
    <w:rsid w:val="00F2745B"/>
    <w:rsid w:val="00F27A80"/>
    <w:rsid w:val="00F301B6"/>
    <w:rsid w:val="00F31BDF"/>
    <w:rsid w:val="00F32252"/>
    <w:rsid w:val="00F32494"/>
    <w:rsid w:val="00F324E2"/>
    <w:rsid w:val="00F32FF1"/>
    <w:rsid w:val="00F33B6C"/>
    <w:rsid w:val="00F34742"/>
    <w:rsid w:val="00F360CE"/>
    <w:rsid w:val="00F36757"/>
    <w:rsid w:val="00F373B6"/>
    <w:rsid w:val="00F37759"/>
    <w:rsid w:val="00F41195"/>
    <w:rsid w:val="00F42556"/>
    <w:rsid w:val="00F43282"/>
    <w:rsid w:val="00F43FD4"/>
    <w:rsid w:val="00F45060"/>
    <w:rsid w:val="00F4684D"/>
    <w:rsid w:val="00F46FCA"/>
    <w:rsid w:val="00F473B7"/>
    <w:rsid w:val="00F5024F"/>
    <w:rsid w:val="00F514B8"/>
    <w:rsid w:val="00F53462"/>
    <w:rsid w:val="00F5565D"/>
    <w:rsid w:val="00F566B3"/>
    <w:rsid w:val="00F57473"/>
    <w:rsid w:val="00F60563"/>
    <w:rsid w:val="00F60C45"/>
    <w:rsid w:val="00F60E23"/>
    <w:rsid w:val="00F61B2F"/>
    <w:rsid w:val="00F61FEC"/>
    <w:rsid w:val="00F6285A"/>
    <w:rsid w:val="00F62A75"/>
    <w:rsid w:val="00F62DAA"/>
    <w:rsid w:val="00F630CF"/>
    <w:rsid w:val="00F63254"/>
    <w:rsid w:val="00F640EF"/>
    <w:rsid w:val="00F723B0"/>
    <w:rsid w:val="00F73434"/>
    <w:rsid w:val="00F735CB"/>
    <w:rsid w:val="00F751BB"/>
    <w:rsid w:val="00F75BFB"/>
    <w:rsid w:val="00F76DE0"/>
    <w:rsid w:val="00F8306D"/>
    <w:rsid w:val="00F86016"/>
    <w:rsid w:val="00F913BA"/>
    <w:rsid w:val="00F955F4"/>
    <w:rsid w:val="00F96E16"/>
    <w:rsid w:val="00F970BF"/>
    <w:rsid w:val="00F9713F"/>
    <w:rsid w:val="00FA40D4"/>
    <w:rsid w:val="00FA4C41"/>
    <w:rsid w:val="00FA6067"/>
    <w:rsid w:val="00FA6B76"/>
    <w:rsid w:val="00FA7B2E"/>
    <w:rsid w:val="00FB00A5"/>
    <w:rsid w:val="00FB065E"/>
    <w:rsid w:val="00FB0DD0"/>
    <w:rsid w:val="00FB284B"/>
    <w:rsid w:val="00FB2C4E"/>
    <w:rsid w:val="00FB3C5C"/>
    <w:rsid w:val="00FB4A97"/>
    <w:rsid w:val="00FB6E0F"/>
    <w:rsid w:val="00FB7D99"/>
    <w:rsid w:val="00FC04A6"/>
    <w:rsid w:val="00FC4483"/>
    <w:rsid w:val="00FC48EE"/>
    <w:rsid w:val="00FC54F9"/>
    <w:rsid w:val="00FC5C21"/>
    <w:rsid w:val="00FC67AE"/>
    <w:rsid w:val="00FC6E94"/>
    <w:rsid w:val="00FD08CC"/>
    <w:rsid w:val="00FD3245"/>
    <w:rsid w:val="00FD447B"/>
    <w:rsid w:val="00FD532E"/>
    <w:rsid w:val="00FD5ED1"/>
    <w:rsid w:val="00FD635C"/>
    <w:rsid w:val="00FD6B10"/>
    <w:rsid w:val="00FD6D82"/>
    <w:rsid w:val="00FD786D"/>
    <w:rsid w:val="00FE0D38"/>
    <w:rsid w:val="00FE4E21"/>
    <w:rsid w:val="00FE597E"/>
    <w:rsid w:val="00FE7CAE"/>
    <w:rsid w:val="00FF119D"/>
    <w:rsid w:val="00FF13BD"/>
    <w:rsid w:val="00FF2A87"/>
    <w:rsid w:val="00FF2DBF"/>
    <w:rsid w:val="00FF475C"/>
    <w:rsid w:val="00FF58BD"/>
    <w:rsid w:val="00FF58E4"/>
    <w:rsid w:val="0148149F"/>
    <w:rsid w:val="015C2AD8"/>
    <w:rsid w:val="03276E53"/>
    <w:rsid w:val="03AA4668"/>
    <w:rsid w:val="050C24E0"/>
    <w:rsid w:val="05845DE1"/>
    <w:rsid w:val="05AC391A"/>
    <w:rsid w:val="06287587"/>
    <w:rsid w:val="065D1722"/>
    <w:rsid w:val="06F21E81"/>
    <w:rsid w:val="073740CA"/>
    <w:rsid w:val="075F4EFD"/>
    <w:rsid w:val="07CA0083"/>
    <w:rsid w:val="083B5639"/>
    <w:rsid w:val="0B0044ED"/>
    <w:rsid w:val="0B3437B8"/>
    <w:rsid w:val="0BD955F2"/>
    <w:rsid w:val="0BDD5F58"/>
    <w:rsid w:val="0C316364"/>
    <w:rsid w:val="0C9D6ECB"/>
    <w:rsid w:val="0CEE6C60"/>
    <w:rsid w:val="0EB10C5B"/>
    <w:rsid w:val="0EF30465"/>
    <w:rsid w:val="0F3A9D5D"/>
    <w:rsid w:val="12424969"/>
    <w:rsid w:val="144A3CFB"/>
    <w:rsid w:val="14E7330C"/>
    <w:rsid w:val="18044D78"/>
    <w:rsid w:val="196B468B"/>
    <w:rsid w:val="1A153411"/>
    <w:rsid w:val="1A201792"/>
    <w:rsid w:val="1A723D93"/>
    <w:rsid w:val="1AB37BD1"/>
    <w:rsid w:val="1AF3769D"/>
    <w:rsid w:val="1B1B722A"/>
    <w:rsid w:val="1B812AE2"/>
    <w:rsid w:val="1B9915BC"/>
    <w:rsid w:val="1BAF4930"/>
    <w:rsid w:val="1BFBB73A"/>
    <w:rsid w:val="1BFF64E8"/>
    <w:rsid w:val="1C40059E"/>
    <w:rsid w:val="1C943A05"/>
    <w:rsid w:val="1D103E7B"/>
    <w:rsid w:val="1D3D341B"/>
    <w:rsid w:val="1DC617D3"/>
    <w:rsid w:val="1DF78B41"/>
    <w:rsid w:val="1E3E31D1"/>
    <w:rsid w:val="1E9F8235"/>
    <w:rsid w:val="1EA90386"/>
    <w:rsid w:val="1EC30200"/>
    <w:rsid w:val="1FE75CFC"/>
    <w:rsid w:val="1FFB192A"/>
    <w:rsid w:val="1FFE2005"/>
    <w:rsid w:val="20F55B55"/>
    <w:rsid w:val="23665069"/>
    <w:rsid w:val="23A04A34"/>
    <w:rsid w:val="23EE1349"/>
    <w:rsid w:val="24481040"/>
    <w:rsid w:val="252551A3"/>
    <w:rsid w:val="259B3392"/>
    <w:rsid w:val="25FD2E31"/>
    <w:rsid w:val="26476167"/>
    <w:rsid w:val="268C681E"/>
    <w:rsid w:val="27F7A529"/>
    <w:rsid w:val="28BF078A"/>
    <w:rsid w:val="2939136F"/>
    <w:rsid w:val="295769DB"/>
    <w:rsid w:val="29681D46"/>
    <w:rsid w:val="29B54D33"/>
    <w:rsid w:val="29B941A9"/>
    <w:rsid w:val="29E21723"/>
    <w:rsid w:val="2B3314DA"/>
    <w:rsid w:val="2B6576BA"/>
    <w:rsid w:val="2D0A74C0"/>
    <w:rsid w:val="2D0B6B4F"/>
    <w:rsid w:val="2E095144"/>
    <w:rsid w:val="2EB62694"/>
    <w:rsid w:val="2EEE7726"/>
    <w:rsid w:val="2F1E1CDE"/>
    <w:rsid w:val="2F2E5A88"/>
    <w:rsid w:val="2F6B79C6"/>
    <w:rsid w:val="2F7EC7A1"/>
    <w:rsid w:val="2F8B4106"/>
    <w:rsid w:val="2F940FAE"/>
    <w:rsid w:val="2FDD065B"/>
    <w:rsid w:val="30F36398"/>
    <w:rsid w:val="33E42C11"/>
    <w:rsid w:val="379B7845"/>
    <w:rsid w:val="37BAAC8F"/>
    <w:rsid w:val="38FC2355"/>
    <w:rsid w:val="397F9029"/>
    <w:rsid w:val="3A247327"/>
    <w:rsid w:val="3A293A57"/>
    <w:rsid w:val="3ABD0445"/>
    <w:rsid w:val="3B087564"/>
    <w:rsid w:val="3B75AADE"/>
    <w:rsid w:val="3B935CD6"/>
    <w:rsid w:val="3BE4459C"/>
    <w:rsid w:val="3C7DB72C"/>
    <w:rsid w:val="3CF00836"/>
    <w:rsid w:val="3E554553"/>
    <w:rsid w:val="3EFDEC83"/>
    <w:rsid w:val="3F6BDA4A"/>
    <w:rsid w:val="3FB6A736"/>
    <w:rsid w:val="3FBE2340"/>
    <w:rsid w:val="3FCB73B3"/>
    <w:rsid w:val="3FDB0FB2"/>
    <w:rsid w:val="3FED54B8"/>
    <w:rsid w:val="3FEDE387"/>
    <w:rsid w:val="41057BF0"/>
    <w:rsid w:val="41257597"/>
    <w:rsid w:val="42D225B1"/>
    <w:rsid w:val="4395261A"/>
    <w:rsid w:val="45DC212E"/>
    <w:rsid w:val="45DC53DB"/>
    <w:rsid w:val="46EF1FFF"/>
    <w:rsid w:val="47A37064"/>
    <w:rsid w:val="486938A6"/>
    <w:rsid w:val="48E452BF"/>
    <w:rsid w:val="4AD735FC"/>
    <w:rsid w:val="4AFD2D81"/>
    <w:rsid w:val="4D0619BD"/>
    <w:rsid w:val="4D913927"/>
    <w:rsid w:val="4DD3CC63"/>
    <w:rsid w:val="4E1D4D00"/>
    <w:rsid w:val="4E6F0DA2"/>
    <w:rsid w:val="4ECF3114"/>
    <w:rsid w:val="4EDF4C19"/>
    <w:rsid w:val="4EF83C1F"/>
    <w:rsid w:val="4FFB5444"/>
    <w:rsid w:val="517E2807"/>
    <w:rsid w:val="51E31CFA"/>
    <w:rsid w:val="52F150F1"/>
    <w:rsid w:val="530D1702"/>
    <w:rsid w:val="53BE37D5"/>
    <w:rsid w:val="540715D6"/>
    <w:rsid w:val="549B765B"/>
    <w:rsid w:val="54E53F91"/>
    <w:rsid w:val="555214CB"/>
    <w:rsid w:val="56041C10"/>
    <w:rsid w:val="569FDDE8"/>
    <w:rsid w:val="56CE0AA0"/>
    <w:rsid w:val="575D40BD"/>
    <w:rsid w:val="576C06F6"/>
    <w:rsid w:val="577D113A"/>
    <w:rsid w:val="57F3D78C"/>
    <w:rsid w:val="57F5E224"/>
    <w:rsid w:val="57F75BE6"/>
    <w:rsid w:val="5BDF807A"/>
    <w:rsid w:val="5BED9F30"/>
    <w:rsid w:val="5C7A33DD"/>
    <w:rsid w:val="5C93D278"/>
    <w:rsid w:val="5D94547F"/>
    <w:rsid w:val="5DCFFB19"/>
    <w:rsid w:val="5DFCD812"/>
    <w:rsid w:val="5E0C70AB"/>
    <w:rsid w:val="5E5B5E0E"/>
    <w:rsid w:val="5EACA292"/>
    <w:rsid w:val="5EFB4209"/>
    <w:rsid w:val="5EFB57D8"/>
    <w:rsid w:val="5F3FAD8C"/>
    <w:rsid w:val="5F5D008D"/>
    <w:rsid w:val="5F783864"/>
    <w:rsid w:val="5FBFF50A"/>
    <w:rsid w:val="5FEF670F"/>
    <w:rsid w:val="5FF6FA0D"/>
    <w:rsid w:val="608C6ADB"/>
    <w:rsid w:val="60BD265F"/>
    <w:rsid w:val="611F3EBF"/>
    <w:rsid w:val="61676C71"/>
    <w:rsid w:val="623B0BD3"/>
    <w:rsid w:val="62C17904"/>
    <w:rsid w:val="62FFE55C"/>
    <w:rsid w:val="63DB7C4A"/>
    <w:rsid w:val="677F48C3"/>
    <w:rsid w:val="6796470E"/>
    <w:rsid w:val="67A33A44"/>
    <w:rsid w:val="68F120B9"/>
    <w:rsid w:val="696069B7"/>
    <w:rsid w:val="6A973F11"/>
    <w:rsid w:val="6AAB41DE"/>
    <w:rsid w:val="6AD27D88"/>
    <w:rsid w:val="6BB73B38"/>
    <w:rsid w:val="6BCC610A"/>
    <w:rsid w:val="6BE7C09C"/>
    <w:rsid w:val="6BFF74F7"/>
    <w:rsid w:val="6D728F70"/>
    <w:rsid w:val="6DA933D6"/>
    <w:rsid w:val="6DEF547C"/>
    <w:rsid w:val="6DFAE0F0"/>
    <w:rsid w:val="6E3F58E3"/>
    <w:rsid w:val="6EDA480F"/>
    <w:rsid w:val="6EDFA2F9"/>
    <w:rsid w:val="6EEB1850"/>
    <w:rsid w:val="6EFF9E3A"/>
    <w:rsid w:val="6F2D0D34"/>
    <w:rsid w:val="6FA9754C"/>
    <w:rsid w:val="6FBFDD7A"/>
    <w:rsid w:val="6FDB8E5F"/>
    <w:rsid w:val="6FEFA457"/>
    <w:rsid w:val="6FF5ACC0"/>
    <w:rsid w:val="6FFFF7B8"/>
    <w:rsid w:val="70791EC7"/>
    <w:rsid w:val="70AB524E"/>
    <w:rsid w:val="71A52ED5"/>
    <w:rsid w:val="7245164E"/>
    <w:rsid w:val="72DD8938"/>
    <w:rsid w:val="737974C4"/>
    <w:rsid w:val="73D9716E"/>
    <w:rsid w:val="756B351E"/>
    <w:rsid w:val="757F2630"/>
    <w:rsid w:val="75DEC711"/>
    <w:rsid w:val="75EFE118"/>
    <w:rsid w:val="762D12E9"/>
    <w:rsid w:val="76352537"/>
    <w:rsid w:val="775EEF58"/>
    <w:rsid w:val="77BDC95C"/>
    <w:rsid w:val="77BE8D2C"/>
    <w:rsid w:val="77BF11B5"/>
    <w:rsid w:val="77FE2D7F"/>
    <w:rsid w:val="782F7F20"/>
    <w:rsid w:val="793E58EB"/>
    <w:rsid w:val="79687D84"/>
    <w:rsid w:val="79BAE9CC"/>
    <w:rsid w:val="79EEE642"/>
    <w:rsid w:val="79EF95F9"/>
    <w:rsid w:val="7A5B1A34"/>
    <w:rsid w:val="7AFB1A24"/>
    <w:rsid w:val="7B1B411D"/>
    <w:rsid w:val="7B5F15F3"/>
    <w:rsid w:val="7B6F7C36"/>
    <w:rsid w:val="7BE6C739"/>
    <w:rsid w:val="7C1F0194"/>
    <w:rsid w:val="7CE78347"/>
    <w:rsid w:val="7D2F7E7D"/>
    <w:rsid w:val="7D2FCACC"/>
    <w:rsid w:val="7D7218B7"/>
    <w:rsid w:val="7D7783C6"/>
    <w:rsid w:val="7DB6ABAB"/>
    <w:rsid w:val="7DEF234B"/>
    <w:rsid w:val="7DFDB712"/>
    <w:rsid w:val="7E6625AE"/>
    <w:rsid w:val="7E7B68BB"/>
    <w:rsid w:val="7E9411A4"/>
    <w:rsid w:val="7EAF9B4A"/>
    <w:rsid w:val="7EB36B3E"/>
    <w:rsid w:val="7EB4AD17"/>
    <w:rsid w:val="7ED96197"/>
    <w:rsid w:val="7F3EF7CD"/>
    <w:rsid w:val="7F5E1446"/>
    <w:rsid w:val="7F6F7189"/>
    <w:rsid w:val="7F7B7A12"/>
    <w:rsid w:val="7F99A8F5"/>
    <w:rsid w:val="7FB388B4"/>
    <w:rsid w:val="7FBD4AFD"/>
    <w:rsid w:val="7FCA9FDD"/>
    <w:rsid w:val="7FDFEBB4"/>
    <w:rsid w:val="7FE37A33"/>
    <w:rsid w:val="7FEDA767"/>
    <w:rsid w:val="7FFDB224"/>
    <w:rsid w:val="7FFF4B35"/>
    <w:rsid w:val="8DFB667B"/>
    <w:rsid w:val="94DE52A1"/>
    <w:rsid w:val="97E9353B"/>
    <w:rsid w:val="9EDFF872"/>
    <w:rsid w:val="9F7F44AC"/>
    <w:rsid w:val="AB70060A"/>
    <w:rsid w:val="AFFE7074"/>
    <w:rsid w:val="B3FFA183"/>
    <w:rsid w:val="B5F8A10B"/>
    <w:rsid w:val="B7E5544A"/>
    <w:rsid w:val="B9F3ADA3"/>
    <w:rsid w:val="BA69B884"/>
    <w:rsid w:val="BA7B23C6"/>
    <w:rsid w:val="BB7EEC45"/>
    <w:rsid w:val="BBF9D9E1"/>
    <w:rsid w:val="BCF30481"/>
    <w:rsid w:val="BDCEA098"/>
    <w:rsid w:val="BEDF0CA1"/>
    <w:rsid w:val="BF71E8DB"/>
    <w:rsid w:val="BFB7297D"/>
    <w:rsid w:val="BFBEACCF"/>
    <w:rsid w:val="BFD74436"/>
    <w:rsid w:val="BFE3C2AC"/>
    <w:rsid w:val="BFFD2DA9"/>
    <w:rsid w:val="C67F1492"/>
    <w:rsid w:val="C73F3DF0"/>
    <w:rsid w:val="CFFF052B"/>
    <w:rsid w:val="CFFFCCB5"/>
    <w:rsid w:val="D1FDADCA"/>
    <w:rsid w:val="D37F920C"/>
    <w:rsid w:val="D3F84BDD"/>
    <w:rsid w:val="D7173F8F"/>
    <w:rsid w:val="D7EC4B2F"/>
    <w:rsid w:val="DB9EFBA9"/>
    <w:rsid w:val="DDB912A7"/>
    <w:rsid w:val="DDFBA417"/>
    <w:rsid w:val="DE7FCB88"/>
    <w:rsid w:val="DEDFFF91"/>
    <w:rsid w:val="DFFBBDC6"/>
    <w:rsid w:val="DFFF288C"/>
    <w:rsid w:val="E2FFB263"/>
    <w:rsid w:val="E55FFC20"/>
    <w:rsid w:val="E5F1A7C0"/>
    <w:rsid w:val="E73F7F47"/>
    <w:rsid w:val="E7DE8D59"/>
    <w:rsid w:val="E7E292FB"/>
    <w:rsid w:val="E9E3B0F1"/>
    <w:rsid w:val="EA86B815"/>
    <w:rsid w:val="EB5EBBCF"/>
    <w:rsid w:val="EBDD4868"/>
    <w:rsid w:val="ECBF6A91"/>
    <w:rsid w:val="ED36DF01"/>
    <w:rsid w:val="ED730B86"/>
    <w:rsid w:val="EDAE35F4"/>
    <w:rsid w:val="EEF60F2E"/>
    <w:rsid w:val="EF1F3955"/>
    <w:rsid w:val="EF5BD1ED"/>
    <w:rsid w:val="EFB633D0"/>
    <w:rsid w:val="EFED72A1"/>
    <w:rsid w:val="EFF67E4D"/>
    <w:rsid w:val="EFFBD630"/>
    <w:rsid w:val="EFFDA57C"/>
    <w:rsid w:val="F2EFE24B"/>
    <w:rsid w:val="F35F07E3"/>
    <w:rsid w:val="F3ED1A2E"/>
    <w:rsid w:val="F3EF3A17"/>
    <w:rsid w:val="F3FF88A5"/>
    <w:rsid w:val="F4B3B324"/>
    <w:rsid w:val="F4ECB0EA"/>
    <w:rsid w:val="F55F4059"/>
    <w:rsid w:val="F56BE477"/>
    <w:rsid w:val="F5FEBA19"/>
    <w:rsid w:val="F62EB529"/>
    <w:rsid w:val="F6FA45AC"/>
    <w:rsid w:val="F73FC059"/>
    <w:rsid w:val="F7AF7C26"/>
    <w:rsid w:val="F7E0DBB1"/>
    <w:rsid w:val="F7FF0D0E"/>
    <w:rsid w:val="F8AFBC97"/>
    <w:rsid w:val="F8DD1D25"/>
    <w:rsid w:val="F9F6C750"/>
    <w:rsid w:val="FA4BDF59"/>
    <w:rsid w:val="FAEAD7D9"/>
    <w:rsid w:val="FB7AF3FE"/>
    <w:rsid w:val="FBDC13BF"/>
    <w:rsid w:val="FBDF7542"/>
    <w:rsid w:val="FBF36214"/>
    <w:rsid w:val="FBFBAF19"/>
    <w:rsid w:val="FBFBCFA9"/>
    <w:rsid w:val="FC9AE7B3"/>
    <w:rsid w:val="FCDD7021"/>
    <w:rsid w:val="FDB655DC"/>
    <w:rsid w:val="FDBFDAFB"/>
    <w:rsid w:val="FDDFC157"/>
    <w:rsid w:val="FDFFFEA3"/>
    <w:rsid w:val="FE7BC8DB"/>
    <w:rsid w:val="FE7BD31E"/>
    <w:rsid w:val="FEDF30C2"/>
    <w:rsid w:val="FEFF29B0"/>
    <w:rsid w:val="FF5DE84C"/>
    <w:rsid w:val="FF7D83AD"/>
    <w:rsid w:val="FF9FC3B9"/>
    <w:rsid w:val="FF9FDE5F"/>
    <w:rsid w:val="FFE7B8E7"/>
    <w:rsid w:val="FFEF4866"/>
    <w:rsid w:val="FFF7C5EB"/>
    <w:rsid w:val="FFF97864"/>
    <w:rsid w:val="FFFE6E5C"/>
    <w:rsid w:val="FFFF1CCA"/>
    <w:rsid w:val="FFFF4E59"/>
    <w:rsid w:val="FFFFB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Normal Indent"/>
    <w:basedOn w:val="1"/>
    <w:qFormat/>
    <w:uiPriority w:val="0"/>
    <w:pPr>
      <w:spacing w:line="360" w:lineRule="auto"/>
      <w:ind w:firstLine="420"/>
      <w:jc w:val="left"/>
    </w:pPr>
  </w:style>
  <w:style w:type="paragraph" w:styleId="5">
    <w:name w:val="annotation text"/>
    <w:basedOn w:val="1"/>
    <w:link w:val="21"/>
    <w:semiHidden/>
    <w:unhideWhenUsed/>
    <w:qFormat/>
    <w:uiPriority w:val="99"/>
    <w:pPr>
      <w:jc w:val="left"/>
    </w:pPr>
  </w:style>
  <w:style w:type="paragraph" w:styleId="6">
    <w:name w:val="Body Text"/>
    <w:basedOn w:val="1"/>
    <w:qFormat/>
    <w:uiPriority w:val="0"/>
    <w:pPr>
      <w:spacing w:line="360" w:lineRule="auto"/>
    </w:pPr>
    <w:rPr>
      <w:kern w:val="0"/>
      <w:sz w:val="20"/>
      <w:szCs w:val="20"/>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页眉 Char"/>
    <w:basedOn w:val="15"/>
    <w:link w:val="10"/>
    <w:qFormat/>
    <w:uiPriority w:val="99"/>
    <w:rPr>
      <w:rFonts w:ascii="Times New Roman" w:hAnsi="Times New Roman" w:eastAsia="宋体" w:cs="Times New Roman"/>
      <w:sz w:val="18"/>
      <w:szCs w:val="18"/>
    </w:rPr>
  </w:style>
  <w:style w:type="character" w:customStyle="1" w:styleId="20">
    <w:name w:val="页脚 Char"/>
    <w:basedOn w:val="15"/>
    <w:link w:val="9"/>
    <w:qFormat/>
    <w:uiPriority w:val="99"/>
    <w:rPr>
      <w:rFonts w:ascii="Times New Roman" w:hAnsi="Times New Roman" w:eastAsia="宋体" w:cs="Times New Roman"/>
      <w:sz w:val="18"/>
      <w:szCs w:val="18"/>
    </w:rPr>
  </w:style>
  <w:style w:type="character" w:customStyle="1" w:styleId="21">
    <w:name w:val="批注文字 Char"/>
    <w:basedOn w:val="15"/>
    <w:link w:val="5"/>
    <w:semiHidden/>
    <w:qFormat/>
    <w:uiPriority w:val="99"/>
    <w:rPr>
      <w:kern w:val="2"/>
      <w:sz w:val="21"/>
      <w:szCs w:val="24"/>
    </w:rPr>
  </w:style>
  <w:style w:type="character" w:customStyle="1" w:styleId="22">
    <w:name w:val="批注主题 Char"/>
    <w:basedOn w:val="21"/>
    <w:link w:val="12"/>
    <w:semiHidden/>
    <w:qFormat/>
    <w:uiPriority w:val="99"/>
    <w:rPr>
      <w:b/>
      <w:bCs/>
      <w:kern w:val="2"/>
      <w:sz w:val="21"/>
      <w:szCs w:val="24"/>
    </w:rPr>
  </w:style>
  <w:style w:type="character" w:customStyle="1" w:styleId="23">
    <w:name w:val="批注框文本 Char"/>
    <w:basedOn w:val="15"/>
    <w:link w:val="8"/>
    <w:semiHidden/>
    <w:qFormat/>
    <w:uiPriority w:val="99"/>
    <w:rPr>
      <w:kern w:val="2"/>
      <w:sz w:val="18"/>
      <w:szCs w:val="18"/>
    </w:rPr>
  </w:style>
  <w:style w:type="paragraph" w:customStyle="1" w:styleId="24">
    <w:name w:val="表内文字"/>
    <w:basedOn w:val="1"/>
    <w:qFormat/>
    <w:uiPriority w:val="0"/>
    <w:pPr>
      <w:adjustRightInd w:val="0"/>
      <w:snapToGrid w:val="0"/>
      <w:spacing w:before="60" w:after="60" w:line="280" w:lineRule="atLeast"/>
    </w:pPr>
    <w:rPr>
      <w:rFonts w:ascii="Times New Roman" w:hAnsi="Times New Roman" w:eastAsia="仿宋_GB2312" w:cs="Times New Roman"/>
      <w:sz w:val="24"/>
      <w:szCs w:val="24"/>
    </w:rPr>
  </w:style>
  <w:style w:type="paragraph" w:customStyle="1" w:styleId="25">
    <w:name w:val="Other|1"/>
    <w:basedOn w:val="1"/>
    <w:qFormat/>
    <w:uiPriority w:val="0"/>
    <w:pPr>
      <w:widowControl w:val="0"/>
      <w:shd w:val="clear" w:color="auto" w:fill="auto"/>
      <w:spacing w:after="50" w:line="406" w:lineRule="auto"/>
      <w:ind w:firstLine="36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10544</Words>
  <Characters>11011</Characters>
  <Lines>12</Lines>
  <Paragraphs>21</Paragraphs>
  <TotalTime>4</TotalTime>
  <ScaleCrop>false</ScaleCrop>
  <LinksUpToDate>false</LinksUpToDate>
  <CharactersWithSpaces>11025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2022-06-09T17:12:00Z</dcterms:created>
  <dc:creator>Admin</dc:creator>
  <cp:lastModifiedBy>greatwall</cp:lastModifiedBy>
  <cp:lastPrinted>2023-08-28T11:57:00Z</cp:lastPrinted>
  <dcterms:modified xsi:type="dcterms:W3CDTF">2023-09-15T09:04:16Z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B00DB77B88A2446589428C059DE88692</vt:lpwstr>
  </property>
</Properties>
</file>