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eastAsia" w:ascii="宋体" w:hAnsi="宋体" w:cs="Calibri"/>
          <w:sz w:val="32"/>
          <w:szCs w:val="32"/>
        </w:rPr>
      </w:pPr>
      <w:r>
        <w:rPr>
          <w:rFonts w:hint="eastAsia" w:ascii="宋体" w:hAnsi="宋体"/>
          <w:sz w:val="32"/>
          <w:szCs w:val="32"/>
        </w:rPr>
        <w:t>附件</w:t>
      </w:r>
      <w:r>
        <w:rPr>
          <w:rFonts w:hint="eastAsia"/>
          <w:sz w:val="32"/>
          <w:szCs w:val="32"/>
        </w:rPr>
        <w:t>1</w:t>
      </w:r>
    </w:p>
    <w:p>
      <w:pPr>
        <w:keepNext/>
        <w:keepLines/>
        <w:autoSpaceDE w:val="0"/>
        <w:autoSpaceDN w:val="0"/>
        <w:adjustRightInd w:val="0"/>
        <w:spacing w:line="480" w:lineRule="exact"/>
        <w:jc w:val="center"/>
        <w:textAlignment w:val="baseline"/>
        <w:outlineLvl w:val="1"/>
        <w:rPr>
          <w:rFonts w:hint="eastAsia" w:ascii="宋体" w:hAnsi="宋体"/>
          <w:spacing w:val="20"/>
          <w:kern w:val="44"/>
          <w:sz w:val="44"/>
          <w:szCs w:val="44"/>
        </w:rPr>
      </w:pPr>
      <w:r>
        <w:rPr>
          <w:rFonts w:hint="eastAsia" w:ascii="宋体" w:hAnsi="宋体"/>
          <w:spacing w:val="20"/>
          <w:kern w:val="44"/>
          <w:sz w:val="44"/>
          <w:szCs w:val="44"/>
        </w:rPr>
        <w:t xml:space="preserve"> </w:t>
      </w:r>
    </w:p>
    <w:p>
      <w:pPr>
        <w:keepNext/>
        <w:keepLines/>
        <w:autoSpaceDE w:val="0"/>
        <w:autoSpaceDN w:val="0"/>
        <w:adjustRightInd w:val="0"/>
        <w:spacing w:line="480" w:lineRule="exact"/>
        <w:jc w:val="center"/>
        <w:textAlignment w:val="baseline"/>
        <w:outlineLvl w:val="1"/>
        <w:rPr>
          <w:rFonts w:hint="eastAsia" w:ascii="方正小标宋简体" w:hAnsi="宋体" w:eastAsia="方正小标宋简体"/>
          <w:spacing w:val="20"/>
          <w:kern w:val="44"/>
          <w:sz w:val="44"/>
          <w:szCs w:val="44"/>
        </w:rPr>
      </w:pPr>
      <w:r>
        <w:rPr>
          <w:rFonts w:hint="eastAsia" w:ascii="方正小标宋简体" w:hAnsi="宋体" w:eastAsia="方正小标宋简体"/>
          <w:spacing w:val="20"/>
          <w:kern w:val="44"/>
          <w:sz w:val="44"/>
          <w:szCs w:val="44"/>
        </w:rPr>
        <w:t>授权委托书</w:t>
      </w:r>
    </w:p>
    <w:p>
      <w:pPr>
        <w:spacing w:line="480" w:lineRule="exact"/>
        <w:rPr>
          <w:rFonts w:hint="eastAsia" w:ascii="宋体" w:hAnsi="宋体"/>
          <w:sz w:val="24"/>
        </w:rPr>
      </w:pPr>
      <w:r>
        <w:rPr>
          <w:rFonts w:hint="eastAsia" w:ascii="宋体" w:hAnsi="宋体"/>
          <w:sz w:val="24"/>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right="136" w:rightChars="65" w:firstLine="560" w:firstLineChars="200"/>
        <w:textAlignment w:val="auto"/>
        <w:rPr>
          <w:rFonts w:hint="eastAsia" w:asciiTheme="majorEastAsia" w:hAnsiTheme="majorEastAsia" w:eastAsiaTheme="majorEastAsia" w:cstheme="majorEastAsia"/>
          <w:spacing w:val="20"/>
          <w:sz w:val="24"/>
        </w:rPr>
      </w:pPr>
      <w:r>
        <w:rPr>
          <w:rFonts w:hint="eastAsia" w:asciiTheme="majorEastAsia" w:hAnsiTheme="majorEastAsia" w:eastAsiaTheme="majorEastAsia" w:cstheme="majorEastAsia"/>
          <w:spacing w:val="20"/>
          <w:sz w:val="24"/>
        </w:rPr>
        <w:t>本授权书声明：注册于</w:t>
      </w:r>
      <w:r>
        <w:rPr>
          <w:rFonts w:hint="eastAsia" w:asciiTheme="majorEastAsia" w:hAnsiTheme="majorEastAsia" w:eastAsiaTheme="majorEastAsia" w:cstheme="majorEastAsia"/>
          <w:spacing w:val="20"/>
          <w:sz w:val="24"/>
          <w:u w:val="single"/>
        </w:rPr>
        <w:t xml:space="preserve">  （参选银行注册地）  </w:t>
      </w:r>
      <w:r>
        <w:rPr>
          <w:rFonts w:hint="eastAsia" w:asciiTheme="majorEastAsia" w:hAnsiTheme="majorEastAsia" w:eastAsiaTheme="majorEastAsia" w:cstheme="majorEastAsia"/>
          <w:spacing w:val="20"/>
          <w:sz w:val="24"/>
        </w:rPr>
        <w:t xml:space="preserve"> 的（</w:t>
      </w:r>
      <w:r>
        <w:rPr>
          <w:rFonts w:hint="eastAsia" w:asciiTheme="majorEastAsia" w:hAnsiTheme="majorEastAsia" w:eastAsiaTheme="majorEastAsia" w:cstheme="majorEastAsia"/>
          <w:spacing w:val="20"/>
          <w:sz w:val="24"/>
          <w:u w:val="single"/>
        </w:rPr>
        <w:t>参选银行名称）</w:t>
      </w:r>
      <w:r>
        <w:rPr>
          <w:rFonts w:hint="eastAsia" w:asciiTheme="majorEastAsia" w:hAnsiTheme="majorEastAsia" w:eastAsiaTheme="majorEastAsia" w:cstheme="majorEastAsia"/>
          <w:spacing w:val="20"/>
          <w:sz w:val="24"/>
        </w:rPr>
        <w:t>的在下面签字（或盖私章）的</w:t>
      </w:r>
      <w:r>
        <w:rPr>
          <w:rFonts w:hint="eastAsia" w:asciiTheme="majorEastAsia" w:hAnsiTheme="majorEastAsia" w:eastAsiaTheme="majorEastAsia" w:cstheme="majorEastAsia"/>
          <w:spacing w:val="20"/>
          <w:sz w:val="24"/>
          <w:u w:val="single"/>
        </w:rPr>
        <w:t>（法定代表人/负责人/投资人姓名、职务）</w:t>
      </w:r>
      <w:r>
        <w:rPr>
          <w:rFonts w:hint="eastAsia" w:asciiTheme="majorEastAsia" w:hAnsiTheme="majorEastAsia" w:eastAsiaTheme="majorEastAsia" w:cstheme="majorEastAsia"/>
          <w:spacing w:val="20"/>
          <w:sz w:val="24"/>
        </w:rPr>
        <w:t>代表本单位授权在下面签字（或盖私章）的</w:t>
      </w:r>
      <w:r>
        <w:rPr>
          <w:rFonts w:hint="eastAsia" w:asciiTheme="majorEastAsia" w:hAnsiTheme="majorEastAsia" w:eastAsiaTheme="majorEastAsia" w:cstheme="majorEastAsia"/>
          <w:spacing w:val="20"/>
          <w:sz w:val="24"/>
          <w:u w:val="single"/>
        </w:rPr>
        <w:t>（被授权人姓名）</w:t>
      </w:r>
      <w:r>
        <w:rPr>
          <w:rFonts w:hint="eastAsia" w:asciiTheme="majorEastAsia" w:hAnsiTheme="majorEastAsia" w:eastAsiaTheme="majorEastAsia" w:cstheme="majorEastAsia"/>
          <w:spacing w:val="20"/>
          <w:sz w:val="24"/>
        </w:rPr>
        <w:t xml:space="preserve">为本单位的合法代理人，就 </w:t>
      </w:r>
      <w:r>
        <w:rPr>
          <w:rFonts w:hint="eastAsia" w:asciiTheme="majorEastAsia" w:hAnsiTheme="majorEastAsia" w:eastAsiaTheme="majorEastAsia" w:cstheme="majorEastAsia"/>
          <w:spacing w:val="20"/>
          <w:sz w:val="24"/>
          <w:u w:val="single"/>
          <w:lang w:eastAsia="zh-CN"/>
        </w:rPr>
        <w:t>江门市明德</w:t>
      </w:r>
      <w:r>
        <w:rPr>
          <w:rFonts w:hint="eastAsia" w:asciiTheme="majorEastAsia" w:hAnsiTheme="majorEastAsia" w:eastAsiaTheme="majorEastAsia" w:cstheme="majorEastAsia"/>
          <w:spacing w:val="20"/>
          <w:sz w:val="24"/>
          <w:u w:val="single"/>
          <w:lang w:val="en-US" w:eastAsia="zh-CN"/>
        </w:rPr>
        <w:t>学校金融业务</w:t>
      </w:r>
      <w:r>
        <w:rPr>
          <w:rFonts w:hint="eastAsia" w:asciiTheme="majorEastAsia" w:hAnsiTheme="majorEastAsia" w:eastAsiaTheme="majorEastAsia" w:cstheme="majorEastAsia"/>
          <w:spacing w:val="20"/>
          <w:sz w:val="24"/>
        </w:rPr>
        <w:t>的遴选合作银行，以本单位名义处理一切与之有关的事务。</w:t>
      </w:r>
    </w:p>
    <w:p>
      <w:pPr>
        <w:keepNext w:val="0"/>
        <w:keepLines w:val="0"/>
        <w:pageBreakBefore w:val="0"/>
        <w:widowControl w:val="0"/>
        <w:kinsoku/>
        <w:wordWrap/>
        <w:overflowPunct/>
        <w:topLinePunct w:val="0"/>
        <w:autoSpaceDE/>
        <w:autoSpaceDN/>
        <w:bidi w:val="0"/>
        <w:adjustRightInd/>
        <w:snapToGrid w:val="0"/>
        <w:spacing w:line="360" w:lineRule="auto"/>
        <w:ind w:right="136" w:rightChars="65" w:firstLine="560" w:firstLineChars="200"/>
        <w:textAlignment w:val="auto"/>
        <w:rPr>
          <w:rFonts w:hint="eastAsia" w:asciiTheme="majorEastAsia" w:hAnsiTheme="majorEastAsia" w:eastAsiaTheme="majorEastAsia" w:cstheme="majorEastAsia"/>
          <w:spacing w:val="20"/>
          <w:sz w:val="24"/>
        </w:rPr>
      </w:pPr>
      <w:r>
        <w:rPr>
          <w:rFonts w:hint="eastAsia" w:asciiTheme="majorEastAsia" w:hAnsiTheme="majorEastAsia" w:eastAsiaTheme="majorEastAsia" w:cstheme="majorEastAsia"/>
          <w:spacing w:val="20"/>
          <w:sz w:val="24"/>
        </w:rPr>
        <w:t>本授权书于2023年  月   日签字（或盖私章）生效，特此声明。</w:t>
      </w:r>
    </w:p>
    <w:p>
      <w:pPr>
        <w:keepNext w:val="0"/>
        <w:keepLines w:val="0"/>
        <w:pageBreakBefore w:val="0"/>
        <w:widowControl w:val="0"/>
        <w:kinsoku/>
        <w:wordWrap/>
        <w:overflowPunct/>
        <w:topLinePunct w:val="0"/>
        <w:autoSpaceDE/>
        <w:autoSpaceDN/>
        <w:bidi w:val="0"/>
        <w:adjustRightInd/>
        <w:snapToGrid w:val="0"/>
        <w:spacing w:line="360" w:lineRule="auto"/>
        <w:ind w:right="136" w:rightChars="65" w:firstLine="560" w:firstLineChars="200"/>
        <w:textAlignment w:val="auto"/>
        <w:rPr>
          <w:rFonts w:hint="eastAsia" w:asciiTheme="majorEastAsia" w:hAnsiTheme="majorEastAsia" w:eastAsiaTheme="majorEastAsia" w:cstheme="majorEastAsia"/>
          <w:spacing w:val="20"/>
          <w:sz w:val="24"/>
        </w:rPr>
      </w:pPr>
      <w:r>
        <w:rPr>
          <w:rFonts w:hint="eastAsia" w:asciiTheme="majorEastAsia" w:hAnsiTheme="majorEastAsia" w:eastAsiaTheme="majorEastAsia" w:cstheme="majorEastAsia"/>
          <w:spacing w:val="20"/>
          <w:sz w:val="24"/>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right="136" w:rightChars="65" w:firstLine="560" w:firstLineChars="200"/>
        <w:textAlignment w:val="auto"/>
        <w:rPr>
          <w:rFonts w:hint="eastAsia" w:asciiTheme="majorEastAsia" w:hAnsiTheme="majorEastAsia" w:eastAsiaTheme="majorEastAsia" w:cstheme="majorEastAsia"/>
          <w:spacing w:val="20"/>
          <w:sz w:val="24"/>
        </w:rPr>
      </w:pPr>
      <w:r>
        <w:rPr>
          <w:rFonts w:hint="eastAsia" w:asciiTheme="majorEastAsia" w:hAnsiTheme="majorEastAsia" w:eastAsiaTheme="majorEastAsia" w:cstheme="majorEastAsia"/>
          <w:spacing w:val="20"/>
          <w:sz w:val="24"/>
        </w:rPr>
        <w:t>参选银行名称（盖公章）：</w:t>
      </w:r>
      <w:r>
        <w:rPr>
          <w:rFonts w:hint="eastAsia" w:asciiTheme="majorEastAsia" w:hAnsiTheme="majorEastAsia" w:eastAsiaTheme="majorEastAsia" w:cstheme="majorEastAsia"/>
          <w:spacing w:val="20"/>
          <w:sz w:val="24"/>
          <w:u w:val="single"/>
        </w:rPr>
        <w:t xml:space="preserve">                       </w:t>
      </w:r>
      <w:r>
        <w:rPr>
          <w:rFonts w:hint="eastAsia" w:asciiTheme="majorEastAsia" w:hAnsiTheme="majorEastAsia" w:eastAsiaTheme="majorEastAsia" w:cstheme="majorEastAsia"/>
          <w:spacing w:val="20"/>
          <w:sz w:val="24"/>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right="136" w:rightChars="65" w:firstLine="560" w:firstLineChars="200"/>
        <w:textAlignment w:val="auto"/>
        <w:rPr>
          <w:rFonts w:hint="eastAsia" w:asciiTheme="majorEastAsia" w:hAnsiTheme="majorEastAsia" w:eastAsiaTheme="majorEastAsia" w:cstheme="majorEastAsia"/>
          <w:spacing w:val="20"/>
          <w:sz w:val="24"/>
        </w:rPr>
      </w:pPr>
      <w:r>
        <w:rPr>
          <w:rFonts w:hint="eastAsia" w:asciiTheme="majorEastAsia" w:hAnsiTheme="majorEastAsia" w:eastAsiaTheme="majorEastAsia" w:cstheme="majorEastAsia"/>
          <w:spacing w:val="20"/>
          <w:sz w:val="24"/>
        </w:rPr>
        <w:t>法定代表人/负责人/投资人签字（或盖私章）：</w:t>
      </w:r>
      <w:r>
        <w:rPr>
          <w:rFonts w:hint="eastAsia" w:asciiTheme="majorEastAsia" w:hAnsiTheme="majorEastAsia" w:eastAsiaTheme="majorEastAsia" w:cstheme="majorEastAsia"/>
          <w:spacing w:val="20"/>
          <w:sz w:val="24"/>
          <w:u w:val="single"/>
        </w:rPr>
        <w:t xml:space="preserve">           </w:t>
      </w:r>
      <w:r>
        <w:rPr>
          <w:rFonts w:hint="eastAsia" w:asciiTheme="majorEastAsia" w:hAnsiTheme="majorEastAsia" w:eastAsiaTheme="majorEastAsia" w:cstheme="majorEastAsia"/>
          <w:spacing w:val="20"/>
          <w:sz w:val="24"/>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right="136" w:rightChars="65" w:firstLine="560" w:firstLineChars="200"/>
        <w:textAlignment w:val="auto"/>
        <w:rPr>
          <w:rFonts w:hint="eastAsia" w:asciiTheme="majorEastAsia" w:hAnsiTheme="majorEastAsia" w:eastAsiaTheme="majorEastAsia" w:cstheme="majorEastAsia"/>
          <w:spacing w:val="20"/>
          <w:sz w:val="24"/>
        </w:rPr>
      </w:pPr>
      <w:r>
        <w:rPr>
          <w:rFonts w:hint="eastAsia" w:asciiTheme="majorEastAsia" w:hAnsiTheme="majorEastAsia" w:eastAsiaTheme="majorEastAsia" w:cstheme="majorEastAsia"/>
          <w:spacing w:val="20"/>
          <w:sz w:val="24"/>
        </w:rPr>
        <w:t>被授权人签字（或盖私章）：</w:t>
      </w:r>
      <w:r>
        <w:rPr>
          <w:rFonts w:hint="eastAsia" w:asciiTheme="majorEastAsia" w:hAnsiTheme="majorEastAsia" w:eastAsiaTheme="majorEastAsia" w:cstheme="majorEastAsia"/>
          <w:spacing w:val="20"/>
          <w:sz w:val="24"/>
          <w:u w:val="single"/>
        </w:rPr>
        <w:t xml:space="preserve">            </w:t>
      </w:r>
      <w:r>
        <w:rPr>
          <w:rFonts w:hint="eastAsia" w:asciiTheme="majorEastAsia" w:hAnsiTheme="majorEastAsia" w:eastAsiaTheme="majorEastAsia" w:cstheme="majorEastAsia"/>
          <w:spacing w:val="20"/>
          <w:sz w:val="24"/>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right="136" w:rightChars="65" w:firstLine="560" w:firstLineChars="200"/>
        <w:textAlignment w:val="auto"/>
        <w:rPr>
          <w:rFonts w:hint="eastAsia" w:asciiTheme="majorEastAsia" w:hAnsiTheme="majorEastAsia" w:eastAsiaTheme="majorEastAsia" w:cstheme="majorEastAsia"/>
          <w:spacing w:val="20"/>
          <w:sz w:val="24"/>
        </w:rPr>
      </w:pPr>
      <w:r>
        <w:rPr>
          <w:rFonts w:hint="eastAsia" w:asciiTheme="majorEastAsia" w:hAnsiTheme="majorEastAsia" w:eastAsiaTheme="majorEastAsia" w:cstheme="majorEastAsia"/>
          <w:spacing w:val="20"/>
          <w:sz w:val="24"/>
        </w:rPr>
        <w:t xml:space="preserve">被授权人联系电话： </w:t>
      </w:r>
      <w:r>
        <w:rPr>
          <w:rFonts w:hint="eastAsia" w:asciiTheme="majorEastAsia" w:hAnsiTheme="majorEastAsia" w:eastAsiaTheme="majorEastAsia" w:cstheme="majorEastAsia"/>
          <w:spacing w:val="20"/>
          <w:sz w:val="24"/>
          <w:u w:val="single"/>
        </w:rPr>
        <w:t xml:space="preserve">               </w:t>
      </w:r>
      <w:r>
        <w:rPr>
          <w:rFonts w:hint="eastAsia" w:asciiTheme="majorEastAsia" w:hAnsiTheme="majorEastAsia" w:eastAsiaTheme="majorEastAsia" w:cstheme="majorEastAsia"/>
          <w:spacing w:val="20"/>
          <w:sz w:val="24"/>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right="136" w:rightChars="65" w:firstLine="560" w:firstLineChars="200"/>
        <w:textAlignment w:val="auto"/>
        <w:rPr>
          <w:rFonts w:hint="eastAsia" w:asciiTheme="majorEastAsia" w:hAnsiTheme="majorEastAsia" w:eastAsiaTheme="majorEastAsia" w:cstheme="majorEastAsia"/>
          <w:spacing w:val="20"/>
          <w:sz w:val="24"/>
        </w:rPr>
      </w:pPr>
      <w:r>
        <w:rPr>
          <w:rFonts w:hint="eastAsia" w:asciiTheme="majorEastAsia" w:hAnsiTheme="majorEastAsia" w:eastAsiaTheme="majorEastAsia" w:cstheme="majorEastAsia"/>
          <w:spacing w:val="20"/>
          <w:sz w:val="24"/>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right="136" w:rightChars="65" w:firstLine="560" w:firstLineChars="200"/>
        <w:textAlignment w:val="auto"/>
        <w:rPr>
          <w:rFonts w:hint="eastAsia" w:asciiTheme="majorEastAsia" w:hAnsiTheme="majorEastAsia" w:eastAsiaTheme="majorEastAsia" w:cstheme="majorEastAsia"/>
          <w:spacing w:val="20"/>
          <w:sz w:val="24"/>
        </w:rPr>
      </w:pPr>
      <w:r>
        <w:rPr>
          <w:rFonts w:hint="eastAsia" w:asciiTheme="majorEastAsia" w:hAnsiTheme="majorEastAsia" w:eastAsiaTheme="majorEastAsia" w:cstheme="majorEastAsia"/>
          <w:spacing w:val="20"/>
          <w:sz w:val="24"/>
        </w:rPr>
        <w:t>要求：</w:t>
      </w:r>
    </w:p>
    <w:p>
      <w:pPr>
        <w:keepNext w:val="0"/>
        <w:keepLines w:val="0"/>
        <w:pageBreakBefore w:val="0"/>
        <w:widowControl w:val="0"/>
        <w:kinsoku/>
        <w:wordWrap/>
        <w:overflowPunct/>
        <w:topLinePunct w:val="0"/>
        <w:autoSpaceDE/>
        <w:autoSpaceDN/>
        <w:bidi w:val="0"/>
        <w:adjustRightInd/>
        <w:snapToGrid w:val="0"/>
        <w:spacing w:line="360" w:lineRule="auto"/>
        <w:ind w:right="136" w:rightChars="65" w:firstLine="560" w:firstLineChars="200"/>
        <w:textAlignment w:val="auto"/>
        <w:rPr>
          <w:rFonts w:hint="eastAsia" w:asciiTheme="majorEastAsia" w:hAnsiTheme="majorEastAsia" w:eastAsiaTheme="majorEastAsia" w:cstheme="majorEastAsia"/>
          <w:spacing w:val="20"/>
          <w:sz w:val="24"/>
        </w:rPr>
      </w:pPr>
      <w:r>
        <w:rPr>
          <w:rFonts w:hint="eastAsia" w:asciiTheme="majorEastAsia" w:hAnsiTheme="majorEastAsia" w:eastAsiaTheme="majorEastAsia" w:cstheme="majorEastAsia"/>
          <w:spacing w:val="20"/>
          <w:sz w:val="24"/>
        </w:rPr>
        <w:t>1.如参选银行由法定代表人/负责人/投资人参加遴选及签署文件，则应当提交《法定代表人/负责人/投资人证明书》（参考工商行政管理局统一印制的法定代表人证明书格式，加盖单位公章）代替《授权委托书》。</w:t>
      </w:r>
    </w:p>
    <w:p>
      <w:pPr>
        <w:keepNext w:val="0"/>
        <w:keepLines w:val="0"/>
        <w:pageBreakBefore w:val="0"/>
        <w:widowControl w:val="0"/>
        <w:kinsoku/>
        <w:wordWrap/>
        <w:overflowPunct/>
        <w:topLinePunct w:val="0"/>
        <w:autoSpaceDE/>
        <w:autoSpaceDN/>
        <w:bidi w:val="0"/>
        <w:adjustRightInd/>
        <w:snapToGrid w:val="0"/>
        <w:spacing w:line="360" w:lineRule="auto"/>
        <w:ind w:right="136" w:rightChars="65" w:firstLine="560" w:firstLineChars="200"/>
        <w:textAlignment w:val="auto"/>
        <w:rPr>
          <w:rFonts w:hint="eastAsia" w:asciiTheme="majorEastAsia" w:hAnsiTheme="majorEastAsia" w:eastAsiaTheme="majorEastAsia" w:cstheme="majorEastAsia"/>
          <w:spacing w:val="20"/>
          <w:sz w:val="24"/>
        </w:rPr>
      </w:pPr>
      <w:r>
        <w:rPr>
          <w:rFonts w:hint="eastAsia" w:asciiTheme="majorEastAsia" w:hAnsiTheme="majorEastAsia" w:eastAsiaTheme="majorEastAsia" w:cstheme="majorEastAsia"/>
          <w:spacing w:val="20"/>
          <w:sz w:val="24"/>
        </w:rPr>
        <w:t>2.参选银行应提供法定代表人/负责人/投资人、被授权人的有效身份证复印件以核实其身份。</w:t>
      </w:r>
    </w:p>
    <w:p>
      <w:pPr>
        <w:keepNext w:val="0"/>
        <w:keepLines w:val="0"/>
        <w:pageBreakBefore w:val="0"/>
        <w:widowControl/>
        <w:kinsoku/>
        <w:wordWrap/>
        <w:overflowPunct/>
        <w:topLinePunct w:val="0"/>
        <w:autoSpaceDE/>
        <w:autoSpaceDN/>
        <w:bidi w:val="0"/>
        <w:adjustRightInd/>
        <w:snapToGrid/>
        <w:spacing w:line="360" w:lineRule="auto"/>
        <w:ind w:right="556" w:rightChars="265" w:firstLine="640" w:firstLineChars="200"/>
        <w:textAlignment w:val="auto"/>
        <w:rPr>
          <w:rFonts w:hint="eastAsia" w:ascii="宋体" w:hAnsi="宋体"/>
          <w:kern w:val="0"/>
          <w:sz w:val="24"/>
        </w:rPr>
      </w:pPr>
      <w:r>
        <w:rPr>
          <w:rFonts w:hint="eastAsia" w:ascii="仿宋_GB2312" w:hAnsi="Times New Roman" w:eastAsia="仿宋_GB2312"/>
          <w:sz w:val="32"/>
          <w:szCs w:val="32"/>
        </w:rPr>
        <w:t xml:space="preserve"> </w:t>
      </w:r>
      <w:bookmarkStart w:id="0" w:name="_GoBack"/>
      <w:bookmarkEnd w:id="0"/>
      <w:r>
        <w:rPr>
          <w:rFonts w:hint="eastAsia" w:ascii="宋体" w:hAnsi="宋体"/>
          <w:kern w:val="0"/>
          <w:sz w:val="24"/>
        </w:rPr>
        <w:t xml:space="preserve"> </w:t>
      </w:r>
    </w:p>
    <w:p>
      <w:pPr>
        <w:widowControl/>
        <w:spacing w:line="480" w:lineRule="auto"/>
        <w:rPr>
          <w:rFonts w:hint="eastAsia" w:ascii="仿宋_GB2312" w:hAnsi="宋体" w:eastAsia="仿宋_GB2312" w:cs="宋体"/>
          <w:kern w:val="0"/>
          <w:sz w:val="32"/>
          <w:szCs w:val="32"/>
        </w:rPr>
        <w:sectPr>
          <w:pgSz w:w="11906" w:h="16838"/>
          <w:pgMar w:top="2041" w:right="1474" w:bottom="1777" w:left="1474" w:header="851" w:footer="992" w:gutter="0"/>
          <w:cols w:space="720" w:num="1"/>
          <w:docGrid w:type="lines" w:linePitch="312" w:charSpace="0"/>
        </w:sectPr>
      </w:pPr>
      <w:r>
        <w:rPr>
          <w:rFonts w:hint="eastAsia" w:ascii="仿宋_GB2312" w:hAnsi="宋体" w:eastAsia="仿宋_GB2312" w:cs="宋体"/>
          <w:kern w:val="0"/>
          <w:sz w:val="32"/>
          <w:szCs w:val="32"/>
        </w:rPr>
        <w:t xml:space="preserve"> </w:t>
      </w:r>
    </w:p>
    <w:p>
      <w:pPr>
        <w:spacing w:line="360" w:lineRule="auto"/>
        <w:jc w:val="left"/>
        <w:rPr>
          <w:rFonts w:hint="eastAsia" w:ascii="宋体" w:hAnsi="宋体" w:cs="Calibri"/>
          <w:sz w:val="32"/>
          <w:szCs w:val="32"/>
        </w:rPr>
      </w:pPr>
      <w:r>
        <w:rPr>
          <w:rFonts w:hint="eastAsia" w:ascii="宋体" w:hAnsi="宋体"/>
          <w:sz w:val="32"/>
          <w:szCs w:val="32"/>
        </w:rPr>
        <w:t>附件</w:t>
      </w:r>
      <w:r>
        <w:rPr>
          <w:sz w:val="32"/>
          <w:szCs w:val="32"/>
        </w:rPr>
        <w:t>2</w:t>
      </w:r>
    </w:p>
    <w:p>
      <w:pPr>
        <w:jc w:val="center"/>
        <w:rPr>
          <w:rFonts w:hint="eastAsia" w:ascii="方正小标宋简体" w:hAnsi="Times New Roman" w:eastAsia="方正小标宋简体"/>
          <w:sz w:val="32"/>
          <w:szCs w:val="32"/>
        </w:rPr>
      </w:pPr>
      <w:r>
        <w:rPr>
          <w:rFonts w:hint="eastAsia" w:ascii="方正小标宋简体" w:hAnsi="Times New Roman" w:eastAsia="方正小标宋简体"/>
          <w:bCs/>
          <w:sz w:val="32"/>
          <w:szCs w:val="32"/>
        </w:rPr>
        <w:t>评分表</w:t>
      </w:r>
    </w:p>
    <w:tbl>
      <w:tblPr>
        <w:tblStyle w:val="4"/>
        <w:tblW w:w="85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36"/>
        <w:gridCol w:w="2694"/>
        <w:gridCol w:w="4073"/>
        <w:gridCol w:w="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9" w:hRule="atLeast"/>
          <w:jc w:val="center"/>
        </w:trPr>
        <w:tc>
          <w:tcPr>
            <w:tcW w:w="1036" w:type="dxa"/>
          </w:tcPr>
          <w:p>
            <w:pPr>
              <w:widowControl/>
              <w:jc w:val="left"/>
              <w:textAlignment w:val="center"/>
              <w:rPr>
                <w:rFonts w:ascii="宋体" w:hAnsi="宋体" w:cs="Calibri"/>
                <w:b/>
                <w:bCs/>
                <w:color w:val="000000"/>
                <w:szCs w:val="21"/>
              </w:rPr>
            </w:pPr>
            <w:r>
              <w:rPr>
                <w:rFonts w:hint="eastAsia" w:ascii="宋体" w:hAnsi="宋体"/>
                <w:b/>
                <w:bCs/>
                <w:color w:val="000000"/>
              </w:rPr>
              <w:t>评审内容</w:t>
            </w:r>
          </w:p>
        </w:tc>
        <w:tc>
          <w:tcPr>
            <w:tcW w:w="2694" w:type="dxa"/>
            <w:vAlign w:val="center"/>
          </w:tcPr>
          <w:p>
            <w:pPr>
              <w:widowControl/>
              <w:jc w:val="center"/>
              <w:textAlignment w:val="center"/>
              <w:rPr>
                <w:rFonts w:ascii="宋体" w:hAnsi="宋体" w:cs="Calibri"/>
                <w:b/>
                <w:bCs/>
                <w:color w:val="000000"/>
                <w:szCs w:val="21"/>
              </w:rPr>
            </w:pPr>
            <w:r>
              <w:rPr>
                <w:rFonts w:hint="eastAsia" w:ascii="宋体" w:hAnsi="宋体"/>
                <w:b/>
                <w:bCs/>
                <w:color w:val="000000"/>
              </w:rPr>
              <w:t>评分指标</w:t>
            </w:r>
          </w:p>
        </w:tc>
        <w:tc>
          <w:tcPr>
            <w:tcW w:w="4073" w:type="dxa"/>
            <w:vAlign w:val="center"/>
          </w:tcPr>
          <w:p>
            <w:pPr>
              <w:widowControl/>
              <w:jc w:val="center"/>
              <w:textAlignment w:val="center"/>
              <w:rPr>
                <w:rFonts w:ascii="宋体" w:hAnsi="宋体" w:cs="Calibri"/>
                <w:b/>
                <w:bCs/>
                <w:color w:val="000000"/>
                <w:kern w:val="0"/>
                <w:szCs w:val="21"/>
              </w:rPr>
            </w:pPr>
            <w:r>
              <w:rPr>
                <w:rFonts w:hint="eastAsia" w:ascii="宋体" w:hAnsi="宋体"/>
                <w:b/>
                <w:bCs/>
                <w:color w:val="000000"/>
                <w:kern w:val="0"/>
              </w:rPr>
              <w:t>评分说明</w:t>
            </w:r>
          </w:p>
        </w:tc>
        <w:tc>
          <w:tcPr>
            <w:tcW w:w="791" w:type="dxa"/>
            <w:vAlign w:val="center"/>
          </w:tcPr>
          <w:p>
            <w:pPr>
              <w:widowControl/>
              <w:jc w:val="center"/>
              <w:textAlignment w:val="center"/>
              <w:rPr>
                <w:rFonts w:ascii="宋体" w:hAnsi="宋体" w:cs="Calibri"/>
                <w:b/>
                <w:bCs/>
                <w:color w:val="000000"/>
                <w:szCs w:val="21"/>
              </w:rPr>
            </w:pPr>
            <w:r>
              <w:rPr>
                <w:rFonts w:hint="eastAsia" w:ascii="宋体" w:hAnsi="宋体"/>
                <w:b/>
                <w:bCs/>
                <w:color w:val="000000"/>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88" w:hRule="atLeast"/>
          <w:jc w:val="center"/>
        </w:trPr>
        <w:tc>
          <w:tcPr>
            <w:tcW w:w="1036" w:type="dxa"/>
            <w:vMerge w:val="restart"/>
            <w:vAlign w:val="center"/>
          </w:tcPr>
          <w:p>
            <w:pPr>
              <w:widowControl/>
              <w:jc w:val="center"/>
              <w:textAlignment w:val="center"/>
              <w:rPr>
                <w:rFonts w:ascii="宋体" w:hAnsi="宋体" w:cs="Calibri"/>
                <w:color w:val="000000"/>
                <w:szCs w:val="21"/>
              </w:rPr>
            </w:pPr>
            <w:r>
              <w:rPr>
                <w:rFonts w:hint="eastAsia" w:ascii="宋体" w:hAnsi="宋体"/>
                <w:color w:val="000000"/>
              </w:rPr>
              <w:t>经营状况及安全性指标</w:t>
            </w:r>
          </w:p>
          <w:p>
            <w:pPr>
              <w:widowControl/>
              <w:jc w:val="center"/>
              <w:textAlignment w:val="center"/>
              <w:rPr>
                <w:rFonts w:ascii="宋体" w:hAnsi="宋体" w:cs="Calibri"/>
                <w:color w:val="000000"/>
                <w:szCs w:val="21"/>
              </w:rPr>
            </w:pPr>
            <w:r>
              <w:rPr>
                <w:rFonts w:hint="eastAsia" w:ascii="宋体" w:hAnsi="宋体"/>
                <w:color w:val="000000"/>
              </w:rPr>
              <w:t>（</w:t>
            </w:r>
            <w:r>
              <w:rPr>
                <w:rFonts w:hint="eastAsia" w:ascii="宋体" w:hAnsi="宋体"/>
                <w:color w:val="000000"/>
                <w:lang w:val="en-US" w:eastAsia="zh-CN"/>
              </w:rPr>
              <w:t>10</w:t>
            </w:r>
            <w:r>
              <w:rPr>
                <w:rFonts w:hint="eastAsia" w:ascii="宋体" w:hAnsi="宋体"/>
                <w:color w:val="000000"/>
              </w:rPr>
              <w:t>%）</w:t>
            </w:r>
          </w:p>
        </w:tc>
        <w:tc>
          <w:tcPr>
            <w:tcW w:w="2694" w:type="dxa"/>
            <w:vAlign w:val="center"/>
          </w:tcPr>
          <w:p>
            <w:pPr>
              <w:widowControl/>
              <w:textAlignment w:val="center"/>
              <w:rPr>
                <w:rFonts w:ascii="宋体" w:hAnsi="宋体" w:cs="Calibri"/>
                <w:color w:val="000000"/>
                <w:szCs w:val="21"/>
              </w:rPr>
            </w:pPr>
            <w:r>
              <w:rPr>
                <w:rFonts w:hint="eastAsia" w:ascii="宋体" w:hAnsi="宋体"/>
                <w:color w:val="000000"/>
              </w:rPr>
              <w:t>1.各项存款：截止2022年12月31日投标人的各项存款余额（万元）</w:t>
            </w:r>
          </w:p>
        </w:tc>
        <w:tc>
          <w:tcPr>
            <w:tcW w:w="4073" w:type="dxa"/>
            <w:vAlign w:val="center"/>
          </w:tcPr>
          <w:p>
            <w:pPr>
              <w:widowControl/>
              <w:textAlignment w:val="center"/>
              <w:rPr>
                <w:rFonts w:ascii="宋体" w:hAnsi="宋体" w:cs="Calibri"/>
                <w:color w:val="000000"/>
                <w:kern w:val="0"/>
                <w:szCs w:val="21"/>
              </w:rPr>
            </w:pPr>
            <w:r>
              <w:rPr>
                <w:rFonts w:hint="eastAsia" w:ascii="宋体" w:hAnsi="宋体" w:cs="Calibri"/>
                <w:color w:val="000000"/>
                <w:kern w:val="0"/>
                <w:szCs w:val="21"/>
              </w:rPr>
              <w:t>满分为100分。所有投标人中，各项存款最高者为第一名得满分，其他投标人分数按照与第一名的百分比折算。（以投标人上报人民银行的金融统计监测管理信息系统数据为准，按人民银行金融统计制度本外币口径填报，投标人需提供报表系统数据截图作为依据，不提供截图不得分）</w:t>
            </w:r>
          </w:p>
        </w:tc>
        <w:tc>
          <w:tcPr>
            <w:tcW w:w="791" w:type="dxa"/>
            <w:vAlign w:val="center"/>
          </w:tcPr>
          <w:p>
            <w:pPr>
              <w:widowControl/>
              <w:jc w:val="center"/>
              <w:textAlignment w:val="center"/>
              <w:rPr>
                <w:rFonts w:ascii="宋体" w:hAnsi="宋体" w:cs="Calibri"/>
                <w:color w:val="000000"/>
                <w:szCs w:val="21"/>
              </w:rPr>
            </w:pPr>
            <w:r>
              <w:rPr>
                <w:rFonts w:hint="eastAsia" w:ascii="宋体" w:hAnsi="宋体"/>
                <w:color w:val="000000"/>
                <w:lang w:val="en-US" w:eastAsia="zh-CN"/>
              </w:rPr>
              <w:t>5</w:t>
            </w:r>
            <w:r>
              <w:rPr>
                <w:rFonts w:hint="eastAsia" w:ascii="宋体" w:hAns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jc w:val="center"/>
        </w:trPr>
        <w:tc>
          <w:tcPr>
            <w:tcW w:w="1036" w:type="dxa"/>
            <w:vMerge w:val="continue"/>
            <w:vAlign w:val="center"/>
          </w:tcPr>
          <w:p>
            <w:pPr>
              <w:widowControl/>
              <w:jc w:val="left"/>
              <w:rPr>
                <w:rFonts w:ascii="宋体" w:hAnsi="宋体" w:cs="Calibri"/>
                <w:color w:val="000000"/>
                <w:szCs w:val="21"/>
              </w:rPr>
            </w:pPr>
          </w:p>
        </w:tc>
        <w:tc>
          <w:tcPr>
            <w:tcW w:w="2694" w:type="dxa"/>
            <w:vAlign w:val="center"/>
          </w:tcPr>
          <w:p>
            <w:pPr>
              <w:widowControl/>
              <w:textAlignment w:val="center"/>
              <w:rPr>
                <w:rFonts w:ascii="宋体" w:hAnsi="宋体" w:cs="Calibri"/>
                <w:color w:val="000000"/>
                <w:szCs w:val="21"/>
              </w:rPr>
            </w:pPr>
            <w:r>
              <w:rPr>
                <w:rFonts w:hint="eastAsia" w:ascii="宋体" w:hAnsi="宋体"/>
                <w:color w:val="000000"/>
              </w:rPr>
              <w:t>2.各项贷款：截止2022年12月31日投标人的各项贷款余额（万元）。</w:t>
            </w:r>
          </w:p>
        </w:tc>
        <w:tc>
          <w:tcPr>
            <w:tcW w:w="4073" w:type="dxa"/>
            <w:vAlign w:val="center"/>
          </w:tcPr>
          <w:p>
            <w:pPr>
              <w:widowControl/>
              <w:textAlignment w:val="center"/>
              <w:rPr>
                <w:rFonts w:ascii="宋体" w:hAnsi="宋体" w:cs="Calibri"/>
                <w:color w:val="000000"/>
                <w:kern w:val="0"/>
                <w:szCs w:val="21"/>
              </w:rPr>
            </w:pPr>
            <w:r>
              <w:rPr>
                <w:rFonts w:hint="eastAsia" w:ascii="宋体" w:hAnsi="宋体" w:cs="Calibri"/>
                <w:color w:val="000000"/>
                <w:kern w:val="0"/>
                <w:szCs w:val="21"/>
              </w:rPr>
              <w:t>满分为100分。所有投标人中，各项贷款最高者为第一名得满分，其他投标人分数按照与第一名的百分比折算。（以投标人上报人民银行的金融统计监测管理信息系统数据为准，按人民银行金融统计制度本外币口径填报，投标人需提供报表系统数据截图作为依据，不提供截图不得分）</w:t>
            </w:r>
          </w:p>
        </w:tc>
        <w:tc>
          <w:tcPr>
            <w:tcW w:w="791" w:type="dxa"/>
            <w:vAlign w:val="center"/>
          </w:tcPr>
          <w:p>
            <w:pPr>
              <w:widowControl/>
              <w:jc w:val="center"/>
              <w:textAlignment w:val="center"/>
              <w:rPr>
                <w:rFonts w:ascii="宋体" w:hAnsi="宋体" w:cs="Calibri"/>
                <w:color w:val="000000"/>
                <w:szCs w:val="21"/>
              </w:rPr>
            </w:pPr>
            <w:r>
              <w:rPr>
                <w:rFonts w:hint="eastAsia" w:ascii="宋体" w:hAnsi="宋体"/>
                <w:color w:val="000000"/>
                <w:lang w:val="en-US" w:eastAsia="zh-CN"/>
              </w:rPr>
              <w:t>5</w:t>
            </w:r>
            <w:r>
              <w:rPr>
                <w:rFonts w:hint="eastAsia" w:ascii="宋体" w:hAns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7" w:hRule="atLeast"/>
          <w:jc w:val="center"/>
        </w:trPr>
        <w:tc>
          <w:tcPr>
            <w:tcW w:w="1036" w:type="dxa"/>
            <w:vMerge w:val="restart"/>
            <w:vAlign w:val="center"/>
          </w:tcPr>
          <w:p>
            <w:pPr>
              <w:widowControl/>
              <w:jc w:val="left"/>
              <w:rPr>
                <w:rFonts w:hint="eastAsia" w:ascii="宋体" w:hAnsi="宋体"/>
                <w:color w:val="000000"/>
              </w:rPr>
            </w:pPr>
            <w:r>
              <w:rPr>
                <w:rFonts w:hint="eastAsia" w:ascii="宋体" w:hAnsi="宋体" w:cs="Calibri"/>
                <w:color w:val="000000"/>
                <w:kern w:val="0"/>
                <w:szCs w:val="21"/>
                <w:lang w:eastAsia="zh-CN"/>
              </w:rPr>
              <w:t>利率指标</w:t>
            </w:r>
            <w:r>
              <w:rPr>
                <w:rFonts w:hint="eastAsia" w:ascii="宋体" w:hAnsi="宋体"/>
                <w:color w:val="000000"/>
              </w:rPr>
              <w:t>（</w:t>
            </w:r>
            <w:r>
              <w:rPr>
                <w:rFonts w:hint="eastAsia" w:ascii="宋体" w:hAnsi="宋体"/>
                <w:color w:val="000000"/>
                <w:lang w:val="en-US" w:eastAsia="zh-CN"/>
              </w:rPr>
              <w:t>20</w:t>
            </w:r>
            <w:r>
              <w:rPr>
                <w:rFonts w:hint="eastAsia" w:ascii="宋体" w:hAnsi="宋体"/>
                <w:color w:val="000000"/>
              </w:rPr>
              <w:t>%）</w:t>
            </w:r>
          </w:p>
        </w:tc>
        <w:tc>
          <w:tcPr>
            <w:tcW w:w="2694" w:type="dxa"/>
            <w:vAlign w:val="center"/>
          </w:tcPr>
          <w:p>
            <w:pPr>
              <w:widowControl/>
              <w:textAlignment w:val="center"/>
              <w:rPr>
                <w:rFonts w:hint="eastAsia" w:ascii="宋体" w:hAnsi="宋体"/>
                <w:color w:val="000000"/>
                <w:kern w:val="0"/>
                <w:lang w:val="en-US" w:eastAsia="zh-CN"/>
              </w:rPr>
            </w:pPr>
            <w:r>
              <w:rPr>
                <w:rFonts w:hint="eastAsia" w:ascii="宋体" w:hAnsi="宋体"/>
                <w:color w:val="000000"/>
                <w:kern w:val="0"/>
                <w:lang w:val="en-US" w:eastAsia="zh-CN"/>
              </w:rPr>
              <w:t>3.增值保值（六个月期增加基点）（BP）</w:t>
            </w:r>
          </w:p>
        </w:tc>
        <w:tc>
          <w:tcPr>
            <w:tcW w:w="4073" w:type="dxa"/>
            <w:vAlign w:val="center"/>
          </w:tcPr>
          <w:p>
            <w:pPr>
              <w:widowControl/>
              <w:textAlignment w:val="center"/>
              <w:rPr>
                <w:rFonts w:hint="eastAsia" w:ascii="宋体" w:hAnsi="宋体"/>
                <w:color w:val="000000"/>
                <w:kern w:val="0"/>
              </w:rPr>
            </w:pPr>
            <w:r>
              <w:rPr>
                <w:rFonts w:hint="eastAsia" w:ascii="宋体" w:hAnsi="宋体"/>
                <w:color w:val="000000"/>
                <w:kern w:val="0"/>
              </w:rPr>
              <w:t>满分为100分。其中：在人民银行</w:t>
            </w:r>
            <w:r>
              <w:rPr>
                <w:rFonts w:hint="eastAsia" w:ascii="宋体" w:hAnsi="宋体"/>
                <w:color w:val="000000"/>
                <w:kern w:val="0"/>
                <w:lang w:eastAsia="zh-CN"/>
              </w:rPr>
              <w:t>六个月</w:t>
            </w:r>
            <w:r>
              <w:rPr>
                <w:rFonts w:hint="eastAsia" w:ascii="宋体" w:hAnsi="宋体"/>
                <w:color w:val="000000"/>
                <w:kern w:val="0"/>
              </w:rPr>
              <w:t>定期存款基准利率增加</w:t>
            </w:r>
            <w:r>
              <w:rPr>
                <w:rFonts w:hint="eastAsia" w:ascii="宋体" w:hAnsi="宋体"/>
                <w:color w:val="000000"/>
                <w:kern w:val="0"/>
                <w:lang w:val="en-US" w:eastAsia="zh-CN"/>
              </w:rPr>
              <w:t>80</w:t>
            </w:r>
            <w:r>
              <w:rPr>
                <w:rFonts w:hint="eastAsia" w:ascii="宋体" w:hAnsi="宋体"/>
                <w:color w:val="000000"/>
                <w:kern w:val="0"/>
              </w:rPr>
              <w:t>基点（BP）：</w:t>
            </w:r>
            <w:r>
              <w:rPr>
                <w:rFonts w:hint="eastAsia" w:ascii="宋体" w:hAnsi="宋体"/>
                <w:color w:val="000000"/>
                <w:kern w:val="0"/>
                <w:lang w:val="en-US" w:eastAsia="zh-CN"/>
              </w:rPr>
              <w:t>100</w:t>
            </w:r>
            <w:r>
              <w:rPr>
                <w:rFonts w:hint="eastAsia" w:ascii="宋体" w:hAnsi="宋体"/>
                <w:color w:val="000000"/>
                <w:kern w:val="0"/>
              </w:rPr>
              <w:t>分</w:t>
            </w:r>
            <w:r>
              <w:rPr>
                <w:rFonts w:hint="eastAsia" w:ascii="宋体" w:hAnsi="宋体"/>
                <w:color w:val="000000"/>
                <w:kern w:val="0"/>
                <w:lang w:eastAsia="zh-CN"/>
              </w:rPr>
              <w:t>；</w:t>
            </w:r>
            <w:r>
              <w:rPr>
                <w:rFonts w:hint="eastAsia" w:ascii="宋体" w:hAnsi="宋体"/>
                <w:color w:val="000000"/>
                <w:kern w:val="0"/>
              </w:rPr>
              <w:t xml:space="preserve"> 增加30基点（BP）以上的，分数按照以下公式计算：</w:t>
            </w:r>
            <w:r>
              <w:rPr>
                <w:rFonts w:hint="eastAsia" w:ascii="宋体" w:hAnsi="宋体"/>
                <w:color w:val="000000"/>
                <w:kern w:val="0"/>
                <w:lang w:eastAsia="zh-CN"/>
              </w:rPr>
              <w:t>增加</w:t>
            </w:r>
            <w:r>
              <w:rPr>
                <w:rFonts w:hint="eastAsia" w:ascii="宋体" w:hAnsi="宋体"/>
                <w:color w:val="000000"/>
                <w:kern w:val="0"/>
                <w:lang w:val="en-US" w:eastAsia="zh-CN"/>
              </w:rPr>
              <w:t>3</w:t>
            </w:r>
            <w:r>
              <w:rPr>
                <w:rFonts w:hint="eastAsia" w:ascii="宋体" w:hAnsi="宋体"/>
                <w:color w:val="000000"/>
                <w:kern w:val="0"/>
              </w:rPr>
              <w:t>0</w:t>
            </w:r>
            <w:r>
              <w:rPr>
                <w:rFonts w:hint="eastAsia" w:ascii="宋体" w:hAnsi="宋体"/>
                <w:color w:val="000000"/>
                <w:kern w:val="0"/>
                <w:lang w:eastAsia="zh-CN"/>
              </w:rPr>
              <w:t>（含）至</w:t>
            </w:r>
            <w:r>
              <w:rPr>
                <w:rFonts w:hint="eastAsia" w:ascii="宋体" w:hAnsi="宋体"/>
                <w:color w:val="000000"/>
                <w:kern w:val="0"/>
                <w:lang w:val="en-US" w:eastAsia="zh-CN"/>
              </w:rPr>
              <w:t>50</w:t>
            </w:r>
            <w:r>
              <w:rPr>
                <w:rFonts w:hint="eastAsia" w:ascii="宋体" w:hAnsi="宋体"/>
                <w:color w:val="000000"/>
                <w:kern w:val="0"/>
                <w:lang w:eastAsia="zh-CN"/>
              </w:rPr>
              <w:t>（含）</w:t>
            </w:r>
            <w:r>
              <w:rPr>
                <w:rFonts w:hint="eastAsia" w:ascii="宋体" w:hAnsi="宋体"/>
                <w:color w:val="000000"/>
                <w:kern w:val="0"/>
                <w:lang w:val="en-US" w:eastAsia="zh-CN"/>
              </w:rPr>
              <w:t>，得40分</w:t>
            </w:r>
            <w:r>
              <w:rPr>
                <w:rFonts w:hint="eastAsia" w:ascii="宋体" w:hAnsi="宋体"/>
                <w:color w:val="000000"/>
                <w:kern w:val="0"/>
              </w:rPr>
              <w:t>，</w:t>
            </w:r>
            <w:r>
              <w:rPr>
                <w:rFonts w:hint="eastAsia" w:ascii="宋体" w:hAnsi="宋体"/>
                <w:color w:val="000000"/>
                <w:kern w:val="0"/>
                <w:lang w:eastAsia="zh-CN"/>
              </w:rPr>
              <w:t>增加</w:t>
            </w:r>
            <w:r>
              <w:rPr>
                <w:rFonts w:hint="eastAsia" w:ascii="宋体" w:hAnsi="宋体"/>
                <w:color w:val="000000"/>
                <w:kern w:val="0"/>
                <w:lang w:val="en-US" w:eastAsia="zh-CN"/>
              </w:rPr>
              <w:t>50</w:t>
            </w:r>
            <w:r>
              <w:rPr>
                <w:rFonts w:hint="eastAsia" w:ascii="宋体" w:hAnsi="宋体"/>
                <w:color w:val="000000"/>
                <w:kern w:val="0"/>
                <w:lang w:eastAsia="zh-CN"/>
              </w:rPr>
              <w:t>（不含）至</w:t>
            </w:r>
            <w:r>
              <w:rPr>
                <w:rFonts w:hint="eastAsia" w:ascii="宋体" w:hAnsi="宋体"/>
                <w:color w:val="000000"/>
                <w:kern w:val="0"/>
                <w:lang w:val="en-US" w:eastAsia="zh-CN"/>
              </w:rPr>
              <w:t>70</w:t>
            </w:r>
            <w:r>
              <w:rPr>
                <w:rFonts w:hint="eastAsia" w:ascii="宋体" w:hAnsi="宋体"/>
                <w:color w:val="000000"/>
                <w:kern w:val="0"/>
                <w:lang w:eastAsia="zh-CN"/>
              </w:rPr>
              <w:t>（含）</w:t>
            </w:r>
            <w:r>
              <w:rPr>
                <w:rFonts w:hint="eastAsia" w:ascii="宋体" w:hAnsi="宋体"/>
                <w:color w:val="000000"/>
                <w:kern w:val="0"/>
                <w:lang w:val="en-US" w:eastAsia="zh-CN"/>
              </w:rPr>
              <w:t>，得50分；</w:t>
            </w:r>
            <w:r>
              <w:rPr>
                <w:rFonts w:hint="eastAsia" w:ascii="宋体" w:hAnsi="宋体"/>
                <w:color w:val="000000"/>
                <w:kern w:val="0"/>
                <w:lang w:eastAsia="zh-CN"/>
              </w:rPr>
              <w:t>增加</w:t>
            </w:r>
            <w:r>
              <w:rPr>
                <w:rFonts w:hint="eastAsia" w:ascii="宋体" w:hAnsi="宋体"/>
                <w:color w:val="000000"/>
                <w:kern w:val="0"/>
                <w:lang w:val="en-US" w:eastAsia="zh-CN"/>
              </w:rPr>
              <w:t>70</w:t>
            </w:r>
            <w:r>
              <w:rPr>
                <w:rFonts w:hint="eastAsia" w:ascii="宋体" w:hAnsi="宋体"/>
                <w:color w:val="000000"/>
                <w:kern w:val="0"/>
                <w:lang w:eastAsia="zh-CN"/>
              </w:rPr>
              <w:t>（不含）至</w:t>
            </w:r>
            <w:r>
              <w:rPr>
                <w:rFonts w:hint="eastAsia" w:ascii="宋体" w:hAnsi="宋体"/>
                <w:color w:val="000000"/>
                <w:kern w:val="0"/>
                <w:lang w:val="en-US" w:eastAsia="zh-CN"/>
              </w:rPr>
              <w:t>80</w:t>
            </w:r>
            <w:r>
              <w:rPr>
                <w:rFonts w:hint="eastAsia" w:ascii="宋体" w:hAnsi="宋体"/>
                <w:color w:val="000000"/>
                <w:kern w:val="0"/>
                <w:lang w:eastAsia="zh-CN"/>
              </w:rPr>
              <w:t>（不含）</w:t>
            </w:r>
            <w:r>
              <w:rPr>
                <w:rFonts w:hint="eastAsia" w:ascii="宋体" w:hAnsi="宋体"/>
                <w:color w:val="000000"/>
                <w:kern w:val="0"/>
                <w:lang w:val="en-US" w:eastAsia="zh-CN"/>
              </w:rPr>
              <w:t>，得60分</w:t>
            </w:r>
            <w:r>
              <w:rPr>
                <w:rFonts w:hint="eastAsia" w:ascii="宋体" w:hAnsi="宋体"/>
                <w:color w:val="000000"/>
                <w:kern w:val="0"/>
              </w:rPr>
              <w:t>。利率报价必须为人民银行</w:t>
            </w:r>
            <w:r>
              <w:rPr>
                <w:rFonts w:hint="eastAsia" w:ascii="宋体" w:hAnsi="宋体"/>
                <w:color w:val="000000"/>
                <w:kern w:val="0"/>
                <w:lang w:eastAsia="zh-CN"/>
              </w:rPr>
              <w:t>六个月</w:t>
            </w:r>
            <w:r>
              <w:rPr>
                <w:rFonts w:hint="eastAsia" w:ascii="宋体" w:hAnsi="宋体"/>
                <w:color w:val="000000"/>
                <w:kern w:val="0"/>
              </w:rPr>
              <w:t>定期存款基准利率增加30基点（BP）或以上，否则得0分</w:t>
            </w:r>
            <w:r>
              <w:rPr>
                <w:rFonts w:hint="eastAsia" w:ascii="宋体" w:hAnsi="宋体"/>
                <w:color w:val="000000"/>
                <w:kern w:val="0"/>
                <w:lang w:eastAsia="zh-CN"/>
              </w:rPr>
              <w:t>。以投标人提供的承诺为准。</w:t>
            </w:r>
          </w:p>
        </w:tc>
        <w:tc>
          <w:tcPr>
            <w:tcW w:w="791" w:type="dxa"/>
            <w:vAlign w:val="center"/>
          </w:tcPr>
          <w:p>
            <w:pPr>
              <w:widowControl/>
              <w:jc w:val="center"/>
              <w:textAlignment w:val="center"/>
              <w:rPr>
                <w:rFonts w:hint="default" w:ascii="宋体" w:hAnsi="宋体"/>
                <w:color w:val="000000"/>
                <w:kern w:val="0"/>
                <w:lang w:val="en-US" w:eastAsia="zh-CN"/>
              </w:rPr>
            </w:pPr>
            <w:r>
              <w:rPr>
                <w:rFonts w:hint="eastAsia" w:ascii="宋体" w:hAnsi="宋体"/>
                <w:color w:val="000000"/>
                <w:kern w:val="0"/>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7" w:hRule="atLeast"/>
          <w:jc w:val="center"/>
        </w:trPr>
        <w:tc>
          <w:tcPr>
            <w:tcW w:w="1036" w:type="dxa"/>
            <w:vMerge w:val="continue"/>
            <w:vAlign w:val="center"/>
          </w:tcPr>
          <w:p>
            <w:pPr>
              <w:widowControl/>
              <w:jc w:val="left"/>
              <w:rPr>
                <w:rFonts w:hint="eastAsia" w:ascii="宋体" w:hAnsi="宋体"/>
                <w:color w:val="000000"/>
              </w:rPr>
            </w:pPr>
          </w:p>
        </w:tc>
        <w:tc>
          <w:tcPr>
            <w:tcW w:w="2694" w:type="dxa"/>
            <w:vAlign w:val="center"/>
          </w:tcPr>
          <w:p>
            <w:pPr>
              <w:widowControl/>
              <w:textAlignment w:val="center"/>
              <w:rPr>
                <w:rFonts w:hint="eastAsia" w:ascii="宋体" w:hAnsi="宋体"/>
                <w:color w:val="000000"/>
                <w:kern w:val="0"/>
              </w:rPr>
            </w:pPr>
            <w:r>
              <w:rPr>
                <w:rFonts w:hint="eastAsia" w:ascii="宋体" w:hAnsi="宋体"/>
                <w:color w:val="000000"/>
                <w:kern w:val="0"/>
                <w:lang w:val="en-US" w:eastAsia="zh-CN"/>
              </w:rPr>
              <w:t>4.增值保值（一年期增加基点）（BP）</w:t>
            </w:r>
          </w:p>
        </w:tc>
        <w:tc>
          <w:tcPr>
            <w:tcW w:w="4073" w:type="dxa"/>
            <w:vAlign w:val="center"/>
          </w:tcPr>
          <w:p>
            <w:pPr>
              <w:widowControl/>
              <w:textAlignment w:val="center"/>
              <w:rPr>
                <w:rFonts w:hint="eastAsia" w:ascii="宋体" w:hAnsi="宋体" w:cs="Calibri"/>
                <w:color w:val="000000"/>
                <w:kern w:val="0"/>
                <w:szCs w:val="21"/>
              </w:rPr>
            </w:pPr>
            <w:r>
              <w:rPr>
                <w:rFonts w:hint="eastAsia" w:ascii="宋体" w:hAnsi="宋体"/>
                <w:color w:val="000000"/>
                <w:kern w:val="0"/>
              </w:rPr>
              <w:t>满分为100分。其中：在人民银行一年期定期存款基准利率增加</w:t>
            </w:r>
            <w:r>
              <w:rPr>
                <w:rFonts w:hint="eastAsia" w:ascii="宋体" w:hAnsi="宋体"/>
                <w:color w:val="000000"/>
                <w:kern w:val="0"/>
                <w:lang w:val="en-US" w:eastAsia="zh-CN"/>
              </w:rPr>
              <w:t>80</w:t>
            </w:r>
            <w:r>
              <w:rPr>
                <w:rFonts w:hint="eastAsia" w:ascii="宋体" w:hAnsi="宋体"/>
                <w:color w:val="000000"/>
                <w:kern w:val="0"/>
              </w:rPr>
              <w:t>基点（BP）：</w:t>
            </w:r>
            <w:r>
              <w:rPr>
                <w:rFonts w:hint="eastAsia" w:ascii="宋体" w:hAnsi="宋体"/>
                <w:color w:val="000000"/>
                <w:kern w:val="0"/>
                <w:lang w:val="en-US" w:eastAsia="zh-CN"/>
              </w:rPr>
              <w:t>100</w:t>
            </w:r>
            <w:r>
              <w:rPr>
                <w:rFonts w:hint="eastAsia" w:ascii="宋体" w:hAnsi="宋体"/>
                <w:color w:val="000000"/>
                <w:kern w:val="0"/>
              </w:rPr>
              <w:t>分</w:t>
            </w:r>
            <w:r>
              <w:rPr>
                <w:rFonts w:hint="eastAsia" w:ascii="宋体" w:hAnsi="宋体"/>
                <w:color w:val="000000"/>
                <w:kern w:val="0"/>
                <w:lang w:eastAsia="zh-CN"/>
              </w:rPr>
              <w:t>；</w:t>
            </w:r>
            <w:r>
              <w:rPr>
                <w:rFonts w:hint="eastAsia" w:ascii="宋体" w:hAnsi="宋体"/>
                <w:color w:val="000000"/>
                <w:kern w:val="0"/>
              </w:rPr>
              <w:t xml:space="preserve"> 增加30基点（BP）以上的，分数按照以下公式计算：</w:t>
            </w:r>
            <w:r>
              <w:rPr>
                <w:rFonts w:hint="eastAsia" w:ascii="宋体" w:hAnsi="宋体"/>
                <w:color w:val="000000"/>
                <w:kern w:val="0"/>
                <w:lang w:eastAsia="zh-CN"/>
              </w:rPr>
              <w:t>增加</w:t>
            </w:r>
            <w:r>
              <w:rPr>
                <w:rFonts w:hint="eastAsia" w:ascii="宋体" w:hAnsi="宋体"/>
                <w:color w:val="000000"/>
                <w:kern w:val="0"/>
                <w:lang w:val="en-US" w:eastAsia="zh-CN"/>
              </w:rPr>
              <w:t>3</w:t>
            </w:r>
            <w:r>
              <w:rPr>
                <w:rFonts w:hint="eastAsia" w:ascii="宋体" w:hAnsi="宋体"/>
                <w:color w:val="000000"/>
                <w:kern w:val="0"/>
              </w:rPr>
              <w:t>0</w:t>
            </w:r>
            <w:r>
              <w:rPr>
                <w:rFonts w:hint="eastAsia" w:ascii="宋体" w:hAnsi="宋体"/>
                <w:color w:val="000000"/>
                <w:kern w:val="0"/>
                <w:lang w:eastAsia="zh-CN"/>
              </w:rPr>
              <w:t>（含）至</w:t>
            </w:r>
            <w:r>
              <w:rPr>
                <w:rFonts w:hint="eastAsia" w:ascii="宋体" w:hAnsi="宋体"/>
                <w:color w:val="000000"/>
                <w:kern w:val="0"/>
                <w:lang w:val="en-US" w:eastAsia="zh-CN"/>
              </w:rPr>
              <w:t>50</w:t>
            </w:r>
            <w:r>
              <w:rPr>
                <w:rFonts w:hint="eastAsia" w:ascii="宋体" w:hAnsi="宋体"/>
                <w:color w:val="000000"/>
                <w:kern w:val="0"/>
                <w:lang w:eastAsia="zh-CN"/>
              </w:rPr>
              <w:t>（含）</w:t>
            </w:r>
            <w:r>
              <w:rPr>
                <w:rFonts w:hint="eastAsia" w:ascii="宋体" w:hAnsi="宋体"/>
                <w:color w:val="000000"/>
                <w:kern w:val="0"/>
                <w:lang w:val="en-US" w:eastAsia="zh-CN"/>
              </w:rPr>
              <w:t>，得40分</w:t>
            </w:r>
            <w:r>
              <w:rPr>
                <w:rFonts w:hint="eastAsia" w:ascii="宋体" w:hAnsi="宋体"/>
                <w:color w:val="000000"/>
                <w:kern w:val="0"/>
              </w:rPr>
              <w:t>，</w:t>
            </w:r>
            <w:r>
              <w:rPr>
                <w:rFonts w:hint="eastAsia" w:ascii="宋体" w:hAnsi="宋体"/>
                <w:color w:val="000000"/>
                <w:kern w:val="0"/>
                <w:lang w:eastAsia="zh-CN"/>
              </w:rPr>
              <w:t>增加</w:t>
            </w:r>
            <w:r>
              <w:rPr>
                <w:rFonts w:hint="eastAsia" w:ascii="宋体" w:hAnsi="宋体"/>
                <w:color w:val="000000"/>
                <w:kern w:val="0"/>
                <w:lang w:val="en-US" w:eastAsia="zh-CN"/>
              </w:rPr>
              <w:t>50</w:t>
            </w:r>
            <w:r>
              <w:rPr>
                <w:rFonts w:hint="eastAsia" w:ascii="宋体" w:hAnsi="宋体"/>
                <w:color w:val="000000"/>
                <w:kern w:val="0"/>
                <w:lang w:eastAsia="zh-CN"/>
              </w:rPr>
              <w:t>（不含）至</w:t>
            </w:r>
            <w:r>
              <w:rPr>
                <w:rFonts w:hint="eastAsia" w:ascii="宋体" w:hAnsi="宋体"/>
                <w:color w:val="000000"/>
                <w:kern w:val="0"/>
                <w:lang w:val="en-US" w:eastAsia="zh-CN"/>
              </w:rPr>
              <w:t>70</w:t>
            </w:r>
            <w:r>
              <w:rPr>
                <w:rFonts w:hint="eastAsia" w:ascii="宋体" w:hAnsi="宋体"/>
                <w:color w:val="000000"/>
                <w:kern w:val="0"/>
                <w:lang w:eastAsia="zh-CN"/>
              </w:rPr>
              <w:t>（含）</w:t>
            </w:r>
            <w:r>
              <w:rPr>
                <w:rFonts w:hint="eastAsia" w:ascii="宋体" w:hAnsi="宋体"/>
                <w:color w:val="000000"/>
                <w:kern w:val="0"/>
                <w:lang w:val="en-US" w:eastAsia="zh-CN"/>
              </w:rPr>
              <w:t>，得50分；</w:t>
            </w:r>
            <w:r>
              <w:rPr>
                <w:rFonts w:hint="eastAsia" w:ascii="宋体" w:hAnsi="宋体"/>
                <w:color w:val="000000"/>
                <w:kern w:val="0"/>
                <w:lang w:eastAsia="zh-CN"/>
              </w:rPr>
              <w:t>增加</w:t>
            </w:r>
            <w:r>
              <w:rPr>
                <w:rFonts w:hint="eastAsia" w:ascii="宋体" w:hAnsi="宋体"/>
                <w:color w:val="000000"/>
                <w:kern w:val="0"/>
                <w:lang w:val="en-US" w:eastAsia="zh-CN"/>
              </w:rPr>
              <w:t>70</w:t>
            </w:r>
            <w:r>
              <w:rPr>
                <w:rFonts w:hint="eastAsia" w:ascii="宋体" w:hAnsi="宋体"/>
                <w:color w:val="000000"/>
                <w:kern w:val="0"/>
                <w:lang w:eastAsia="zh-CN"/>
              </w:rPr>
              <w:t>（不含）至</w:t>
            </w:r>
            <w:r>
              <w:rPr>
                <w:rFonts w:hint="eastAsia" w:ascii="宋体" w:hAnsi="宋体"/>
                <w:color w:val="000000"/>
                <w:kern w:val="0"/>
                <w:lang w:val="en-US" w:eastAsia="zh-CN"/>
              </w:rPr>
              <w:t>80</w:t>
            </w:r>
            <w:r>
              <w:rPr>
                <w:rFonts w:hint="eastAsia" w:ascii="宋体" w:hAnsi="宋体"/>
                <w:color w:val="000000"/>
                <w:kern w:val="0"/>
                <w:lang w:eastAsia="zh-CN"/>
              </w:rPr>
              <w:t>（不含）</w:t>
            </w:r>
            <w:r>
              <w:rPr>
                <w:rFonts w:hint="eastAsia" w:ascii="宋体" w:hAnsi="宋体"/>
                <w:color w:val="000000"/>
                <w:kern w:val="0"/>
                <w:lang w:val="en-US" w:eastAsia="zh-CN"/>
              </w:rPr>
              <w:t>，得60分</w:t>
            </w:r>
            <w:r>
              <w:rPr>
                <w:rFonts w:hint="eastAsia" w:ascii="宋体" w:hAnsi="宋体"/>
                <w:color w:val="000000"/>
                <w:kern w:val="0"/>
              </w:rPr>
              <w:t>。利率报价必须为人民银行一年期定期存款基准利率增加30基点（BP）或以上，否则得0分</w:t>
            </w:r>
            <w:r>
              <w:rPr>
                <w:rFonts w:hint="eastAsia" w:ascii="宋体" w:hAnsi="宋体"/>
                <w:color w:val="000000"/>
                <w:kern w:val="0"/>
                <w:lang w:eastAsia="zh-CN"/>
              </w:rPr>
              <w:t>。以投标人提供的承诺为准。</w:t>
            </w:r>
          </w:p>
        </w:tc>
        <w:tc>
          <w:tcPr>
            <w:tcW w:w="791" w:type="dxa"/>
            <w:vAlign w:val="center"/>
          </w:tcPr>
          <w:p>
            <w:pPr>
              <w:widowControl/>
              <w:jc w:val="center"/>
              <w:textAlignment w:val="center"/>
              <w:rPr>
                <w:rFonts w:hint="eastAsia" w:ascii="宋体" w:hAnsi="宋体"/>
                <w:color w:val="000000"/>
                <w:kern w:val="0"/>
                <w:lang w:val="en-US" w:eastAsia="zh-CN"/>
              </w:rPr>
            </w:pPr>
            <w:r>
              <w:rPr>
                <w:rFonts w:hint="eastAsia" w:ascii="宋体" w:hAnsi="宋体"/>
                <w:color w:val="000000"/>
                <w:kern w:val="0"/>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7" w:hRule="atLeast"/>
          <w:jc w:val="center"/>
        </w:trPr>
        <w:tc>
          <w:tcPr>
            <w:tcW w:w="1036" w:type="dxa"/>
            <w:vMerge w:val="restart"/>
            <w:vAlign w:val="center"/>
          </w:tcPr>
          <w:p>
            <w:pPr>
              <w:widowControl/>
              <w:jc w:val="center"/>
              <w:textAlignment w:val="center"/>
              <w:rPr>
                <w:rFonts w:ascii="宋体" w:hAnsi="宋体" w:cs="Calibri"/>
                <w:color w:val="000000"/>
                <w:kern w:val="0"/>
                <w:szCs w:val="21"/>
              </w:rPr>
            </w:pPr>
            <w:r>
              <w:rPr>
                <w:rFonts w:hint="eastAsia" w:ascii="宋体" w:hAnsi="宋体"/>
                <w:color w:val="000000"/>
              </w:rPr>
              <w:t>支持地方经济的贡献度指标（</w:t>
            </w:r>
            <w:r>
              <w:rPr>
                <w:rFonts w:hint="eastAsia" w:ascii="宋体" w:hAnsi="宋体"/>
                <w:color w:val="000000"/>
                <w:lang w:val="en-US" w:eastAsia="zh-CN"/>
              </w:rPr>
              <w:t>3</w:t>
            </w:r>
            <w:r>
              <w:rPr>
                <w:rFonts w:hint="eastAsia" w:ascii="宋体" w:hAnsi="宋体"/>
                <w:color w:val="000000"/>
              </w:rPr>
              <w:t>0%）</w:t>
            </w:r>
          </w:p>
        </w:tc>
        <w:tc>
          <w:tcPr>
            <w:tcW w:w="2694" w:type="dxa"/>
            <w:vAlign w:val="center"/>
          </w:tcPr>
          <w:p>
            <w:pPr>
              <w:widowControl/>
              <w:textAlignment w:val="center"/>
              <w:rPr>
                <w:rFonts w:ascii="宋体" w:hAnsi="宋体" w:cs="Calibri"/>
                <w:color w:val="000000"/>
                <w:kern w:val="0"/>
                <w:szCs w:val="21"/>
              </w:rPr>
            </w:pPr>
            <w:r>
              <w:rPr>
                <w:rFonts w:hint="eastAsia" w:ascii="宋体" w:hAnsi="宋体"/>
                <w:color w:val="000000"/>
                <w:kern w:val="0"/>
                <w:lang w:val="en-US" w:eastAsia="zh-CN"/>
              </w:rPr>
              <w:t>5</w:t>
            </w:r>
            <w:r>
              <w:rPr>
                <w:rFonts w:hint="eastAsia" w:ascii="宋体" w:hAnsi="宋体"/>
                <w:color w:val="000000"/>
                <w:kern w:val="0"/>
              </w:rPr>
              <w:t>.2022年全年市县级税收收入入库额：2022年全年投标人在江门地区的市县级税收收入入库额（万元）</w:t>
            </w:r>
          </w:p>
        </w:tc>
        <w:tc>
          <w:tcPr>
            <w:tcW w:w="4073" w:type="dxa"/>
            <w:vAlign w:val="center"/>
          </w:tcPr>
          <w:p>
            <w:pPr>
              <w:widowControl/>
              <w:textAlignment w:val="center"/>
              <w:rPr>
                <w:rFonts w:ascii="宋体" w:hAnsi="宋体" w:cs="Calibri"/>
                <w:color w:val="000000"/>
                <w:kern w:val="0"/>
                <w:szCs w:val="21"/>
              </w:rPr>
            </w:pPr>
            <w:r>
              <w:rPr>
                <w:rFonts w:hint="eastAsia" w:ascii="宋体" w:hAnsi="宋体" w:cs="Calibri"/>
                <w:color w:val="000000"/>
                <w:kern w:val="0"/>
                <w:szCs w:val="21"/>
              </w:rPr>
              <w:t>满分为100分。所有投标人中，市县级税收收入入库额最高者为第一名得满分，其他投标人分数按照与第一名的百分比折算。（在江门地区的市县级税收收入入库额以江门市税务局提供的入库证明数据为准）</w:t>
            </w:r>
          </w:p>
        </w:tc>
        <w:tc>
          <w:tcPr>
            <w:tcW w:w="791" w:type="dxa"/>
            <w:vAlign w:val="center"/>
          </w:tcPr>
          <w:p>
            <w:pPr>
              <w:widowControl/>
              <w:jc w:val="center"/>
              <w:textAlignment w:val="center"/>
              <w:rPr>
                <w:rFonts w:ascii="宋体" w:hAnsi="宋体" w:cs="Calibri"/>
                <w:color w:val="000000"/>
                <w:kern w:val="0"/>
                <w:szCs w:val="21"/>
              </w:rPr>
            </w:pPr>
            <w:r>
              <w:rPr>
                <w:rFonts w:hint="eastAsia" w:ascii="宋体" w:hAnsi="宋体"/>
                <w:color w:val="000000"/>
                <w:kern w:val="0"/>
                <w:lang w:val="en-US" w:eastAsia="zh-CN"/>
              </w:rPr>
              <w:t>15</w:t>
            </w:r>
            <w:r>
              <w:rPr>
                <w:rFonts w:hint="eastAsia" w:ascii="宋体" w:hAns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7" w:hRule="atLeast"/>
          <w:jc w:val="center"/>
        </w:trPr>
        <w:tc>
          <w:tcPr>
            <w:tcW w:w="1036" w:type="dxa"/>
            <w:vMerge w:val="continue"/>
            <w:vAlign w:val="center"/>
          </w:tcPr>
          <w:p>
            <w:pPr>
              <w:widowControl/>
              <w:jc w:val="center"/>
              <w:textAlignment w:val="center"/>
              <w:rPr>
                <w:rFonts w:hint="eastAsia" w:ascii="宋体" w:hAnsi="宋体" w:eastAsia="宋体" w:cs="宋体"/>
                <w:kern w:val="0"/>
                <w:sz w:val="24"/>
                <w:szCs w:val="24"/>
              </w:rPr>
            </w:pPr>
          </w:p>
        </w:tc>
        <w:tc>
          <w:tcPr>
            <w:tcW w:w="2694" w:type="dxa"/>
            <w:vAlign w:val="center"/>
          </w:tcPr>
          <w:p>
            <w:pPr>
              <w:widowControl/>
              <w:textAlignment w:val="center"/>
              <w:rPr>
                <w:rFonts w:hint="eastAsia" w:ascii="宋体" w:hAnsi="宋体"/>
                <w:color w:val="000000"/>
                <w:kern w:val="0"/>
              </w:rPr>
            </w:pPr>
            <w:r>
              <w:rPr>
                <w:rFonts w:hint="eastAsia" w:ascii="宋体" w:hAnsi="宋体"/>
                <w:color w:val="000000"/>
                <w:kern w:val="0"/>
                <w:lang w:val="en-US" w:eastAsia="zh-CN"/>
              </w:rPr>
              <w:t>6.</w:t>
            </w:r>
            <w:r>
              <w:rPr>
                <w:rFonts w:hint="eastAsia" w:ascii="宋体" w:hAnsi="宋体"/>
                <w:color w:val="000000"/>
                <w:kern w:val="0"/>
              </w:rPr>
              <w:t>税收增长率：2022年全年在江门地区的市县级税收收入入库额比2021年全年在江门地区的市县级税收收入入库额的增长率（%）</w:t>
            </w:r>
          </w:p>
        </w:tc>
        <w:tc>
          <w:tcPr>
            <w:tcW w:w="4073" w:type="dxa"/>
            <w:vAlign w:val="center"/>
          </w:tcPr>
          <w:p>
            <w:pPr>
              <w:widowControl/>
              <w:textAlignment w:val="center"/>
              <w:rPr>
                <w:rFonts w:hint="eastAsia" w:ascii="宋体" w:hAnsi="宋体" w:cs="Calibri"/>
                <w:color w:val="000000"/>
                <w:szCs w:val="21"/>
              </w:rPr>
            </w:pPr>
            <w:r>
              <w:rPr>
                <w:rFonts w:hint="eastAsia" w:ascii="宋体" w:hAnsi="宋体" w:cs="Calibri"/>
                <w:color w:val="000000"/>
                <w:szCs w:val="21"/>
              </w:rPr>
              <w:t>满分为100分。所有投标人中，投标人税收增长率</w:t>
            </w:r>
            <w:r>
              <w:rPr>
                <w:rFonts w:hint="eastAsia" w:ascii="宋体" w:hAnsi="宋体" w:cs="Calibri"/>
                <w:color w:val="000000"/>
                <w:szCs w:val="21"/>
                <w:lang w:val="en-US" w:eastAsia="zh-CN"/>
              </w:rPr>
              <w:t>5</w:t>
            </w:r>
            <w:r>
              <w:rPr>
                <w:rFonts w:hint="eastAsia" w:ascii="宋体" w:hAnsi="宋体" w:cs="Calibri"/>
                <w:color w:val="000000"/>
                <w:szCs w:val="21"/>
              </w:rPr>
              <w:t>%及以上：100分；税收增长率</w:t>
            </w:r>
            <w:r>
              <w:rPr>
                <w:rFonts w:hint="eastAsia" w:ascii="宋体" w:hAnsi="宋体" w:cs="Calibri"/>
                <w:color w:val="000000"/>
                <w:szCs w:val="21"/>
                <w:lang w:val="en-US" w:eastAsia="zh-CN"/>
              </w:rPr>
              <w:t>5</w:t>
            </w:r>
            <w:r>
              <w:rPr>
                <w:rFonts w:hint="eastAsia" w:ascii="宋体" w:hAnsi="宋体" w:cs="Calibri"/>
                <w:color w:val="000000"/>
                <w:szCs w:val="21"/>
              </w:rPr>
              <w:t>%以下的，分数按照以下公式的百分比折算：投标人税收增长率÷</w:t>
            </w:r>
            <w:r>
              <w:rPr>
                <w:rFonts w:hint="eastAsia" w:ascii="宋体" w:hAnsi="宋体" w:cs="Calibri"/>
                <w:color w:val="000000"/>
                <w:szCs w:val="21"/>
                <w:lang w:val="en-US" w:eastAsia="zh-CN"/>
              </w:rPr>
              <w:t>5</w:t>
            </w:r>
            <w:r>
              <w:rPr>
                <w:rFonts w:hint="eastAsia" w:ascii="宋体" w:hAnsi="宋体" w:cs="Calibri"/>
                <w:color w:val="000000"/>
                <w:szCs w:val="21"/>
              </w:rPr>
              <w:t>%×100。小于0%得0分。（在江门地区的市县级税收收入入库额以江门市税务局提供的入库证明数据为准）</w:t>
            </w:r>
          </w:p>
        </w:tc>
        <w:tc>
          <w:tcPr>
            <w:tcW w:w="791" w:type="dxa"/>
            <w:vAlign w:val="center"/>
          </w:tcPr>
          <w:p>
            <w:pPr>
              <w:widowControl/>
              <w:jc w:val="center"/>
              <w:textAlignment w:val="center"/>
              <w:rPr>
                <w:rFonts w:hint="default" w:ascii="宋体" w:hAnsi="宋体"/>
                <w:color w:val="000000"/>
                <w:kern w:val="0"/>
                <w:lang w:val="en-US" w:eastAsia="zh-CN"/>
              </w:rPr>
            </w:pPr>
            <w:r>
              <w:rPr>
                <w:rFonts w:hint="eastAsia" w:ascii="宋体" w:hAnsi="宋体"/>
                <w:color w:val="000000"/>
                <w:kern w:val="0"/>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7" w:hRule="atLeast"/>
          <w:jc w:val="center"/>
        </w:trPr>
        <w:tc>
          <w:tcPr>
            <w:tcW w:w="1036" w:type="dxa"/>
            <w:vMerge w:val="restart"/>
            <w:vAlign w:val="center"/>
          </w:tcPr>
          <w:p>
            <w:pPr>
              <w:widowControl/>
              <w:jc w:val="center"/>
              <w:textAlignment w:val="center"/>
              <w:rPr>
                <w:rFonts w:ascii="宋体" w:hAnsi="宋体" w:cs="Calibri"/>
                <w:color w:val="000000"/>
                <w:kern w:val="0"/>
                <w:szCs w:val="21"/>
              </w:rPr>
            </w:pPr>
            <w:r>
              <w:rPr>
                <w:rFonts w:hint="eastAsia" w:ascii="宋体" w:hAnsi="宋体"/>
                <w:color w:val="000000"/>
              </w:rPr>
              <w:t>服务质量指标（</w:t>
            </w:r>
            <w:r>
              <w:rPr>
                <w:rFonts w:hint="eastAsia" w:ascii="宋体" w:hAnsi="宋体"/>
                <w:color w:val="000000"/>
                <w:lang w:val="en-US" w:eastAsia="zh-CN"/>
              </w:rPr>
              <w:t>40</w:t>
            </w:r>
            <w:r>
              <w:rPr>
                <w:rFonts w:hint="eastAsia" w:ascii="宋体" w:hAnsi="宋体"/>
                <w:color w:val="000000"/>
              </w:rPr>
              <w:t>%）</w:t>
            </w:r>
          </w:p>
        </w:tc>
        <w:tc>
          <w:tcPr>
            <w:tcW w:w="2694" w:type="dxa"/>
            <w:vAlign w:val="center"/>
          </w:tcPr>
          <w:p>
            <w:pPr>
              <w:widowControl/>
              <w:textAlignment w:val="center"/>
              <w:rPr>
                <w:rFonts w:ascii="宋体" w:hAnsi="宋体" w:cs="Calibri"/>
                <w:color w:val="000000"/>
                <w:kern w:val="0"/>
                <w:szCs w:val="21"/>
              </w:rPr>
            </w:pPr>
            <w:r>
              <w:rPr>
                <w:rFonts w:hint="eastAsia" w:ascii="宋体" w:hAnsi="宋体" w:cs="Calibri"/>
                <w:color w:val="000000"/>
                <w:szCs w:val="21"/>
                <w:lang w:val="en-US" w:eastAsia="zh-CN"/>
              </w:rPr>
              <w:t>7</w:t>
            </w:r>
            <w:r>
              <w:rPr>
                <w:rFonts w:hint="eastAsia" w:ascii="宋体" w:hAnsi="宋体" w:cs="Calibri"/>
                <w:color w:val="000000"/>
                <w:szCs w:val="21"/>
              </w:rPr>
              <w:t>.</w:t>
            </w:r>
            <w:r>
              <w:rPr>
                <w:rFonts w:ascii="宋体" w:hAnsi="宋体" w:cs="Calibri"/>
                <w:color w:val="000000"/>
                <w:szCs w:val="21"/>
              </w:rPr>
              <w:t>数字财政电子化业务保障</w:t>
            </w:r>
          </w:p>
        </w:tc>
        <w:tc>
          <w:tcPr>
            <w:tcW w:w="4073" w:type="dxa"/>
            <w:vAlign w:val="center"/>
          </w:tcPr>
          <w:p>
            <w:pPr>
              <w:widowControl/>
              <w:textAlignment w:val="center"/>
              <w:rPr>
                <w:rFonts w:ascii="宋体" w:hAnsi="宋体" w:cs="Calibri"/>
                <w:color w:val="000000"/>
                <w:kern w:val="0"/>
                <w:szCs w:val="21"/>
              </w:rPr>
            </w:pPr>
            <w:r>
              <w:rPr>
                <w:rFonts w:hint="eastAsia" w:ascii="宋体" w:hAnsi="宋体" w:cs="Calibri"/>
                <w:color w:val="000000"/>
                <w:kern w:val="0"/>
                <w:szCs w:val="21"/>
              </w:rPr>
              <w:t>投标人在</w:t>
            </w:r>
            <w:r>
              <w:rPr>
                <w:rFonts w:ascii="宋体" w:hAnsi="宋体" w:cs="Calibri"/>
                <w:color w:val="000000"/>
                <w:kern w:val="0"/>
                <w:szCs w:val="21"/>
              </w:rPr>
              <w:t>2023年5月31日前已完成数字财政国库支付</w:t>
            </w:r>
            <w:r>
              <w:rPr>
                <w:rFonts w:hint="eastAsia" w:ascii="宋体" w:hAnsi="宋体" w:cs="Calibri"/>
                <w:color w:val="000000"/>
                <w:kern w:val="0"/>
                <w:szCs w:val="21"/>
              </w:rPr>
              <w:t>电子化全业务全流程贯通上线的，得</w:t>
            </w:r>
            <w:r>
              <w:rPr>
                <w:rFonts w:ascii="宋体" w:hAnsi="宋体" w:cs="Calibri"/>
                <w:color w:val="000000"/>
                <w:kern w:val="0"/>
                <w:szCs w:val="21"/>
              </w:rPr>
              <w:t>100分，已通过数字财政国库支付电子化部分业务联调测试的，得90分，否则不得分。（以江门市财政局出具的《关于截至2023年5月底江门市本级各代理银行开展数字财政国库支付电子化业务进展情况的通报》为依据）</w:t>
            </w:r>
          </w:p>
        </w:tc>
        <w:tc>
          <w:tcPr>
            <w:tcW w:w="791" w:type="dxa"/>
            <w:vAlign w:val="center"/>
          </w:tcPr>
          <w:p>
            <w:pPr>
              <w:widowControl/>
              <w:jc w:val="center"/>
              <w:textAlignment w:val="center"/>
              <w:rPr>
                <w:rFonts w:ascii="宋体" w:hAnsi="宋体" w:cs="Calibri"/>
                <w:color w:val="000000"/>
                <w:kern w:val="0"/>
                <w:szCs w:val="21"/>
              </w:rPr>
            </w:pPr>
            <w:r>
              <w:rPr>
                <w:rFonts w:hint="eastAsia" w:ascii="宋体" w:hAnsi="宋体"/>
                <w:color w:val="000000"/>
                <w:kern w:val="0"/>
                <w:lang w:val="en-US" w:eastAsia="zh-CN"/>
              </w:rPr>
              <w:t>5</w:t>
            </w:r>
            <w:r>
              <w:rPr>
                <w:rFonts w:hint="eastAsia" w:ascii="宋体" w:hAnsi="宋体"/>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7" w:hRule="atLeast"/>
          <w:jc w:val="center"/>
        </w:trPr>
        <w:tc>
          <w:tcPr>
            <w:tcW w:w="1036" w:type="dxa"/>
            <w:vMerge w:val="continue"/>
            <w:vAlign w:val="center"/>
          </w:tcPr>
          <w:p>
            <w:pPr>
              <w:widowControl/>
              <w:jc w:val="left"/>
              <w:rPr>
                <w:rFonts w:ascii="宋体" w:hAnsi="宋体" w:cs="Calibri"/>
                <w:color w:val="000000"/>
                <w:kern w:val="0"/>
                <w:szCs w:val="21"/>
              </w:rPr>
            </w:pPr>
          </w:p>
        </w:tc>
        <w:tc>
          <w:tcPr>
            <w:tcW w:w="2694" w:type="dxa"/>
            <w:vAlign w:val="center"/>
          </w:tcPr>
          <w:p>
            <w:pPr>
              <w:widowControl/>
              <w:textAlignment w:val="center"/>
              <w:rPr>
                <w:rFonts w:ascii="宋体" w:hAnsi="宋体" w:cs="Calibri"/>
                <w:color w:val="000000"/>
                <w:szCs w:val="21"/>
              </w:rPr>
            </w:pPr>
            <w:r>
              <w:rPr>
                <w:rFonts w:hint="eastAsia" w:ascii="宋体" w:hAnsi="宋体"/>
                <w:color w:val="000000"/>
                <w:kern w:val="0"/>
                <w:lang w:val="en-US" w:eastAsia="zh-CN"/>
              </w:rPr>
              <w:t>8</w:t>
            </w:r>
            <w:r>
              <w:rPr>
                <w:rFonts w:hint="eastAsia" w:ascii="宋体" w:hAnsi="宋体"/>
                <w:color w:val="000000"/>
                <w:kern w:val="0"/>
              </w:rPr>
              <w:t>.截止202</w:t>
            </w:r>
            <w:r>
              <w:rPr>
                <w:rFonts w:hint="eastAsia" w:ascii="宋体" w:hAnsi="宋体"/>
                <w:color w:val="000000"/>
                <w:kern w:val="0"/>
                <w:lang w:val="en-US" w:eastAsia="zh-CN"/>
              </w:rPr>
              <w:t>2</w:t>
            </w:r>
            <w:r>
              <w:rPr>
                <w:rFonts w:hint="eastAsia" w:ascii="宋体" w:hAnsi="宋体"/>
                <w:color w:val="000000"/>
                <w:kern w:val="0"/>
              </w:rPr>
              <w:t>年12月31日投标人在江门市内设立的营业网点数及自助银行数总和</w:t>
            </w:r>
          </w:p>
        </w:tc>
        <w:tc>
          <w:tcPr>
            <w:tcW w:w="4073" w:type="dxa"/>
            <w:vAlign w:val="center"/>
          </w:tcPr>
          <w:p>
            <w:pPr>
              <w:widowControl/>
              <w:textAlignment w:val="center"/>
              <w:rPr>
                <w:rFonts w:hint="eastAsia" w:ascii="宋体" w:hAnsi="宋体" w:cs="Calibri"/>
                <w:color w:val="000000"/>
                <w:kern w:val="0"/>
                <w:szCs w:val="21"/>
              </w:rPr>
            </w:pPr>
            <w:r>
              <w:rPr>
                <w:rFonts w:hint="eastAsia" w:ascii="宋体" w:hAnsi="宋体" w:cs="Calibri"/>
                <w:color w:val="000000"/>
                <w:kern w:val="0"/>
                <w:szCs w:val="21"/>
              </w:rPr>
              <w:t>满分为100分。所有投标人中网点数最高者为第一名得满分，其他按照与第一名的百分比折算。（以投标人上报银监局的非现场监管系统数据为准，投标人需提供报表系统数据截图作为依据，不提供截图不得分）</w:t>
            </w:r>
          </w:p>
          <w:p>
            <w:pPr>
              <w:widowControl/>
              <w:textAlignment w:val="center"/>
              <w:rPr>
                <w:rFonts w:ascii="宋体" w:hAnsi="宋体" w:cs="Calibri"/>
                <w:color w:val="000000"/>
                <w:kern w:val="0"/>
                <w:szCs w:val="21"/>
              </w:rPr>
            </w:pPr>
            <w:r>
              <w:rPr>
                <w:rFonts w:hint="eastAsia" w:ascii="宋体" w:hAnsi="宋体" w:cs="Calibri"/>
                <w:color w:val="000000"/>
                <w:kern w:val="0"/>
                <w:szCs w:val="21"/>
              </w:rPr>
              <w:t>自助银行为在银行营业场所外设立的具有独立营业场所、供存取款、贷款、转账、货币兑换和查询等金融服务功能的无人营业网点，但在商场、酒店、企事业单位等建筑物内放置的，仅提供取款、转账、查询服务的自动取款机除外营业网点为即机构数，不含自助银行数。</w:t>
            </w:r>
          </w:p>
        </w:tc>
        <w:tc>
          <w:tcPr>
            <w:tcW w:w="791" w:type="dxa"/>
            <w:vAlign w:val="center"/>
          </w:tcPr>
          <w:p>
            <w:pPr>
              <w:widowControl/>
              <w:jc w:val="center"/>
              <w:textAlignment w:val="center"/>
              <w:rPr>
                <w:rFonts w:ascii="宋体" w:hAnsi="宋体" w:cs="Calibri"/>
                <w:color w:val="000000"/>
                <w:kern w:val="0"/>
                <w:szCs w:val="21"/>
              </w:rPr>
            </w:pPr>
            <w:r>
              <w:rPr>
                <w:rFonts w:hint="eastAsia" w:ascii="宋体" w:hAnsi="宋体"/>
                <w:color w:val="000000"/>
                <w:kern w:val="0"/>
                <w:lang w:val="en-US" w:eastAsia="zh-CN"/>
              </w:rPr>
              <w:t>20</w:t>
            </w:r>
            <w:r>
              <w:rPr>
                <w:rFonts w:hint="eastAsia" w:ascii="宋体" w:hAnsi="宋体"/>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7" w:hRule="atLeast"/>
          <w:jc w:val="center"/>
        </w:trPr>
        <w:tc>
          <w:tcPr>
            <w:tcW w:w="1036" w:type="dxa"/>
            <w:vMerge w:val="continue"/>
            <w:vAlign w:val="center"/>
          </w:tcPr>
          <w:p>
            <w:pPr>
              <w:widowControl/>
              <w:jc w:val="left"/>
              <w:rPr>
                <w:rFonts w:ascii="宋体" w:hAnsi="宋体" w:cs="Calibri"/>
                <w:color w:val="000000"/>
                <w:kern w:val="0"/>
                <w:szCs w:val="21"/>
              </w:rPr>
            </w:pPr>
          </w:p>
        </w:tc>
        <w:tc>
          <w:tcPr>
            <w:tcW w:w="2694" w:type="dxa"/>
            <w:vAlign w:val="center"/>
          </w:tcPr>
          <w:p>
            <w:pPr>
              <w:widowControl/>
              <w:textAlignment w:val="center"/>
              <w:rPr>
                <w:rFonts w:ascii="宋体" w:hAnsi="宋体" w:cs="Calibri"/>
                <w:color w:val="000000"/>
                <w:kern w:val="0"/>
                <w:szCs w:val="21"/>
              </w:rPr>
            </w:pPr>
            <w:r>
              <w:rPr>
                <w:rFonts w:hint="eastAsia" w:ascii="宋体" w:hAnsi="宋体"/>
                <w:color w:val="000000"/>
                <w:kern w:val="0"/>
                <w:lang w:val="en-US" w:eastAsia="zh-CN"/>
              </w:rPr>
              <w:t>9</w:t>
            </w:r>
            <w:r>
              <w:rPr>
                <w:rFonts w:hint="eastAsia" w:ascii="宋体" w:hAnsi="宋体"/>
                <w:color w:val="000000"/>
                <w:kern w:val="0"/>
              </w:rPr>
              <w:t>.是否可减免账户费用</w:t>
            </w:r>
          </w:p>
        </w:tc>
        <w:tc>
          <w:tcPr>
            <w:tcW w:w="4073" w:type="dxa"/>
            <w:vAlign w:val="center"/>
          </w:tcPr>
          <w:p>
            <w:pPr>
              <w:widowControl/>
              <w:textAlignment w:val="center"/>
              <w:rPr>
                <w:rFonts w:hint="eastAsia" w:ascii="宋体" w:hAnsi="宋体" w:eastAsia="宋体" w:cs="Calibri"/>
                <w:color w:val="000000"/>
                <w:kern w:val="0"/>
                <w:szCs w:val="21"/>
                <w:lang w:eastAsia="zh-CN"/>
              </w:rPr>
            </w:pPr>
            <w:r>
              <w:rPr>
                <w:rFonts w:hint="eastAsia" w:ascii="宋体" w:hAnsi="宋体"/>
                <w:color w:val="000000"/>
                <w:kern w:val="0"/>
              </w:rPr>
              <w:t>满分为10</w:t>
            </w:r>
            <w:r>
              <w:rPr>
                <w:rFonts w:hint="eastAsia" w:ascii="宋体" w:hAnsi="宋体"/>
                <w:color w:val="000000"/>
                <w:kern w:val="0"/>
                <w:lang w:val="en-US" w:eastAsia="zh-CN"/>
              </w:rPr>
              <w:t>0</w:t>
            </w:r>
            <w:r>
              <w:rPr>
                <w:rFonts w:hint="eastAsia" w:ascii="宋体" w:hAnsi="宋体"/>
                <w:color w:val="000000"/>
                <w:kern w:val="0"/>
              </w:rPr>
              <w:t>分。可减免账户费用的得10</w:t>
            </w:r>
            <w:r>
              <w:rPr>
                <w:rFonts w:hint="eastAsia" w:ascii="宋体" w:hAnsi="宋体"/>
                <w:color w:val="000000"/>
                <w:kern w:val="0"/>
                <w:lang w:val="en-US" w:eastAsia="zh-CN"/>
              </w:rPr>
              <w:t>0</w:t>
            </w:r>
            <w:r>
              <w:rPr>
                <w:rFonts w:hint="eastAsia" w:ascii="宋体" w:hAnsi="宋体"/>
                <w:color w:val="000000"/>
                <w:kern w:val="0"/>
              </w:rPr>
              <w:t>分，不可减免账户费用的得0分。</w:t>
            </w:r>
            <w:r>
              <w:rPr>
                <w:rFonts w:hint="eastAsia" w:ascii="宋体" w:hAnsi="宋体"/>
                <w:color w:val="000000"/>
                <w:kern w:val="0"/>
                <w:lang w:eastAsia="zh-CN"/>
              </w:rPr>
              <w:t>以投标银行服务承诺为准，不承诺不得分。</w:t>
            </w:r>
          </w:p>
        </w:tc>
        <w:tc>
          <w:tcPr>
            <w:tcW w:w="791" w:type="dxa"/>
            <w:vAlign w:val="center"/>
          </w:tcPr>
          <w:p>
            <w:pPr>
              <w:widowControl/>
              <w:jc w:val="center"/>
              <w:textAlignment w:val="center"/>
              <w:rPr>
                <w:rFonts w:ascii="宋体" w:hAnsi="宋体" w:cs="Calibri"/>
                <w:color w:val="000000"/>
                <w:kern w:val="0"/>
                <w:szCs w:val="21"/>
              </w:rPr>
            </w:pPr>
            <w:r>
              <w:rPr>
                <w:rFonts w:hint="eastAsia" w:ascii="宋体" w:hAnsi="宋体"/>
                <w:color w:val="000000"/>
                <w:kern w:val="0"/>
                <w:lang w:val="en-US" w:eastAsia="zh-CN"/>
              </w:rPr>
              <w:t>5</w:t>
            </w:r>
            <w:r>
              <w:rPr>
                <w:rFonts w:hint="eastAsia" w:ascii="宋体" w:hAnsi="宋体"/>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76" w:hRule="atLeast"/>
          <w:jc w:val="center"/>
        </w:trPr>
        <w:tc>
          <w:tcPr>
            <w:tcW w:w="1036" w:type="dxa"/>
            <w:vMerge w:val="continue"/>
            <w:vAlign w:val="center"/>
          </w:tcPr>
          <w:p>
            <w:pPr>
              <w:widowControl/>
              <w:jc w:val="left"/>
              <w:rPr>
                <w:rFonts w:ascii="宋体" w:hAnsi="宋体" w:cs="Calibri"/>
                <w:color w:val="000000"/>
                <w:kern w:val="0"/>
                <w:szCs w:val="21"/>
              </w:rPr>
            </w:pPr>
          </w:p>
        </w:tc>
        <w:tc>
          <w:tcPr>
            <w:tcW w:w="2694" w:type="dxa"/>
            <w:vAlign w:val="center"/>
          </w:tcPr>
          <w:p>
            <w:pPr>
              <w:widowControl/>
              <w:textAlignment w:val="center"/>
              <w:rPr>
                <w:rFonts w:ascii="宋体" w:hAnsi="宋体" w:cs="Calibri"/>
                <w:color w:val="000000"/>
                <w:szCs w:val="21"/>
              </w:rPr>
            </w:pPr>
            <w:r>
              <w:rPr>
                <w:rFonts w:hint="eastAsia" w:ascii="宋体" w:hAnsi="宋体"/>
                <w:color w:val="000000"/>
                <w:kern w:val="0"/>
                <w:lang w:val="en-US" w:eastAsia="zh-CN"/>
              </w:rPr>
              <w:t>10</w:t>
            </w:r>
            <w:r>
              <w:rPr>
                <w:rFonts w:hint="eastAsia" w:ascii="宋体" w:hAnsi="宋体"/>
                <w:color w:val="000000"/>
                <w:kern w:val="0"/>
              </w:rPr>
              <w:t>.是否具备江门市国库集中收付业务资格</w:t>
            </w:r>
          </w:p>
        </w:tc>
        <w:tc>
          <w:tcPr>
            <w:tcW w:w="4073" w:type="dxa"/>
            <w:vAlign w:val="center"/>
          </w:tcPr>
          <w:p>
            <w:pPr>
              <w:widowControl/>
              <w:textAlignment w:val="center"/>
              <w:rPr>
                <w:rFonts w:hint="eastAsia" w:ascii="宋体" w:hAnsi="宋体" w:eastAsia="宋体" w:cs="Calibri"/>
                <w:color w:val="000000"/>
                <w:kern w:val="0"/>
                <w:szCs w:val="21"/>
                <w:lang w:eastAsia="zh-CN"/>
              </w:rPr>
            </w:pPr>
            <w:r>
              <w:rPr>
                <w:rFonts w:hint="eastAsia" w:ascii="宋体" w:hAnsi="宋体"/>
                <w:color w:val="000000"/>
                <w:kern w:val="0"/>
              </w:rPr>
              <w:t>满分为</w:t>
            </w:r>
            <w:r>
              <w:rPr>
                <w:rFonts w:hint="eastAsia" w:ascii="宋体" w:hAnsi="宋体"/>
                <w:color w:val="000000"/>
                <w:kern w:val="0"/>
                <w:lang w:val="en-US" w:eastAsia="zh-CN"/>
              </w:rPr>
              <w:t>100</w:t>
            </w:r>
            <w:r>
              <w:rPr>
                <w:rFonts w:hint="eastAsia" w:ascii="宋体" w:hAnsi="宋体"/>
                <w:color w:val="000000"/>
                <w:kern w:val="0"/>
              </w:rPr>
              <w:t>分。具备江门市国库集中支付业务资格的得</w:t>
            </w:r>
            <w:r>
              <w:rPr>
                <w:rFonts w:hint="eastAsia" w:ascii="宋体" w:hAnsi="宋体"/>
                <w:color w:val="000000"/>
                <w:kern w:val="0"/>
                <w:lang w:val="en-US" w:eastAsia="zh-CN"/>
              </w:rPr>
              <w:t>100</w:t>
            </w:r>
            <w:r>
              <w:rPr>
                <w:rFonts w:hint="eastAsia" w:ascii="宋体" w:hAnsi="宋体"/>
                <w:color w:val="000000"/>
                <w:kern w:val="0"/>
              </w:rPr>
              <w:t>分，不具备江门市国库集中支付业务资格的得0分。</w:t>
            </w:r>
            <w:r>
              <w:rPr>
                <w:rFonts w:hint="eastAsia" w:ascii="宋体" w:hAnsi="宋体"/>
                <w:color w:val="000000"/>
                <w:kern w:val="0"/>
                <w:lang w:eastAsia="zh-CN"/>
              </w:rPr>
              <w:t>以中国人民银行江门市中心支行出具的证明材料为准。</w:t>
            </w:r>
          </w:p>
        </w:tc>
        <w:tc>
          <w:tcPr>
            <w:tcW w:w="791" w:type="dxa"/>
            <w:vAlign w:val="center"/>
          </w:tcPr>
          <w:p>
            <w:pPr>
              <w:widowControl/>
              <w:jc w:val="center"/>
              <w:textAlignment w:val="center"/>
              <w:rPr>
                <w:rFonts w:ascii="宋体" w:hAnsi="宋体" w:cs="Calibri"/>
                <w:color w:val="000000"/>
                <w:kern w:val="0"/>
                <w:szCs w:val="21"/>
              </w:rPr>
            </w:pPr>
            <w:r>
              <w:rPr>
                <w:rFonts w:hint="eastAsia" w:ascii="宋体" w:hAnsi="宋体"/>
                <w:color w:val="000000"/>
                <w:kern w:val="0"/>
                <w:lang w:val="en-US" w:eastAsia="zh-CN"/>
              </w:rPr>
              <w:t>5</w:t>
            </w:r>
            <w:r>
              <w:rPr>
                <w:rFonts w:hint="eastAsia" w:ascii="宋体" w:hAns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036" w:type="dxa"/>
            <w:vMerge w:val="continue"/>
            <w:vAlign w:val="center"/>
          </w:tcPr>
          <w:p>
            <w:pPr>
              <w:widowControl/>
              <w:jc w:val="left"/>
              <w:rPr>
                <w:rFonts w:ascii="宋体" w:hAnsi="宋体" w:cs="Calibri"/>
                <w:color w:val="000000"/>
                <w:kern w:val="0"/>
                <w:szCs w:val="21"/>
              </w:rPr>
            </w:pPr>
          </w:p>
        </w:tc>
        <w:tc>
          <w:tcPr>
            <w:tcW w:w="2694" w:type="dxa"/>
            <w:vAlign w:val="center"/>
          </w:tcPr>
          <w:p>
            <w:pPr>
              <w:widowControl/>
              <w:textAlignment w:val="center"/>
              <w:rPr>
                <w:rFonts w:ascii="宋体" w:hAnsi="宋体" w:cs="Calibri"/>
                <w:color w:val="000000"/>
                <w:szCs w:val="21"/>
              </w:rPr>
            </w:pPr>
            <w:r>
              <w:rPr>
                <w:rFonts w:hint="eastAsia" w:ascii="宋体" w:hAnsi="宋体"/>
                <w:color w:val="000000"/>
                <w:kern w:val="0"/>
                <w:lang w:val="en-US" w:eastAsia="zh-CN"/>
              </w:rPr>
              <w:t>11</w:t>
            </w:r>
            <w:r>
              <w:rPr>
                <w:rFonts w:hint="eastAsia" w:ascii="宋体" w:hAnsi="宋体"/>
                <w:color w:val="000000"/>
                <w:kern w:val="0"/>
              </w:rPr>
              <w:t>.是否具备江门市财政统发工资资格</w:t>
            </w:r>
          </w:p>
        </w:tc>
        <w:tc>
          <w:tcPr>
            <w:tcW w:w="4073" w:type="dxa"/>
            <w:vAlign w:val="center"/>
          </w:tcPr>
          <w:p>
            <w:pPr>
              <w:widowControl/>
              <w:textAlignment w:val="center"/>
              <w:rPr>
                <w:rFonts w:hint="eastAsia" w:ascii="宋体" w:hAnsi="宋体" w:eastAsia="宋体" w:cs="Calibri"/>
                <w:color w:val="000000"/>
                <w:kern w:val="0"/>
                <w:szCs w:val="21"/>
                <w:lang w:eastAsia="zh-CN"/>
              </w:rPr>
            </w:pPr>
            <w:r>
              <w:rPr>
                <w:rFonts w:hint="eastAsia" w:ascii="宋体" w:hAnsi="宋体"/>
                <w:color w:val="000000"/>
                <w:kern w:val="0"/>
              </w:rPr>
              <w:t>满分为</w:t>
            </w:r>
            <w:r>
              <w:rPr>
                <w:rFonts w:hint="eastAsia" w:ascii="宋体" w:hAnsi="宋体"/>
                <w:color w:val="000000"/>
                <w:kern w:val="0"/>
                <w:lang w:val="en-US" w:eastAsia="zh-CN"/>
              </w:rPr>
              <w:t>100</w:t>
            </w:r>
            <w:r>
              <w:rPr>
                <w:rFonts w:hint="eastAsia" w:ascii="宋体" w:hAnsi="宋体"/>
                <w:color w:val="000000"/>
                <w:kern w:val="0"/>
              </w:rPr>
              <w:t>分，具备代理江门市财政统发工资资格的得</w:t>
            </w:r>
            <w:r>
              <w:rPr>
                <w:rFonts w:hint="eastAsia" w:ascii="宋体" w:hAnsi="宋体"/>
                <w:color w:val="000000"/>
                <w:kern w:val="0"/>
                <w:lang w:val="en-US" w:eastAsia="zh-CN"/>
              </w:rPr>
              <w:t>100</w:t>
            </w:r>
            <w:r>
              <w:rPr>
                <w:rFonts w:hint="eastAsia" w:ascii="宋体" w:hAnsi="宋体"/>
                <w:color w:val="000000"/>
                <w:kern w:val="0"/>
              </w:rPr>
              <w:t>分，不具备代理江门市财政统发工资资格的得0分。</w:t>
            </w:r>
            <w:r>
              <w:rPr>
                <w:rFonts w:hint="eastAsia" w:ascii="宋体" w:hAnsi="宋体"/>
                <w:color w:val="000000"/>
                <w:kern w:val="0"/>
                <w:lang w:eastAsia="zh-CN"/>
              </w:rPr>
              <w:t>以江门市财政局提供的</w:t>
            </w:r>
            <w:r>
              <w:rPr>
                <w:rFonts w:hint="eastAsia" w:ascii="宋体" w:hAnsi="宋体"/>
                <w:color w:val="000000"/>
                <w:kern w:val="0"/>
              </w:rPr>
              <w:t>江</w:t>
            </w:r>
            <w:r>
              <w:rPr>
                <w:rFonts w:hint="eastAsia" w:ascii="宋体" w:hAnsi="宋体"/>
                <w:color w:val="000000"/>
                <w:kern w:val="0"/>
                <w:lang w:eastAsia="zh-CN"/>
              </w:rPr>
              <w:t>门</w:t>
            </w:r>
            <w:r>
              <w:rPr>
                <w:rFonts w:hint="eastAsia" w:ascii="宋体" w:hAnsi="宋体"/>
                <w:color w:val="000000"/>
                <w:kern w:val="0"/>
              </w:rPr>
              <w:t>市直财政统发⼯资服务资格</w:t>
            </w:r>
            <w:r>
              <w:rPr>
                <w:rFonts w:hint="eastAsia" w:ascii="宋体" w:hAnsi="宋体"/>
                <w:color w:val="000000"/>
                <w:kern w:val="0"/>
                <w:lang w:eastAsia="zh-CN"/>
              </w:rPr>
              <w:t>中标公告文件为准。</w:t>
            </w:r>
          </w:p>
        </w:tc>
        <w:tc>
          <w:tcPr>
            <w:tcW w:w="791" w:type="dxa"/>
            <w:vAlign w:val="center"/>
          </w:tcPr>
          <w:p>
            <w:pPr>
              <w:widowControl/>
              <w:jc w:val="center"/>
              <w:textAlignment w:val="center"/>
              <w:rPr>
                <w:rFonts w:ascii="宋体" w:hAnsi="宋体" w:cs="Calibri"/>
                <w:color w:val="000000"/>
                <w:kern w:val="0"/>
                <w:szCs w:val="21"/>
              </w:rPr>
            </w:pPr>
            <w:r>
              <w:rPr>
                <w:rFonts w:hint="eastAsia" w:ascii="宋体" w:hAnsi="宋体"/>
                <w:color w:val="000000"/>
                <w:kern w:val="0"/>
                <w:lang w:val="en-US" w:eastAsia="zh-CN"/>
              </w:rPr>
              <w:t>5</w:t>
            </w:r>
            <w:r>
              <w:rPr>
                <w:rFonts w:hint="eastAsia" w:ascii="宋体" w:hAnsi="宋体"/>
                <w:color w:val="000000"/>
              </w:rPr>
              <w:t>%</w:t>
            </w:r>
          </w:p>
        </w:tc>
      </w:tr>
    </w:tbl>
    <w:p>
      <w:pPr>
        <w:jc w:val="left"/>
        <w:rPr>
          <w:rFonts w:hint="eastAsia" w:ascii="宋体" w:hAnsi="宋体"/>
          <w:sz w:val="32"/>
          <w:szCs w:val="32"/>
        </w:rPr>
      </w:pPr>
      <w:r>
        <w:rPr>
          <w:rFonts w:hint="eastAsia" w:ascii="黑体" w:hAnsi="黑体" w:eastAsia="黑体"/>
          <w:sz w:val="32"/>
          <w:szCs w:val="32"/>
        </w:rPr>
        <w:t xml:space="preserve"> </w:t>
      </w:r>
      <w:r>
        <w:rPr>
          <w:rFonts w:hint="eastAsia" w:ascii="宋体" w:hAnsi="宋体"/>
          <w:sz w:val="32"/>
          <w:szCs w:val="32"/>
        </w:rPr>
        <w:t>附件</w:t>
      </w:r>
      <w:r>
        <w:rPr>
          <w:sz w:val="32"/>
          <w:szCs w:val="32"/>
        </w:rPr>
        <w:t>3</w:t>
      </w:r>
    </w:p>
    <w:p>
      <w:pPr>
        <w:jc w:val="center"/>
        <w:rPr>
          <w:rFonts w:hint="eastAsia" w:ascii="宋体" w:hAnsi="宋体"/>
          <w:sz w:val="22"/>
          <w:szCs w:val="22"/>
        </w:rPr>
      </w:pPr>
      <w:r>
        <w:rPr>
          <w:rFonts w:hint="eastAsia" w:ascii="宋体" w:hAnsi="宋体"/>
          <w:bCs/>
          <w:sz w:val="28"/>
          <w:szCs w:val="28"/>
        </w:rPr>
        <w:t>数据采集表</w:t>
      </w:r>
    </w:p>
    <w:tbl>
      <w:tblPr>
        <w:tblStyle w:val="4"/>
        <w:tblW w:w="9469" w:type="dxa"/>
        <w:tblInd w:w="-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3550"/>
        <w:gridCol w:w="1637"/>
        <w:gridCol w:w="4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7" w:hRule="atLeast"/>
        </w:trPr>
        <w:tc>
          <w:tcPr>
            <w:tcW w:w="3550" w:type="dxa"/>
            <w:vAlign w:val="center"/>
          </w:tcPr>
          <w:p>
            <w:pPr>
              <w:widowControl/>
              <w:ind w:right="502" w:rightChars="239"/>
              <w:jc w:val="center"/>
              <w:textAlignment w:val="center"/>
              <w:rPr>
                <w:rFonts w:ascii="宋体" w:hAnsi="宋体" w:cs="Calibri"/>
                <w:b/>
                <w:bCs/>
                <w:color w:val="000000"/>
                <w:szCs w:val="21"/>
              </w:rPr>
            </w:pPr>
            <w:r>
              <w:rPr>
                <w:rFonts w:hint="eastAsia" w:ascii="宋体" w:hAnsi="宋体"/>
                <w:b/>
                <w:bCs/>
                <w:color w:val="000000"/>
              </w:rPr>
              <w:t>项目</w:t>
            </w:r>
          </w:p>
        </w:tc>
        <w:tc>
          <w:tcPr>
            <w:tcW w:w="1637" w:type="dxa"/>
            <w:vAlign w:val="center"/>
          </w:tcPr>
          <w:p>
            <w:pPr>
              <w:widowControl/>
              <w:jc w:val="center"/>
              <w:textAlignment w:val="center"/>
              <w:rPr>
                <w:rFonts w:ascii="宋体" w:hAnsi="宋体" w:cs="Calibri"/>
                <w:b/>
                <w:bCs/>
                <w:color w:val="000000"/>
                <w:kern w:val="0"/>
                <w:szCs w:val="21"/>
              </w:rPr>
            </w:pPr>
            <w:r>
              <w:rPr>
                <w:rFonts w:hint="eastAsia" w:ascii="宋体" w:hAnsi="宋体"/>
                <w:b/>
                <w:bCs/>
                <w:color w:val="000000"/>
                <w:kern w:val="0"/>
              </w:rPr>
              <w:t>内容</w:t>
            </w:r>
          </w:p>
        </w:tc>
        <w:tc>
          <w:tcPr>
            <w:tcW w:w="4282" w:type="dxa"/>
            <w:vAlign w:val="center"/>
          </w:tcPr>
          <w:p>
            <w:pPr>
              <w:widowControl/>
              <w:jc w:val="center"/>
              <w:textAlignment w:val="center"/>
              <w:rPr>
                <w:rFonts w:ascii="宋体" w:hAnsi="宋体" w:cs="Calibri"/>
                <w:b/>
                <w:bCs/>
                <w:color w:val="000000"/>
                <w:kern w:val="0"/>
                <w:szCs w:val="21"/>
              </w:rPr>
            </w:pPr>
            <w:r>
              <w:rPr>
                <w:rFonts w:hint="eastAsia" w:ascii="宋体" w:hAnsi="宋体"/>
                <w:b/>
                <w:bCs/>
                <w:color w:val="000000"/>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3550" w:type="dxa"/>
            <w:vAlign w:val="center"/>
          </w:tcPr>
          <w:p>
            <w:pPr>
              <w:widowControl/>
              <w:textAlignment w:val="center"/>
              <w:rPr>
                <w:rFonts w:ascii="宋体" w:hAnsi="宋体" w:cs="Calibri"/>
                <w:color w:val="000000"/>
                <w:szCs w:val="21"/>
              </w:rPr>
            </w:pPr>
            <w:r>
              <w:rPr>
                <w:rFonts w:hint="eastAsia" w:ascii="宋体" w:hAnsi="宋体"/>
                <w:color w:val="000000"/>
              </w:rPr>
              <w:t>1.各项存款：截止2022年12月31日投标人的各项存款余额（万元）</w:t>
            </w:r>
          </w:p>
        </w:tc>
        <w:tc>
          <w:tcPr>
            <w:tcW w:w="1637" w:type="dxa"/>
            <w:vAlign w:val="center"/>
          </w:tcPr>
          <w:p>
            <w:pPr>
              <w:widowControl/>
              <w:jc w:val="center"/>
              <w:textAlignment w:val="center"/>
              <w:rPr>
                <w:rFonts w:ascii="宋体" w:hAnsi="宋体" w:cs="Calibri"/>
                <w:color w:val="000000"/>
                <w:kern w:val="0"/>
                <w:szCs w:val="21"/>
              </w:rPr>
            </w:pPr>
          </w:p>
        </w:tc>
        <w:tc>
          <w:tcPr>
            <w:tcW w:w="4282" w:type="dxa"/>
            <w:vAlign w:val="center"/>
          </w:tcPr>
          <w:p>
            <w:pPr>
              <w:widowControl/>
              <w:textAlignment w:val="center"/>
              <w:rPr>
                <w:rFonts w:ascii="宋体" w:hAnsi="宋体" w:cs="Calibri"/>
                <w:color w:val="000000"/>
                <w:kern w:val="0"/>
                <w:szCs w:val="21"/>
              </w:rPr>
            </w:pPr>
            <w:r>
              <w:rPr>
                <w:rFonts w:hint="eastAsia" w:ascii="宋体" w:hAnsi="宋体" w:cs="Calibri"/>
                <w:color w:val="000000"/>
                <w:kern w:val="0"/>
                <w:szCs w:val="21"/>
              </w:rPr>
              <w:t>以投标人上报人民银行的金融统计监测管理信息系统数据为准，按人民银行金融统计制度本外币口径填报，投标人需提供报表系统数据截图作为依据，不提供截图不得分）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3550" w:type="dxa"/>
            <w:vAlign w:val="center"/>
          </w:tcPr>
          <w:p>
            <w:pPr>
              <w:widowControl/>
              <w:textAlignment w:val="center"/>
              <w:rPr>
                <w:rFonts w:ascii="宋体" w:hAnsi="宋体" w:cs="Calibri"/>
                <w:color w:val="000000"/>
                <w:szCs w:val="21"/>
              </w:rPr>
            </w:pPr>
            <w:r>
              <w:rPr>
                <w:rFonts w:hint="eastAsia" w:ascii="宋体" w:hAnsi="宋体"/>
                <w:color w:val="000000"/>
                <w:lang w:val="en-US" w:eastAsia="zh-CN"/>
              </w:rPr>
              <w:t>2.</w:t>
            </w:r>
            <w:r>
              <w:rPr>
                <w:rFonts w:hint="eastAsia" w:ascii="宋体" w:hAnsi="宋体"/>
                <w:color w:val="000000"/>
              </w:rPr>
              <w:t>各项贷款：截止2022年12月31日投标人的各项贷款余额（万元）。</w:t>
            </w:r>
          </w:p>
        </w:tc>
        <w:tc>
          <w:tcPr>
            <w:tcW w:w="1637" w:type="dxa"/>
            <w:vAlign w:val="center"/>
          </w:tcPr>
          <w:p>
            <w:pPr>
              <w:widowControl/>
              <w:jc w:val="center"/>
              <w:textAlignment w:val="center"/>
              <w:rPr>
                <w:rFonts w:ascii="宋体" w:hAnsi="宋体" w:cs="Calibri"/>
                <w:color w:val="000000"/>
                <w:kern w:val="0"/>
                <w:szCs w:val="21"/>
              </w:rPr>
            </w:pPr>
          </w:p>
        </w:tc>
        <w:tc>
          <w:tcPr>
            <w:tcW w:w="4282" w:type="dxa"/>
            <w:vAlign w:val="center"/>
          </w:tcPr>
          <w:p>
            <w:pPr>
              <w:widowControl/>
              <w:textAlignment w:val="center"/>
              <w:rPr>
                <w:rFonts w:ascii="宋体" w:hAnsi="宋体" w:cs="Calibri"/>
                <w:color w:val="000000"/>
                <w:kern w:val="0"/>
                <w:szCs w:val="21"/>
              </w:rPr>
            </w:pPr>
            <w:r>
              <w:rPr>
                <w:rFonts w:hint="eastAsia" w:ascii="宋体" w:hAnsi="宋体" w:cs="Calibri"/>
                <w:color w:val="000000"/>
                <w:kern w:val="0"/>
                <w:szCs w:val="21"/>
              </w:rPr>
              <w:t>以投标人上报人民银行的金融统计监测管理信息系统数据为准，按人民银行金融统计制度本外币口径填报，投标人需提供报表系统数据截图作为依据，不提供截图不得分</w:t>
            </w:r>
            <w:r>
              <w:rPr>
                <w:rFonts w:hint="eastAsia" w:ascii="宋体" w:hAnsi="宋体"/>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3550" w:type="dxa"/>
            <w:vAlign w:val="center"/>
          </w:tcPr>
          <w:p>
            <w:pPr>
              <w:widowControl/>
              <w:textAlignment w:val="center"/>
              <w:rPr>
                <w:rFonts w:hint="eastAsia" w:ascii="宋体" w:hAnsi="宋体" w:eastAsia="宋体" w:cs="Calibri"/>
                <w:color w:val="000000"/>
                <w:kern w:val="2"/>
                <w:sz w:val="21"/>
                <w:szCs w:val="21"/>
                <w:lang w:val="en-US" w:eastAsia="zh-CN" w:bidi="ar-SA"/>
              </w:rPr>
            </w:pPr>
            <w:r>
              <w:rPr>
                <w:rFonts w:hint="eastAsia" w:ascii="宋体" w:hAnsi="宋体"/>
                <w:color w:val="000000"/>
              </w:rPr>
              <w:t>3.</w:t>
            </w:r>
            <w:r>
              <w:rPr>
                <w:rFonts w:hint="eastAsia" w:ascii="宋体" w:hAnsi="宋体"/>
                <w:color w:val="000000"/>
                <w:kern w:val="0"/>
                <w:lang w:val="en-US" w:eastAsia="zh-CN"/>
              </w:rPr>
              <w:t>增值保值（六个月增加基点）（BP）</w:t>
            </w:r>
          </w:p>
        </w:tc>
        <w:tc>
          <w:tcPr>
            <w:tcW w:w="1637" w:type="dxa"/>
            <w:vAlign w:val="center"/>
          </w:tcPr>
          <w:p>
            <w:pPr>
              <w:widowControl/>
              <w:jc w:val="center"/>
              <w:textAlignment w:val="center"/>
              <w:rPr>
                <w:rFonts w:ascii="宋体" w:hAnsi="宋体" w:eastAsia="宋体" w:cs="Calibri"/>
                <w:color w:val="000000"/>
                <w:kern w:val="2"/>
                <w:sz w:val="21"/>
                <w:szCs w:val="21"/>
                <w:lang w:val="en-US" w:eastAsia="zh-CN" w:bidi="ar-SA"/>
              </w:rPr>
            </w:pPr>
          </w:p>
        </w:tc>
        <w:tc>
          <w:tcPr>
            <w:tcW w:w="4282" w:type="dxa"/>
            <w:vAlign w:val="center"/>
          </w:tcPr>
          <w:p>
            <w:pPr>
              <w:widowControl/>
              <w:textAlignment w:val="center"/>
              <w:rPr>
                <w:rFonts w:hint="eastAsia" w:ascii="宋体" w:hAnsi="宋体" w:eastAsia="宋体" w:cs="Calibri"/>
                <w:color w:val="000000"/>
                <w:kern w:val="0"/>
                <w:sz w:val="21"/>
                <w:szCs w:val="21"/>
                <w:lang w:val="en-US" w:eastAsia="zh-CN" w:bidi="ar-SA"/>
              </w:rPr>
            </w:pPr>
            <w:r>
              <w:rPr>
                <w:rFonts w:hint="eastAsia" w:ascii="宋体" w:hAnsi="宋体" w:cs="Calibri"/>
                <w:color w:val="000000"/>
                <w:szCs w:val="21"/>
              </w:rPr>
              <w:t>以投标人</w:t>
            </w:r>
            <w:r>
              <w:rPr>
                <w:rFonts w:hint="eastAsia" w:ascii="宋体" w:hAnsi="宋体" w:cs="Calibri"/>
                <w:color w:val="000000"/>
                <w:szCs w:val="21"/>
                <w:lang w:eastAsia="zh-CN"/>
              </w:rPr>
              <w:t>提供承诺函为准。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3550" w:type="dxa"/>
            <w:vAlign w:val="center"/>
          </w:tcPr>
          <w:p>
            <w:pPr>
              <w:widowControl/>
              <w:textAlignment w:val="center"/>
              <w:rPr>
                <w:rFonts w:ascii="宋体" w:hAnsi="宋体" w:cs="Calibri"/>
                <w:color w:val="000000"/>
                <w:szCs w:val="21"/>
              </w:rPr>
            </w:pPr>
            <w:r>
              <w:rPr>
                <w:rFonts w:hint="eastAsia" w:ascii="宋体" w:hAnsi="宋体"/>
                <w:color w:val="000000"/>
                <w:lang w:val="en-US" w:eastAsia="zh-CN"/>
              </w:rPr>
              <w:t>4</w:t>
            </w:r>
            <w:r>
              <w:rPr>
                <w:rFonts w:hint="eastAsia" w:ascii="宋体" w:hAnsi="宋体"/>
                <w:color w:val="000000"/>
              </w:rPr>
              <w:t>.</w:t>
            </w:r>
            <w:r>
              <w:rPr>
                <w:rFonts w:hint="eastAsia" w:ascii="宋体" w:hAnsi="宋体"/>
                <w:color w:val="000000"/>
                <w:kern w:val="0"/>
                <w:lang w:val="en-US" w:eastAsia="zh-CN"/>
              </w:rPr>
              <w:t>增值保值（一年期增加基点）（BP）</w:t>
            </w:r>
          </w:p>
        </w:tc>
        <w:tc>
          <w:tcPr>
            <w:tcW w:w="1637" w:type="dxa"/>
            <w:vAlign w:val="center"/>
          </w:tcPr>
          <w:p>
            <w:pPr>
              <w:widowControl/>
              <w:jc w:val="center"/>
              <w:textAlignment w:val="center"/>
              <w:rPr>
                <w:rFonts w:ascii="宋体" w:hAnsi="宋体" w:cs="Calibri"/>
                <w:color w:val="000000"/>
                <w:szCs w:val="21"/>
              </w:rPr>
            </w:pPr>
          </w:p>
        </w:tc>
        <w:tc>
          <w:tcPr>
            <w:tcW w:w="4282" w:type="dxa"/>
            <w:vAlign w:val="center"/>
          </w:tcPr>
          <w:p>
            <w:pPr>
              <w:widowControl/>
              <w:textAlignment w:val="center"/>
              <w:rPr>
                <w:rFonts w:hint="eastAsia" w:ascii="宋体" w:hAnsi="宋体" w:eastAsia="宋体" w:cs="Calibri"/>
                <w:color w:val="000000"/>
                <w:kern w:val="0"/>
                <w:szCs w:val="21"/>
                <w:lang w:eastAsia="zh-CN"/>
              </w:rPr>
            </w:pPr>
            <w:r>
              <w:rPr>
                <w:rFonts w:hint="eastAsia" w:ascii="宋体" w:hAnsi="宋体" w:cs="Calibri"/>
                <w:color w:val="000000"/>
                <w:szCs w:val="21"/>
              </w:rPr>
              <w:t>以投标人</w:t>
            </w:r>
            <w:r>
              <w:rPr>
                <w:rFonts w:hint="eastAsia" w:ascii="宋体" w:hAnsi="宋体" w:cs="Calibri"/>
                <w:color w:val="000000"/>
                <w:szCs w:val="21"/>
                <w:lang w:eastAsia="zh-CN"/>
              </w:rPr>
              <w:t>提供承诺函为准。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3550" w:type="dxa"/>
            <w:vAlign w:val="center"/>
          </w:tcPr>
          <w:p>
            <w:pPr>
              <w:widowControl/>
              <w:textAlignment w:val="center"/>
              <w:rPr>
                <w:rFonts w:ascii="宋体" w:hAnsi="宋体" w:cs="Calibri"/>
                <w:color w:val="000000"/>
                <w:kern w:val="0"/>
                <w:szCs w:val="21"/>
              </w:rPr>
            </w:pPr>
            <w:r>
              <w:rPr>
                <w:rFonts w:hint="eastAsia" w:ascii="宋体" w:hAnsi="宋体"/>
                <w:color w:val="000000"/>
                <w:kern w:val="0"/>
                <w:lang w:val="en-US" w:eastAsia="zh-CN"/>
              </w:rPr>
              <w:t>5</w:t>
            </w:r>
            <w:r>
              <w:rPr>
                <w:rFonts w:hint="eastAsia" w:ascii="宋体" w:hAnsi="宋体"/>
                <w:color w:val="000000"/>
                <w:kern w:val="0"/>
              </w:rPr>
              <w:t>.2022年全年市县级税收收入入库额：2022年全年投标人在江门地区的市县级税收收入入库额（万元）</w:t>
            </w:r>
          </w:p>
        </w:tc>
        <w:tc>
          <w:tcPr>
            <w:tcW w:w="1637" w:type="dxa"/>
            <w:vAlign w:val="center"/>
          </w:tcPr>
          <w:p>
            <w:pPr>
              <w:widowControl/>
              <w:jc w:val="center"/>
              <w:textAlignment w:val="center"/>
              <w:rPr>
                <w:rFonts w:ascii="宋体" w:hAnsi="宋体" w:cs="Calibri"/>
                <w:color w:val="000000"/>
                <w:kern w:val="0"/>
                <w:szCs w:val="21"/>
              </w:rPr>
            </w:pPr>
          </w:p>
        </w:tc>
        <w:tc>
          <w:tcPr>
            <w:tcW w:w="4282" w:type="dxa"/>
            <w:vAlign w:val="center"/>
          </w:tcPr>
          <w:p>
            <w:pPr>
              <w:widowControl/>
              <w:textAlignment w:val="center"/>
              <w:rPr>
                <w:rFonts w:hint="eastAsia" w:ascii="宋体" w:hAnsi="宋体" w:eastAsia="宋体" w:cs="Calibri"/>
                <w:color w:val="000000"/>
                <w:kern w:val="0"/>
                <w:szCs w:val="21"/>
                <w:lang w:eastAsia="zh-CN"/>
              </w:rPr>
            </w:pPr>
            <w:r>
              <w:rPr>
                <w:rFonts w:hint="eastAsia" w:ascii="宋体" w:hAnsi="宋体" w:cs="Calibri"/>
                <w:color w:val="000000"/>
                <w:szCs w:val="21"/>
                <w:lang w:eastAsia="zh-CN"/>
              </w:rPr>
              <w:t>以</w:t>
            </w:r>
            <w:r>
              <w:rPr>
                <w:rFonts w:ascii="宋体" w:hAnsi="宋体" w:cs="Calibri"/>
                <w:color w:val="000000"/>
                <w:szCs w:val="21"/>
              </w:rPr>
              <w:t>江门地区的市县级税收收入入库额以江门市税务局提供的入库证明数据为准</w:t>
            </w:r>
            <w:r>
              <w:rPr>
                <w:rFonts w:hint="eastAsia" w:ascii="宋体" w:hAnsi="宋体" w:cs="Calibri"/>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3550" w:type="dxa"/>
            <w:vAlign w:val="center"/>
          </w:tcPr>
          <w:p>
            <w:pPr>
              <w:widowControl/>
              <w:textAlignment w:val="center"/>
              <w:rPr>
                <w:rFonts w:hint="eastAsia" w:ascii="宋体" w:hAnsi="宋体" w:eastAsia="宋体" w:cs="Times New Roman"/>
                <w:color w:val="000000"/>
                <w:kern w:val="0"/>
                <w:sz w:val="21"/>
                <w:szCs w:val="24"/>
                <w:lang w:val="en-US" w:eastAsia="zh-CN" w:bidi="ar-SA"/>
              </w:rPr>
            </w:pPr>
            <w:r>
              <w:rPr>
                <w:rFonts w:hint="eastAsia" w:ascii="宋体" w:hAnsi="宋体"/>
                <w:color w:val="000000"/>
                <w:kern w:val="0"/>
                <w:lang w:val="en-US" w:eastAsia="zh-CN"/>
              </w:rPr>
              <w:t>6.</w:t>
            </w:r>
            <w:r>
              <w:rPr>
                <w:rFonts w:hint="eastAsia" w:ascii="宋体" w:hAnsi="宋体"/>
                <w:color w:val="000000"/>
                <w:kern w:val="0"/>
              </w:rPr>
              <w:t>税收增长率：2022年全年在江门地区的市县级税收收入入库额比2021年全年在江门地区的市县级税收收入入库额的增长率（%）</w:t>
            </w:r>
          </w:p>
        </w:tc>
        <w:tc>
          <w:tcPr>
            <w:tcW w:w="1637" w:type="dxa"/>
            <w:vAlign w:val="center"/>
          </w:tcPr>
          <w:p>
            <w:pPr>
              <w:widowControl/>
              <w:jc w:val="center"/>
              <w:textAlignment w:val="center"/>
              <w:rPr>
                <w:rFonts w:ascii="宋体" w:hAnsi="宋体" w:cs="Calibri"/>
                <w:color w:val="000000"/>
                <w:kern w:val="0"/>
                <w:szCs w:val="21"/>
              </w:rPr>
            </w:pPr>
          </w:p>
        </w:tc>
        <w:tc>
          <w:tcPr>
            <w:tcW w:w="4282" w:type="dxa"/>
            <w:vAlign w:val="center"/>
          </w:tcPr>
          <w:p>
            <w:pPr>
              <w:widowControl/>
              <w:textAlignment w:val="center"/>
              <w:rPr>
                <w:rFonts w:ascii="宋体" w:hAnsi="宋体" w:cs="Calibri"/>
                <w:color w:val="000000"/>
                <w:kern w:val="0"/>
                <w:szCs w:val="21"/>
              </w:rPr>
            </w:pPr>
            <w:r>
              <w:rPr>
                <w:rFonts w:hint="eastAsia" w:ascii="宋体" w:hAnsi="宋体" w:cs="Calibri"/>
                <w:color w:val="000000"/>
                <w:szCs w:val="21"/>
                <w:lang w:eastAsia="zh-CN"/>
              </w:rPr>
              <w:t>以</w:t>
            </w:r>
            <w:r>
              <w:rPr>
                <w:rFonts w:ascii="宋体" w:hAnsi="宋体" w:cs="Calibri"/>
                <w:color w:val="000000"/>
                <w:szCs w:val="21"/>
              </w:rPr>
              <w:t>江门地区的市县级税收收入入库额以江门市税务局提供的入库证明数据为准</w:t>
            </w:r>
            <w:r>
              <w:rPr>
                <w:rFonts w:hint="eastAsia" w:ascii="宋体" w:hAnsi="宋体" w:cs="Calibri"/>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3550" w:type="dxa"/>
            <w:vAlign w:val="center"/>
          </w:tcPr>
          <w:p>
            <w:pPr>
              <w:widowControl/>
              <w:textAlignment w:val="center"/>
              <w:rPr>
                <w:rFonts w:ascii="宋体" w:hAnsi="宋体" w:cs="Calibri"/>
                <w:color w:val="000000"/>
                <w:szCs w:val="21"/>
              </w:rPr>
            </w:pPr>
            <w:r>
              <w:rPr>
                <w:rFonts w:hint="eastAsia" w:ascii="宋体" w:hAnsi="宋体" w:cs="Calibri"/>
                <w:color w:val="000000"/>
                <w:szCs w:val="21"/>
                <w:lang w:val="en-US" w:eastAsia="zh-CN"/>
              </w:rPr>
              <w:t>7</w:t>
            </w:r>
            <w:r>
              <w:rPr>
                <w:rFonts w:hint="eastAsia" w:ascii="宋体" w:hAnsi="宋体" w:cs="Calibri"/>
                <w:color w:val="000000"/>
                <w:szCs w:val="21"/>
              </w:rPr>
              <w:t>.</w:t>
            </w:r>
            <w:r>
              <w:rPr>
                <w:rFonts w:ascii="宋体" w:hAnsi="宋体" w:cs="Calibri"/>
                <w:color w:val="000000"/>
                <w:szCs w:val="21"/>
              </w:rPr>
              <w:t>数字财政电子化业务保障</w:t>
            </w:r>
          </w:p>
        </w:tc>
        <w:tc>
          <w:tcPr>
            <w:tcW w:w="1637" w:type="dxa"/>
            <w:vAlign w:val="center"/>
          </w:tcPr>
          <w:p>
            <w:pPr>
              <w:widowControl/>
              <w:jc w:val="center"/>
              <w:textAlignment w:val="center"/>
              <w:rPr>
                <w:rFonts w:ascii="宋体" w:hAnsi="宋体" w:cs="Calibri"/>
                <w:color w:val="000000"/>
                <w:kern w:val="0"/>
                <w:szCs w:val="21"/>
              </w:rPr>
            </w:pPr>
          </w:p>
        </w:tc>
        <w:tc>
          <w:tcPr>
            <w:tcW w:w="4282" w:type="dxa"/>
            <w:vAlign w:val="center"/>
          </w:tcPr>
          <w:p>
            <w:pPr>
              <w:widowControl/>
              <w:textAlignment w:val="center"/>
              <w:rPr>
                <w:rFonts w:hint="default" w:ascii="宋体" w:hAnsi="宋体" w:cs="Calibri"/>
                <w:color w:val="000000"/>
                <w:kern w:val="0"/>
                <w:szCs w:val="21"/>
              </w:rPr>
            </w:pPr>
            <w:r>
              <w:rPr>
                <w:rFonts w:ascii="宋体" w:hAnsi="宋体" w:cs="Calibri"/>
                <w:color w:val="000000"/>
                <w:kern w:val="0"/>
                <w:szCs w:val="21"/>
              </w:rPr>
              <w:t>以江门市财政局出具的《关于截至2023年5月底江门市本级各代理银行开展数字财政国库支付电子化业务进展情况的通报》为依据</w:t>
            </w:r>
            <w:r>
              <w:rPr>
                <w:rFonts w:ascii="宋体" w:hAnsi="宋体" w:cs="Calibri"/>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3550" w:type="dxa"/>
            <w:vAlign w:val="center"/>
          </w:tcPr>
          <w:p>
            <w:pPr>
              <w:widowControl/>
              <w:textAlignment w:val="center"/>
              <w:rPr>
                <w:rFonts w:hint="eastAsia" w:ascii="宋体" w:hAnsi="宋体" w:cs="Calibri"/>
                <w:color w:val="000000"/>
                <w:szCs w:val="21"/>
                <w:lang w:val="en-US" w:eastAsia="zh-CN"/>
              </w:rPr>
            </w:pPr>
            <w:r>
              <w:rPr>
                <w:rFonts w:hint="eastAsia" w:ascii="宋体" w:hAnsi="宋体"/>
                <w:color w:val="000000"/>
                <w:kern w:val="0"/>
                <w:lang w:val="en-US" w:eastAsia="zh-CN"/>
              </w:rPr>
              <w:t>8.</w:t>
            </w:r>
            <w:r>
              <w:rPr>
                <w:rFonts w:hint="eastAsia" w:ascii="宋体" w:hAnsi="宋体"/>
                <w:color w:val="000000"/>
                <w:kern w:val="0"/>
              </w:rPr>
              <w:t>截止202</w:t>
            </w:r>
            <w:r>
              <w:rPr>
                <w:rFonts w:hint="eastAsia" w:ascii="宋体" w:hAnsi="宋体"/>
                <w:color w:val="000000"/>
                <w:kern w:val="0"/>
                <w:lang w:val="en-US" w:eastAsia="zh-CN"/>
              </w:rPr>
              <w:t>2</w:t>
            </w:r>
            <w:r>
              <w:rPr>
                <w:rFonts w:hint="eastAsia" w:ascii="宋体" w:hAnsi="宋体"/>
                <w:color w:val="000000"/>
                <w:kern w:val="0"/>
              </w:rPr>
              <w:t>年12月31日投标人在江门市内设立的营业网点数及自助银行数总和</w:t>
            </w:r>
          </w:p>
        </w:tc>
        <w:tc>
          <w:tcPr>
            <w:tcW w:w="1637" w:type="dxa"/>
            <w:vAlign w:val="center"/>
          </w:tcPr>
          <w:p>
            <w:pPr>
              <w:widowControl/>
              <w:jc w:val="center"/>
              <w:textAlignment w:val="center"/>
              <w:rPr>
                <w:rFonts w:ascii="宋体" w:hAnsi="宋体" w:cs="Calibri"/>
                <w:color w:val="000000"/>
                <w:kern w:val="0"/>
                <w:szCs w:val="21"/>
              </w:rPr>
            </w:pPr>
          </w:p>
        </w:tc>
        <w:tc>
          <w:tcPr>
            <w:tcW w:w="4282" w:type="dxa"/>
            <w:vAlign w:val="center"/>
          </w:tcPr>
          <w:p>
            <w:pPr>
              <w:widowControl/>
              <w:textAlignment w:val="center"/>
              <w:rPr>
                <w:rFonts w:hint="default" w:ascii="宋体" w:hAnsi="宋体" w:cs="Calibri"/>
                <w:color w:val="000000"/>
                <w:kern w:val="0"/>
                <w:szCs w:val="21"/>
              </w:rPr>
            </w:pPr>
            <w:r>
              <w:rPr>
                <w:rFonts w:hint="eastAsia" w:ascii="宋体" w:hAnsi="宋体" w:cs="Calibri"/>
                <w:color w:val="000000"/>
                <w:kern w:val="0"/>
                <w:szCs w:val="21"/>
              </w:rPr>
              <w:t>以投标人上报银监局的非现场监管系统数据为准，投标人需提供报表系统数据截图作为依据，不提供截图不得分</w:t>
            </w:r>
            <w:r>
              <w:rPr>
                <w:rFonts w:hint="default" w:ascii="宋体" w:hAnsi="宋体" w:cs="Calibri"/>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3550" w:type="dxa"/>
            <w:vAlign w:val="center"/>
          </w:tcPr>
          <w:p>
            <w:pPr>
              <w:widowControl/>
              <w:textAlignment w:val="center"/>
              <w:rPr>
                <w:rFonts w:ascii="宋体" w:hAnsi="宋体" w:cs="Calibri"/>
                <w:color w:val="000000"/>
                <w:kern w:val="0"/>
                <w:szCs w:val="21"/>
              </w:rPr>
            </w:pPr>
            <w:r>
              <w:rPr>
                <w:rFonts w:hint="eastAsia" w:ascii="宋体" w:hAnsi="宋体"/>
                <w:color w:val="000000"/>
                <w:kern w:val="0"/>
                <w:lang w:val="en-US" w:eastAsia="zh-CN"/>
              </w:rPr>
              <w:t>9</w:t>
            </w:r>
            <w:r>
              <w:rPr>
                <w:rFonts w:hint="eastAsia" w:ascii="宋体" w:hAnsi="宋体"/>
                <w:color w:val="000000"/>
                <w:kern w:val="0"/>
              </w:rPr>
              <w:t>.是否可减免账户费用</w:t>
            </w:r>
          </w:p>
        </w:tc>
        <w:tc>
          <w:tcPr>
            <w:tcW w:w="1637" w:type="dxa"/>
            <w:vAlign w:val="center"/>
          </w:tcPr>
          <w:p>
            <w:pPr>
              <w:widowControl/>
              <w:jc w:val="center"/>
              <w:textAlignment w:val="center"/>
              <w:rPr>
                <w:rFonts w:ascii="宋体" w:hAnsi="宋体" w:cs="Calibri"/>
                <w:color w:val="000000"/>
                <w:kern w:val="0"/>
                <w:szCs w:val="21"/>
              </w:rPr>
            </w:pPr>
            <w:r>
              <w:rPr>
                <w:rFonts w:hint="eastAsia" w:ascii="宋体" w:hAnsi="宋体"/>
                <w:color w:val="000000"/>
                <w:kern w:val="0"/>
              </w:rPr>
              <w:t>是/否</w:t>
            </w:r>
          </w:p>
        </w:tc>
        <w:tc>
          <w:tcPr>
            <w:tcW w:w="4282" w:type="dxa"/>
            <w:vAlign w:val="center"/>
          </w:tcPr>
          <w:p>
            <w:pPr>
              <w:widowControl/>
              <w:textAlignment w:val="center"/>
              <w:rPr>
                <w:rFonts w:hint="default" w:ascii="宋体" w:hAnsi="宋体" w:cs="Calibri"/>
                <w:color w:val="000000"/>
                <w:kern w:val="0"/>
                <w:szCs w:val="21"/>
              </w:rPr>
            </w:pPr>
            <w:r>
              <w:rPr>
                <w:rFonts w:hint="eastAsia" w:ascii="宋体" w:hAnsi="宋体"/>
                <w:color w:val="000000"/>
                <w:kern w:val="0"/>
              </w:rPr>
              <w:t>请提供相关承诺函</w:t>
            </w:r>
            <w:r>
              <w:rPr>
                <w:rFonts w:hint="default" w:ascii="宋体" w:hAnsi="宋体"/>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3550" w:type="dxa"/>
            <w:vAlign w:val="center"/>
          </w:tcPr>
          <w:p>
            <w:pPr>
              <w:widowControl/>
              <w:textAlignment w:val="center"/>
              <w:rPr>
                <w:rFonts w:ascii="宋体" w:hAnsi="宋体" w:cs="Calibri"/>
                <w:color w:val="000000"/>
                <w:szCs w:val="21"/>
              </w:rPr>
            </w:pPr>
            <w:r>
              <w:rPr>
                <w:rFonts w:hint="eastAsia" w:ascii="宋体" w:hAnsi="宋体"/>
                <w:color w:val="000000"/>
                <w:kern w:val="0"/>
                <w:lang w:val="en-US" w:eastAsia="zh-CN"/>
              </w:rPr>
              <w:t>10</w:t>
            </w:r>
            <w:r>
              <w:rPr>
                <w:rFonts w:hint="eastAsia" w:ascii="宋体" w:hAnsi="宋体"/>
                <w:color w:val="000000"/>
                <w:kern w:val="0"/>
              </w:rPr>
              <w:t>.是否具备江门市国库集中支付业务资格</w:t>
            </w:r>
          </w:p>
        </w:tc>
        <w:tc>
          <w:tcPr>
            <w:tcW w:w="1637" w:type="dxa"/>
            <w:vAlign w:val="center"/>
          </w:tcPr>
          <w:p>
            <w:pPr>
              <w:widowControl/>
              <w:jc w:val="center"/>
              <w:textAlignment w:val="center"/>
              <w:rPr>
                <w:rFonts w:ascii="宋体" w:hAnsi="宋体" w:cs="Calibri"/>
                <w:color w:val="000000"/>
                <w:kern w:val="0"/>
                <w:szCs w:val="21"/>
              </w:rPr>
            </w:pPr>
            <w:r>
              <w:rPr>
                <w:rFonts w:hint="eastAsia" w:ascii="宋体" w:hAnsi="宋体"/>
                <w:color w:val="000000"/>
                <w:kern w:val="0"/>
              </w:rPr>
              <w:t>是/否</w:t>
            </w:r>
          </w:p>
        </w:tc>
        <w:tc>
          <w:tcPr>
            <w:tcW w:w="4282" w:type="dxa"/>
            <w:vMerge w:val="restart"/>
            <w:vAlign w:val="center"/>
          </w:tcPr>
          <w:p>
            <w:pPr>
              <w:widowControl/>
              <w:textAlignment w:val="center"/>
              <w:rPr>
                <w:rFonts w:hint="default" w:ascii="宋体" w:hAnsi="宋体" w:cs="Calibri"/>
                <w:color w:val="000000"/>
                <w:kern w:val="0"/>
                <w:szCs w:val="21"/>
              </w:rPr>
            </w:pPr>
            <w:r>
              <w:rPr>
                <w:rFonts w:hint="eastAsia" w:ascii="宋体" w:hAnsi="宋体"/>
                <w:color w:val="000000"/>
                <w:kern w:val="0"/>
              </w:rPr>
              <w:t>请提供相关代理业务资格证书/协议/合同</w:t>
            </w:r>
            <w:r>
              <w:rPr>
                <w:rFonts w:hint="default" w:ascii="宋体" w:hAnsi="宋体"/>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3550" w:type="dxa"/>
            <w:vAlign w:val="center"/>
          </w:tcPr>
          <w:p>
            <w:pPr>
              <w:widowControl/>
              <w:textAlignment w:val="center"/>
              <w:rPr>
                <w:rFonts w:ascii="宋体" w:hAnsi="宋体" w:cs="Calibri"/>
                <w:color w:val="000000"/>
                <w:szCs w:val="21"/>
              </w:rPr>
            </w:pPr>
            <w:r>
              <w:rPr>
                <w:rFonts w:hint="eastAsia" w:ascii="宋体" w:hAnsi="宋体"/>
                <w:color w:val="000000"/>
                <w:kern w:val="0"/>
                <w:lang w:val="en-US" w:eastAsia="zh-CN"/>
              </w:rPr>
              <w:t>11</w:t>
            </w:r>
            <w:r>
              <w:rPr>
                <w:rFonts w:hint="eastAsia" w:ascii="宋体" w:hAnsi="宋体"/>
                <w:color w:val="000000"/>
                <w:kern w:val="0"/>
              </w:rPr>
              <w:t>.是否具备江门市财政统发工资资格</w:t>
            </w:r>
          </w:p>
        </w:tc>
        <w:tc>
          <w:tcPr>
            <w:tcW w:w="1637" w:type="dxa"/>
            <w:vAlign w:val="center"/>
          </w:tcPr>
          <w:p>
            <w:pPr>
              <w:widowControl/>
              <w:jc w:val="center"/>
              <w:textAlignment w:val="center"/>
              <w:rPr>
                <w:rFonts w:ascii="宋体" w:hAnsi="宋体" w:cs="Calibri"/>
                <w:color w:val="000000"/>
                <w:kern w:val="0"/>
                <w:szCs w:val="21"/>
              </w:rPr>
            </w:pPr>
            <w:r>
              <w:rPr>
                <w:rFonts w:hint="eastAsia" w:ascii="宋体" w:hAnsi="宋体"/>
                <w:color w:val="000000"/>
                <w:kern w:val="0"/>
              </w:rPr>
              <w:t>是/否</w:t>
            </w:r>
          </w:p>
        </w:tc>
        <w:tc>
          <w:tcPr>
            <w:tcW w:w="4282" w:type="dxa"/>
            <w:vMerge w:val="continue"/>
            <w:vAlign w:val="center"/>
          </w:tcPr>
          <w:p>
            <w:pPr>
              <w:widowControl/>
              <w:jc w:val="left"/>
              <w:rPr>
                <w:rFonts w:ascii="宋体" w:hAnsi="宋体" w:cs="Calibri"/>
                <w:color w:val="000000"/>
                <w:kern w:val="0"/>
                <w:szCs w:val="21"/>
              </w:rPr>
            </w:pPr>
          </w:p>
        </w:tc>
      </w:tr>
    </w:tbl>
    <w:p>
      <w:pPr>
        <w:rPr>
          <w:rFonts w:hint="eastAsia" w:ascii="宋体" w:hAnsi="宋体"/>
        </w:rPr>
      </w:pPr>
      <w:r>
        <w:rPr>
          <w:rFonts w:hint="eastAsia" w:ascii="仿宋_GB2312" w:hAnsi="Times New Roman" w:eastAsia="仿宋_GB2312"/>
          <w:sz w:val="24"/>
        </w:rPr>
        <w:t>以</w:t>
      </w:r>
      <w:r>
        <w:rPr>
          <w:rFonts w:hint="eastAsia" w:ascii="宋体" w:hAnsi="宋体"/>
        </w:rPr>
        <w:t>上提供的数据和情况必须真实，否则我局有权取消贵行相关业务资格。</w:t>
      </w:r>
    </w:p>
    <w:p>
      <w:pPr>
        <w:jc w:val="left"/>
        <w:rPr>
          <w:rFonts w:hint="eastAsia" w:ascii="宋体" w:hAnsi="宋体"/>
          <w:sz w:val="24"/>
        </w:rPr>
      </w:pPr>
      <w:r>
        <w:rPr>
          <w:rFonts w:hint="eastAsia" w:ascii="仿宋_GB2312" w:hAnsi="Times New Roman" w:eastAsia="仿宋_GB2312"/>
          <w:sz w:val="24"/>
        </w:rPr>
        <w:t xml:space="preserve">                                  </w:t>
      </w:r>
      <w:r>
        <w:rPr>
          <w:rFonts w:hint="eastAsia" w:ascii="宋体" w:hAnsi="宋体"/>
          <w:sz w:val="24"/>
        </w:rPr>
        <w:t xml:space="preserve">         银行（公章）</w:t>
      </w:r>
    </w:p>
    <w:p>
      <w:r>
        <w:rPr>
          <w:rFonts w:hint="eastAsia" w:ascii="宋体" w:hAnsi="宋体"/>
          <w:sz w:val="24"/>
        </w:rPr>
        <w:t xml:space="preserve">                                    日期：   年    月    日</w:t>
      </w:r>
    </w:p>
    <w:sectPr>
      <w:pgSz w:w="11906" w:h="16838"/>
      <w:pgMar w:top="2041" w:right="1474" w:bottom="1777"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97F"/>
    <w:rsid w:val="002A5563"/>
    <w:rsid w:val="003B497F"/>
    <w:rsid w:val="027C52B9"/>
    <w:rsid w:val="15A660E9"/>
    <w:rsid w:val="163B4901"/>
    <w:rsid w:val="17BE109D"/>
    <w:rsid w:val="1C8B229F"/>
    <w:rsid w:val="2EDEFB02"/>
    <w:rsid w:val="323A564B"/>
    <w:rsid w:val="32FC4EB2"/>
    <w:rsid w:val="37B7B385"/>
    <w:rsid w:val="3E511912"/>
    <w:rsid w:val="48340D65"/>
    <w:rsid w:val="4D9236E8"/>
    <w:rsid w:val="53122361"/>
    <w:rsid w:val="542B46AD"/>
    <w:rsid w:val="5E0C5ED4"/>
    <w:rsid w:val="626B1666"/>
    <w:rsid w:val="6B785705"/>
    <w:rsid w:val="781400F4"/>
    <w:rsid w:val="D39F4D33"/>
    <w:rsid w:val="DF3AFB59"/>
    <w:rsid w:val="ED9CE6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6"/>
    <w:qFormat/>
    <w:uiPriority w:val="0"/>
    <w:pPr>
      <w:spacing w:after="120"/>
    </w:p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正文文本 Char"/>
    <w:basedOn w:val="5"/>
    <w:link w:val="2"/>
    <w:qFormat/>
    <w:uiPriority w:val="0"/>
    <w:rPr>
      <w:rFonts w:ascii="Calibri" w:hAnsi="Calibri" w:eastAsia="宋体" w:cs="Times New Roman"/>
      <w:szCs w:val="24"/>
    </w:rPr>
  </w:style>
  <w:style w:type="character" w:customStyle="1" w:styleId="7">
    <w:name w:val="页眉 Char"/>
    <w:basedOn w:val="5"/>
    <w:link w:val="3"/>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522</Words>
  <Characters>2978</Characters>
  <Lines>24</Lines>
  <Paragraphs>6</Paragraphs>
  <TotalTime>9</TotalTime>
  <ScaleCrop>false</ScaleCrop>
  <LinksUpToDate>false</LinksUpToDate>
  <CharactersWithSpaces>3494</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2023-04-12T18:15:00Z</dcterms:created>
  <dc:creator>吴峰号</dc:creator>
  <cp:lastModifiedBy>崔婧</cp:lastModifiedBy>
  <cp:lastPrinted>2023-08-04T14:55:07Z</cp:lastPrinted>
  <dcterms:modified xsi:type="dcterms:W3CDTF">2023-08-04T15:24:59Z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E34644D0900E48709F81A547E754F554</vt:lpwstr>
  </property>
</Properties>
</file>