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434343"/>
          <w:kern w:val="0"/>
          <w:sz w:val="32"/>
          <w:szCs w:val="32"/>
          <w:shd w:val="clear" w:color="auto" w:fill="FFFFFF"/>
        </w:rPr>
      </w:pPr>
      <w:bookmarkStart w:id="0" w:name="_Hlk81502711"/>
      <w:r>
        <w:rPr>
          <w:rFonts w:hint="eastAsia" w:ascii="黑体" w:hAnsi="黑体" w:eastAsia="黑体" w:cs="黑体"/>
          <w:color w:val="434343"/>
          <w:kern w:val="0"/>
          <w:sz w:val="32"/>
          <w:szCs w:val="32"/>
          <w:shd w:val="clear" w:color="auto" w:fill="FFFFFF"/>
        </w:rPr>
        <w:t>附件</w:t>
      </w:r>
      <w:r>
        <w:rPr>
          <w:rFonts w:hint="eastAsia" w:ascii="黑体" w:hAnsi="黑体" w:eastAsia="黑体" w:cs="黑体"/>
          <w:color w:val="434343"/>
          <w:kern w:val="0"/>
          <w:sz w:val="32"/>
          <w:szCs w:val="32"/>
          <w:shd w:val="clear" w:color="auto" w:fill="FFFFFF"/>
          <w:lang w:val="en-US" w:eastAsia="zh-CN"/>
        </w:rPr>
        <w:t>1</w:t>
      </w:r>
      <w:bookmarkStart w:id="1" w:name="_GoBack"/>
      <w:bookmarkEnd w:id="1"/>
    </w:p>
    <w:p>
      <w:pPr>
        <w:jc w:val="center"/>
        <w:rPr>
          <w:rFonts w:hint="eastAsia" w:ascii="方正小标宋_GBK" w:hAnsi="方正公文小标宋" w:eastAsia="方正小标宋_GBK" w:cs="方正公文小标宋"/>
          <w:color w:val="434343"/>
          <w:sz w:val="44"/>
          <w:szCs w:val="44"/>
          <w:shd w:val="clear" w:color="auto" w:fill="FFFFFF"/>
        </w:rPr>
      </w:pPr>
      <w:r>
        <w:rPr>
          <w:rFonts w:hint="eastAsia" w:ascii="方正小标宋_GBK" w:hAnsi="方正公文小标宋" w:eastAsia="方正小标宋_GBK" w:cs="方正公文小标宋"/>
          <w:color w:val="434343"/>
          <w:sz w:val="44"/>
          <w:szCs w:val="44"/>
          <w:shd w:val="clear" w:color="auto" w:fill="FFFFFF"/>
        </w:rPr>
        <w:t>关于江门“广东第一田”提升工程建设行动方案（2023年-2025年）编制服务项目</w:t>
      </w:r>
    </w:p>
    <w:p>
      <w:pPr>
        <w:jc w:val="center"/>
        <w:rPr>
          <w:rFonts w:hint="eastAsia" w:ascii="方正小标宋_GBK" w:hAnsi="方正公文小标宋" w:eastAsia="方正小标宋_GBK" w:cs="方正公文小标宋"/>
          <w:color w:val="434343"/>
          <w:sz w:val="44"/>
          <w:szCs w:val="44"/>
          <w:shd w:val="clear" w:color="auto" w:fill="FFFFFF"/>
        </w:rPr>
      </w:pPr>
      <w:r>
        <w:rPr>
          <w:rFonts w:hint="eastAsia" w:ascii="方正小标宋_GBK" w:hAnsi="方正公文小标宋" w:eastAsia="方正小标宋_GBK" w:cs="方正公文小标宋"/>
          <w:color w:val="434343"/>
          <w:sz w:val="44"/>
          <w:szCs w:val="44"/>
          <w:shd w:val="clear" w:color="auto" w:fill="FFFFFF"/>
        </w:rPr>
        <w:t>评审方案</w:t>
      </w:r>
    </w:p>
    <w:p>
      <w:pPr>
        <w:ind w:firstLine="642" w:firstLineChars="200"/>
        <w:rPr>
          <w:rFonts w:hint="eastAsia" w:ascii="仿宋_GB2312" w:hAnsi="仿宋_GB2312" w:eastAsia="仿宋_GB2312" w:cs="仿宋_GB2312"/>
          <w:b/>
          <w:bCs/>
          <w:sz w:val="32"/>
          <w:szCs w:val="32"/>
        </w:rPr>
      </w:pP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一、评审小组</w:t>
      </w:r>
    </w:p>
    <w:p>
      <w:pPr>
        <w:pStyle w:val="10"/>
        <w:tabs>
          <w:tab w:val="right" w:leader="dot"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由我局组织相关</w:t>
      </w:r>
      <w:r>
        <w:rPr>
          <w:rFonts w:hint="eastAsia" w:ascii="仿宋_GB2312" w:hAnsi="仿宋_GB2312" w:eastAsia="仿宋_GB2312" w:cs="仿宋_GB2312"/>
          <w:sz w:val="32"/>
          <w:szCs w:val="32"/>
        </w:rPr>
        <w:t>人员组成评审小组进行评审。</w:t>
      </w:r>
    </w:p>
    <w:p>
      <w:pPr>
        <w:tabs>
          <w:tab w:val="left" w:pos="714"/>
        </w:tabs>
        <w:spacing w:line="360" w:lineRule="auto"/>
        <w:ind w:firstLine="629"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二、评审方法</w:t>
      </w:r>
    </w:p>
    <w:p>
      <w:pPr>
        <w:pStyle w:val="10"/>
        <w:tabs>
          <w:tab w:val="right" w:leader="dot" w:pos="829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评审小组对供应商提交的响应文件进行公开唱标，评审过程需有两家以上（含两家）符合资格条件才能继续评审，对照评分细则打分，根据评审人员打分情况得出平均分，平均分最高的成为服务商。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结果报局党组审批)。</w:t>
      </w:r>
    </w:p>
    <w:p>
      <w:pPr>
        <w:tabs>
          <w:tab w:val="left" w:pos="714"/>
        </w:tabs>
        <w:spacing w:line="360" w:lineRule="auto"/>
        <w:ind w:firstLine="629"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三、评审步骤</w:t>
      </w:r>
    </w:p>
    <w:p>
      <w:pPr>
        <w:pStyle w:val="5"/>
        <w:adjustRightInd w:val="0"/>
        <w:snapToGrid w:val="0"/>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评审小组对申报资料的评审分为初审、比较与评价： </w:t>
      </w:r>
    </w:p>
    <w:p>
      <w:pPr>
        <w:pStyle w:val="5"/>
        <w:adjustRightInd w:val="0"/>
        <w:snapToGrid w:val="0"/>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（一）初审</w:t>
      </w:r>
    </w:p>
    <w:p>
      <w:pPr>
        <w:pStyle w:val="5"/>
        <w:adjustRightInd w:val="0"/>
        <w:snapToGrid w:val="0"/>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资格性检查（见表1），审查内容详见资格性审查表，只有通过初审才能进入评审环节。</w:t>
      </w:r>
    </w:p>
    <w:p>
      <w:pPr>
        <w:pStyle w:val="5"/>
        <w:numPr>
          <w:ilvl w:val="0"/>
          <w:numId w:val="1"/>
        </w:num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比较与评价</w:t>
      </w:r>
    </w:p>
    <w:p>
      <w:pPr>
        <w:pStyle w:val="5"/>
        <w:tabs>
          <w:tab w:val="left" w:pos="920"/>
          <w:tab w:val="left" w:pos="1080"/>
        </w:tabs>
        <w:adjustRightInd w:val="0"/>
        <w:snapToGrid w:val="0"/>
        <w:ind w:left="561" w:leftChars="267"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1、技术评价</w:t>
      </w:r>
    </w:p>
    <w:p>
      <w:pPr>
        <w:pStyle w:val="5"/>
        <w:tabs>
          <w:tab w:val="left" w:pos="1080"/>
        </w:tabs>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评审小组成员对通过资格审查的项目申报单位，对照</w:t>
      </w:r>
      <w:r>
        <w:rPr>
          <w:rFonts w:hint="eastAsia" w:ascii="仿宋_GB2312" w:hAnsi="仿宋_GB2312" w:eastAsia="仿宋_GB2312" w:cs="仿宋_GB2312"/>
          <w:sz w:val="32"/>
          <w:szCs w:val="32"/>
        </w:rPr>
        <w:t>技术要求进行评审和比较，并量化打分（详见表2）。</w:t>
      </w:r>
    </w:p>
    <w:p>
      <w:pPr>
        <w:pStyle w:val="5"/>
        <w:tabs>
          <w:tab w:val="left" w:pos="920"/>
          <w:tab w:val="left" w:pos="1080"/>
        </w:tabs>
        <w:adjustRightInd w:val="0"/>
        <w:snapToGrid w:val="0"/>
        <w:ind w:left="561" w:leftChars="267"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2、商务评价</w:t>
      </w:r>
    </w:p>
    <w:p>
      <w:pPr>
        <w:pStyle w:val="5"/>
        <w:tabs>
          <w:tab w:val="left" w:pos="1080"/>
        </w:tabs>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各评审小组成员对通过资格审查的项目申报单位，对照各项商务要求进行评审和比较</w:t>
      </w:r>
      <w:r>
        <w:rPr>
          <w:rFonts w:hint="eastAsia" w:ascii="仿宋_GB2312" w:hAnsi="仿宋_GB2312" w:eastAsia="仿宋_GB2312" w:cs="仿宋_GB2312"/>
          <w:sz w:val="32"/>
          <w:szCs w:val="32"/>
        </w:rPr>
        <w:t>，并量化打分（详见表2）。</w:t>
      </w:r>
    </w:p>
    <w:p>
      <w:pPr>
        <w:pStyle w:val="5"/>
        <w:tabs>
          <w:tab w:val="left" w:pos="900"/>
          <w:tab w:val="left" w:pos="1080"/>
        </w:tabs>
        <w:adjustRightInd w:val="0"/>
        <w:snapToGrid w:val="0"/>
        <w:ind w:left="561" w:leftChars="267"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3、价格评估</w:t>
      </w:r>
    </w:p>
    <w:p>
      <w:pPr>
        <w:pStyle w:val="5"/>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价格评估得分采用低价优先法计算，即通过</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sz w:val="32"/>
          <w:szCs w:val="32"/>
        </w:rPr>
        <w:t>且价格最低者的评审价为评审基准价，其价格评估得分为30分；其他投标人的价格评估得分按表2计算。</w:t>
      </w:r>
    </w:p>
    <w:p>
      <w:pPr>
        <w:pStyle w:val="5"/>
        <w:adjustRightInd w:val="0"/>
        <w:snapToGrid w:val="0"/>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4.综合比较与评价</w:t>
      </w:r>
    </w:p>
    <w:p>
      <w:pPr>
        <w:pStyle w:val="5"/>
        <w:adjustRightInd w:val="0"/>
        <w:snapToGrid w:val="0"/>
        <w:ind w:firstLine="579" w:firstLineChars="18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将项目申报的技术评价得分、商务评价得分和价格评估得分相加，计算得出该投标人的综合评价得分。</w:t>
      </w:r>
    </w:p>
    <w:p>
      <w:pPr>
        <w:pStyle w:val="5"/>
        <w:adjustRightInd w:val="0"/>
        <w:snapToGrid w:val="0"/>
        <w:ind w:firstLine="642"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四、确定</w:t>
      </w:r>
      <w:r>
        <w:rPr>
          <w:rFonts w:hint="eastAsia" w:ascii="仿宋_GB2312" w:hAnsi="仿宋_GB2312" w:eastAsia="仿宋_GB2312" w:cs="仿宋_GB2312"/>
          <w:b/>
          <w:sz w:val="32"/>
          <w:szCs w:val="32"/>
          <w:lang w:eastAsia="zh-CN"/>
        </w:rPr>
        <w:t>中标商</w:t>
      </w:r>
    </w:p>
    <w:p>
      <w:pPr>
        <w:pStyle w:val="5"/>
        <w:adjustRightInd w:val="0"/>
        <w:snapToGrid w:val="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评审小组按综合评价得分由高到低进行排序，确定排名第一的为</w:t>
      </w:r>
      <w:r>
        <w:rPr>
          <w:rFonts w:hint="eastAsia" w:ascii="仿宋_GB2312" w:hAnsi="仿宋_GB2312" w:eastAsia="仿宋_GB2312" w:cs="仿宋_GB2312"/>
          <w:kern w:val="0"/>
          <w:sz w:val="32"/>
          <w:szCs w:val="32"/>
          <w:lang w:eastAsia="zh-CN"/>
        </w:rPr>
        <w:t>中标商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最高</w:t>
      </w:r>
      <w:r>
        <w:rPr>
          <w:rFonts w:hint="eastAsia" w:ascii="仿宋_GB2312" w:hAnsi="仿宋_GB2312" w:eastAsia="仿宋_GB2312" w:cs="仿宋_GB2312"/>
          <w:kern w:val="0"/>
          <w:sz w:val="32"/>
          <w:szCs w:val="32"/>
        </w:rPr>
        <w:t>分数相同的以价格低的</w:t>
      </w:r>
      <w:r>
        <w:rPr>
          <w:rFonts w:hint="eastAsia" w:ascii="仿宋_GB2312" w:hAnsi="仿宋_GB2312" w:eastAsia="仿宋_GB2312" w:cs="仿宋_GB2312"/>
          <w:kern w:val="0"/>
          <w:sz w:val="32"/>
          <w:szCs w:val="32"/>
          <w:lang w:eastAsia="zh-CN"/>
        </w:rPr>
        <w:t>为中标商</w:t>
      </w:r>
      <w:r>
        <w:rPr>
          <w:rFonts w:hint="eastAsia" w:ascii="仿宋_GB2312" w:hAnsi="仿宋_GB2312" w:eastAsia="仿宋_GB2312" w:cs="仿宋_GB2312"/>
          <w:kern w:val="0"/>
          <w:sz w:val="32"/>
          <w:szCs w:val="32"/>
        </w:rPr>
        <w:t>。</w:t>
      </w:r>
    </w:p>
    <w:p>
      <w:pPr>
        <w:widowControl/>
        <w:jc w:val="left"/>
        <w:rPr>
          <w:rFonts w:ascii="仿宋_GB2312" w:hAnsi="仿宋" w:eastAsia="仿宋_GB2312"/>
          <w:kern w:val="0"/>
          <w:sz w:val="32"/>
          <w:szCs w:val="32"/>
        </w:rPr>
      </w:pPr>
      <w:r>
        <w:rPr>
          <w:rFonts w:hint="eastAsia" w:ascii="仿宋_GB2312" w:hAnsi="仿宋_GB2312" w:eastAsia="仿宋_GB2312" w:cs="仿宋_GB2312"/>
          <w:kern w:val="0"/>
          <w:sz w:val="32"/>
          <w:szCs w:val="32"/>
        </w:rPr>
        <w:br w:type="page"/>
      </w:r>
      <w:r>
        <w:rPr>
          <w:rFonts w:hint="eastAsia" w:ascii="仿宋_GB2312" w:hAnsi="仿宋" w:eastAsia="仿宋_GB2312"/>
          <w:sz w:val="32"/>
          <w:szCs w:val="32"/>
        </w:rPr>
        <w:t>附件：</w:t>
      </w:r>
    </w:p>
    <w:p>
      <w:pPr>
        <w:spacing w:line="360" w:lineRule="auto"/>
        <w:jc w:val="center"/>
        <w:rPr>
          <w:rFonts w:ascii="仿宋_GB2312" w:hAnsi="仿宋" w:eastAsia="仿宋_GB2312"/>
          <w:b/>
          <w:kern w:val="0"/>
          <w:sz w:val="32"/>
          <w:szCs w:val="32"/>
        </w:rPr>
      </w:pPr>
      <w:r>
        <w:rPr>
          <w:rFonts w:hint="eastAsia" w:ascii="仿宋_GB2312" w:hAnsi="仿宋" w:eastAsia="仿宋_GB2312"/>
          <w:b/>
          <w:kern w:val="0"/>
          <w:sz w:val="32"/>
          <w:szCs w:val="32"/>
        </w:rPr>
        <w:t>表1：资格性审查表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4069"/>
        <w:gridCol w:w="128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评审内容</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投标人A</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投标人</w:t>
            </w:r>
            <w:r>
              <w:rPr>
                <w:rFonts w:ascii="仿宋_GB2312" w:hAnsi="宋体" w:eastAsia="仿宋_GB2312"/>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2"/>
              </w:numPr>
              <w:adjustRightInd w:val="0"/>
              <w:snapToGrid w:val="0"/>
              <w:jc w:val="left"/>
              <w:rPr>
                <w:rFonts w:hint="eastAsia" w:ascii="仿宋_GB2312" w:hAnsi="宋体" w:eastAsia="仿宋_GB2312"/>
                <w:sz w:val="32"/>
                <w:szCs w:val="32"/>
              </w:rPr>
            </w:pPr>
            <w:r>
              <w:rPr>
                <w:rFonts w:hint="eastAsia" w:ascii="仿宋_GB2312" w:hAnsi="宋体" w:eastAsia="仿宋_GB2312"/>
                <w:sz w:val="32"/>
                <w:szCs w:val="32"/>
              </w:rPr>
              <w:t>具备独立承担民事责任的事业单位或企业</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noWrap w:val="0"/>
            <w:textDirection w:val="tbRlV"/>
            <w:vAlign w:val="center"/>
          </w:tcPr>
          <w:p>
            <w:pPr>
              <w:spacing w:line="360" w:lineRule="auto"/>
              <w:jc w:val="center"/>
              <w:rPr>
                <w:rFonts w:ascii="仿宋_GB2312" w:hAnsi="宋体" w:eastAsia="仿宋_GB2312"/>
                <w:sz w:val="32"/>
                <w:szCs w:val="32"/>
              </w:rPr>
            </w:pPr>
            <w:r>
              <w:rPr>
                <w:rFonts w:hint="eastAsia" w:ascii="仿宋_GB2312" w:hAnsi="宋体" w:eastAsia="仿宋_GB2312"/>
                <w:sz w:val="32"/>
                <w:szCs w:val="32"/>
              </w:rPr>
              <w:t>资格性审查</w:t>
            </w:r>
          </w:p>
          <w:p>
            <w:pPr>
              <w:adjustRightInd w:val="0"/>
              <w:snapToGrid w:val="0"/>
              <w:ind w:left="113" w:right="113"/>
              <w:jc w:val="center"/>
              <w:rPr>
                <w:rFonts w:ascii="宋体" w:cs="宋体"/>
                <w:sz w:val="32"/>
                <w:szCs w:val="32"/>
              </w:rPr>
            </w:pPr>
          </w:p>
        </w:tc>
        <w:tc>
          <w:tcPr>
            <w:tcW w:w="462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②营业执照或组织机构代码证</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555"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信用证明是否提供</w:t>
            </w:r>
          </w:p>
        </w:tc>
        <w:tc>
          <w:tcPr>
            <w:tcW w:w="4069"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③未被列入“信用中国”网站（www.creditchina.gov.cn）“记录失信被执行人或重大税收违法案件当事人名单或政府采购严重违法失信行为”记录名单</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555"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p>
        </w:tc>
        <w:tc>
          <w:tcPr>
            <w:tcW w:w="4069" w:type="dxa"/>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④不处于中国政府采购网（www.ccgp.gov.cn）“政府采购严重违法失信行为信息记录”中的禁止参加政府采购活动期间</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462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仿宋_GB2312" w:hAnsi="宋体" w:eastAsia="仿宋_GB2312"/>
                <w:sz w:val="32"/>
                <w:szCs w:val="32"/>
                <w:lang w:val="en-US" w:eastAsia="zh-CN"/>
              </w:rPr>
            </w:pPr>
            <w:r>
              <w:rPr>
                <w:rFonts w:hint="eastAsia" w:ascii="仿宋_GB2312" w:hAnsi="宋体" w:eastAsia="仿宋_GB2312"/>
                <w:sz w:val="32"/>
                <w:szCs w:val="32"/>
              </w:rPr>
              <w:t>⑤投标总体不超出</w:t>
            </w:r>
            <w:r>
              <w:rPr>
                <w:rFonts w:hint="eastAsia" w:ascii="仿宋_GB2312" w:hAnsi="宋体" w:eastAsia="仿宋_GB2312"/>
                <w:sz w:val="32"/>
                <w:szCs w:val="32"/>
                <w:lang w:val="en-US" w:eastAsia="zh-CN"/>
              </w:rPr>
              <w:t>105300.00元</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4624" w:type="dxa"/>
            <w:gridSpan w:val="2"/>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⑥投标人非联合体</w:t>
            </w:r>
          </w:p>
        </w:tc>
        <w:tc>
          <w:tcPr>
            <w:tcW w:w="1282" w:type="dxa"/>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结论</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bl>
    <w:p>
      <w:pPr>
        <w:jc w:val="left"/>
        <w:rPr>
          <w:rFonts w:ascii="仿宋" w:hAnsi="仿宋" w:eastAsia="仿宋"/>
          <w:b/>
          <w:bCs/>
          <w:sz w:val="28"/>
          <w:szCs w:val="28"/>
        </w:rPr>
      </w:pPr>
      <w:r>
        <w:rPr>
          <w:rFonts w:hint="eastAsia" w:ascii="方正楷体_GBK" w:hAnsi="宋体" w:eastAsia="方正楷体_GBK"/>
          <w:sz w:val="28"/>
          <w:szCs w:val="28"/>
        </w:rPr>
        <w:t>填表说明：材料有提供或者符合的打“√”，否则打“×”。结论填写“合格”或者“不合格”。</w:t>
      </w:r>
      <w:r>
        <w:rPr>
          <w:rFonts w:ascii="仿宋_GB2312" w:hAnsi="仿宋" w:eastAsia="仿宋_GB2312"/>
          <w:b/>
          <w:kern w:val="0"/>
          <w:sz w:val="32"/>
          <w:szCs w:val="32"/>
        </w:rPr>
        <w:br w:type="page"/>
      </w:r>
      <w:bookmarkEnd w:id="0"/>
      <w:r>
        <w:rPr>
          <w:rFonts w:hint="eastAsia" w:ascii="仿宋_GB2312" w:hAnsi="仿宋" w:eastAsia="仿宋_GB2312" w:cs="Times New Roman"/>
          <w:b/>
          <w:kern w:val="0"/>
          <w:sz w:val="32"/>
          <w:szCs w:val="32"/>
          <w:lang w:eastAsia="zh-CN"/>
        </w:rPr>
        <w:t>表</w:t>
      </w:r>
      <w:r>
        <w:rPr>
          <w:rFonts w:hint="eastAsia" w:ascii="仿宋_GB2312" w:hAnsi="仿宋" w:eastAsia="仿宋_GB2312" w:cs="Times New Roman"/>
          <w:b/>
          <w:kern w:val="0"/>
          <w:sz w:val="32"/>
          <w:szCs w:val="32"/>
          <w:lang w:val="en-US" w:eastAsia="zh-CN"/>
        </w:rPr>
        <w:t>2：</w:t>
      </w:r>
      <w:r>
        <w:rPr>
          <w:rFonts w:hint="eastAsia" w:ascii="仿宋_GB2312" w:hAnsi="仿宋" w:eastAsia="仿宋_GB2312" w:cs="Times New Roman"/>
          <w:b/>
          <w:kern w:val="0"/>
          <w:sz w:val="32"/>
          <w:szCs w:val="32"/>
        </w:rPr>
        <w:t>评分标准</w:t>
      </w:r>
    </w:p>
    <w:tbl>
      <w:tblPr>
        <w:tblStyle w:val="13"/>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23"/>
        <w:gridCol w:w="591"/>
        <w:gridCol w:w="569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365" w:type="pct"/>
            <w:noWrap w:val="0"/>
            <w:vAlign w:val="center"/>
          </w:tcPr>
          <w:p>
            <w:pPr>
              <w:spacing w:line="480" w:lineRule="auto"/>
              <w:jc w:val="center"/>
              <w:rPr>
                <w:rFonts w:ascii="仿宋" w:hAnsi="仿宋" w:eastAsia="仿宋" w:cs="宋体"/>
                <w:b/>
                <w:bCs/>
                <w:szCs w:val="21"/>
              </w:rPr>
            </w:pPr>
            <w:r>
              <w:rPr>
                <w:rFonts w:hint="eastAsia" w:ascii="仿宋" w:hAnsi="仿宋" w:eastAsia="仿宋" w:cs="宋体"/>
                <w:b/>
                <w:bCs/>
                <w:szCs w:val="21"/>
              </w:rPr>
              <w:t>评价项目</w:t>
            </w:r>
          </w:p>
        </w:tc>
        <w:tc>
          <w:tcPr>
            <w:tcW w:w="474" w:type="pct"/>
            <w:noWrap w:val="0"/>
            <w:vAlign w:val="center"/>
          </w:tcPr>
          <w:p>
            <w:pPr>
              <w:spacing w:line="480" w:lineRule="auto"/>
              <w:jc w:val="center"/>
              <w:rPr>
                <w:rFonts w:ascii="仿宋" w:hAnsi="仿宋" w:eastAsia="仿宋" w:cs="宋体"/>
                <w:b/>
                <w:bCs/>
                <w:szCs w:val="21"/>
              </w:rPr>
            </w:pPr>
            <w:r>
              <w:rPr>
                <w:rFonts w:hint="eastAsia" w:ascii="仿宋" w:hAnsi="仿宋" w:eastAsia="仿宋" w:cs="宋体"/>
                <w:b/>
                <w:bCs/>
                <w:szCs w:val="21"/>
              </w:rPr>
              <w:t>评价指标</w:t>
            </w:r>
          </w:p>
        </w:tc>
        <w:tc>
          <w:tcPr>
            <w:tcW w:w="340" w:type="pct"/>
            <w:noWrap w:val="0"/>
            <w:vAlign w:val="center"/>
          </w:tcPr>
          <w:p>
            <w:pPr>
              <w:spacing w:line="480" w:lineRule="auto"/>
              <w:jc w:val="center"/>
              <w:rPr>
                <w:rFonts w:ascii="仿宋" w:hAnsi="仿宋" w:eastAsia="仿宋" w:cs="宋体"/>
                <w:b/>
                <w:bCs/>
                <w:szCs w:val="21"/>
              </w:rPr>
            </w:pPr>
            <w:r>
              <w:rPr>
                <w:rFonts w:hint="eastAsia" w:ascii="仿宋" w:hAnsi="仿宋" w:eastAsia="仿宋" w:cs="宋体"/>
                <w:b/>
                <w:bCs/>
                <w:szCs w:val="21"/>
              </w:rPr>
              <w:t>分值</w:t>
            </w:r>
          </w:p>
        </w:tc>
        <w:tc>
          <w:tcPr>
            <w:tcW w:w="3274" w:type="pct"/>
            <w:noWrap w:val="0"/>
            <w:vAlign w:val="center"/>
          </w:tcPr>
          <w:p>
            <w:pPr>
              <w:spacing w:line="480" w:lineRule="auto"/>
              <w:jc w:val="center"/>
              <w:rPr>
                <w:rFonts w:ascii="仿宋" w:hAnsi="仿宋" w:eastAsia="仿宋" w:cs="宋体"/>
                <w:b/>
                <w:bCs/>
                <w:szCs w:val="21"/>
              </w:rPr>
            </w:pPr>
            <w:r>
              <w:rPr>
                <w:rFonts w:hint="eastAsia" w:ascii="仿宋" w:hAnsi="仿宋" w:eastAsia="仿宋" w:cs="宋体"/>
                <w:b/>
                <w:bCs/>
                <w:szCs w:val="21"/>
              </w:rPr>
              <w:t>评分细则</w:t>
            </w:r>
          </w:p>
        </w:tc>
        <w:tc>
          <w:tcPr>
            <w:tcW w:w="545" w:type="pct"/>
            <w:noWrap w:val="0"/>
            <w:vAlign w:val="center"/>
          </w:tcPr>
          <w:p>
            <w:pPr>
              <w:spacing w:line="480" w:lineRule="auto"/>
              <w:jc w:val="center"/>
              <w:rPr>
                <w:rFonts w:hint="default" w:ascii="仿宋" w:hAnsi="仿宋" w:eastAsia="仿宋" w:cs="宋体"/>
                <w:b/>
                <w:bCs/>
                <w:szCs w:val="21"/>
                <w:lang w:val="en-US" w:eastAsia="zh-CN"/>
              </w:rPr>
            </w:pPr>
            <w:r>
              <w:rPr>
                <w:rFonts w:hint="eastAsia" w:ascii="仿宋" w:hAnsi="仿宋" w:eastAsia="仿宋" w:cs="宋体"/>
                <w:b/>
                <w:bCs/>
                <w:szCs w:val="21"/>
                <w:lang w:val="en-US" w:eastAsia="zh-CN"/>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365" w:type="pct"/>
            <w:vMerge w:val="restart"/>
            <w:noWrap w:val="0"/>
            <w:vAlign w:val="center"/>
          </w:tcPr>
          <w:p>
            <w:pPr>
              <w:spacing w:line="360" w:lineRule="auto"/>
              <w:jc w:val="center"/>
              <w:rPr>
                <w:rFonts w:ascii="仿宋" w:hAnsi="仿宋" w:eastAsia="仿宋"/>
                <w:b w:val="0"/>
                <w:bCs w:val="0"/>
              </w:rPr>
            </w:pPr>
            <w:r>
              <w:rPr>
                <w:rFonts w:hint="eastAsia" w:ascii="仿宋" w:hAnsi="仿宋" w:eastAsia="仿宋"/>
                <w:b w:val="0"/>
                <w:bCs w:val="0"/>
              </w:rPr>
              <w:t>技术指标（</w:t>
            </w:r>
            <w:r>
              <w:rPr>
                <w:rFonts w:ascii="仿宋" w:hAnsi="仿宋" w:eastAsia="仿宋"/>
                <w:b w:val="0"/>
                <w:bCs w:val="0"/>
              </w:rPr>
              <w:t>50</w:t>
            </w:r>
            <w:r>
              <w:rPr>
                <w:rFonts w:hint="eastAsia" w:ascii="仿宋" w:hAnsi="仿宋" w:eastAsia="仿宋"/>
                <w:b w:val="0"/>
                <w:bCs w:val="0"/>
              </w:rPr>
              <w:t>分）</w:t>
            </w:r>
          </w:p>
          <w:p>
            <w:pPr>
              <w:spacing w:line="360" w:lineRule="auto"/>
              <w:jc w:val="center"/>
              <w:rPr>
                <w:rFonts w:ascii="仿宋" w:hAnsi="仿宋" w:eastAsia="仿宋"/>
                <w:b w:val="0"/>
                <w:bCs w:val="0"/>
              </w:rPr>
            </w:pPr>
          </w:p>
        </w:tc>
        <w:tc>
          <w:tcPr>
            <w:tcW w:w="474" w:type="pct"/>
            <w:noWrap w:val="0"/>
            <w:vAlign w:val="center"/>
          </w:tcPr>
          <w:p>
            <w:pPr>
              <w:spacing w:line="360" w:lineRule="auto"/>
              <w:jc w:val="center"/>
              <w:rPr>
                <w:rFonts w:ascii="仿宋" w:hAnsi="仿宋" w:eastAsia="仿宋"/>
                <w:b w:val="0"/>
                <w:bCs w:val="0"/>
              </w:rPr>
            </w:pPr>
            <w:r>
              <w:rPr>
                <w:rFonts w:ascii="仿宋" w:hAnsi="仿宋" w:eastAsia="仿宋"/>
                <w:b w:val="0"/>
                <w:bCs w:val="0"/>
              </w:rPr>
              <w:t>总体方案</w:t>
            </w:r>
          </w:p>
        </w:tc>
        <w:tc>
          <w:tcPr>
            <w:tcW w:w="340" w:type="pct"/>
            <w:noWrap w:val="0"/>
            <w:vAlign w:val="center"/>
          </w:tcPr>
          <w:p>
            <w:pPr>
              <w:spacing w:line="360" w:lineRule="auto"/>
              <w:jc w:val="center"/>
              <w:rPr>
                <w:rFonts w:ascii="仿宋" w:hAnsi="仿宋" w:eastAsia="仿宋"/>
                <w:b w:val="0"/>
                <w:bCs w:val="0"/>
              </w:rPr>
            </w:pPr>
            <w:r>
              <w:rPr>
                <w:rFonts w:hint="eastAsia" w:ascii="仿宋" w:hAnsi="仿宋" w:eastAsia="仿宋"/>
                <w:b w:val="0"/>
                <w:bCs w:val="0"/>
              </w:rPr>
              <w:t>3</w:t>
            </w:r>
            <w:r>
              <w:rPr>
                <w:rFonts w:ascii="仿宋" w:hAnsi="仿宋" w:eastAsia="仿宋"/>
                <w:b w:val="0"/>
                <w:bCs w:val="0"/>
              </w:rPr>
              <w:t>5</w:t>
            </w:r>
            <w:r>
              <w:rPr>
                <w:rFonts w:hint="eastAsia" w:ascii="仿宋" w:hAnsi="仿宋" w:eastAsia="仿宋"/>
                <w:b w:val="0"/>
                <w:bCs w:val="0"/>
              </w:rPr>
              <w:t>分</w:t>
            </w:r>
          </w:p>
        </w:tc>
        <w:tc>
          <w:tcPr>
            <w:tcW w:w="327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ascii="仿宋" w:hAnsi="仿宋" w:eastAsia="仿宋"/>
                <w:b w:val="0"/>
                <w:bCs w:val="0"/>
              </w:rPr>
            </w:pPr>
            <w:r>
              <w:rPr>
                <w:rFonts w:ascii="仿宋" w:hAnsi="仿宋" w:eastAsia="仿宋"/>
                <w:b w:val="0"/>
                <w:bCs w:val="0"/>
              </w:rPr>
              <w:t xml:space="preserve">深刻理解采购需求，方案完整、结构合理，功能划分准确、可操作性强，延续性、扩展性好、有针对性的方案。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ascii="仿宋" w:hAnsi="仿宋" w:eastAsia="仿宋"/>
                <w:b w:val="0"/>
                <w:bCs w:val="0"/>
              </w:rPr>
            </w:pPr>
            <w:r>
              <w:rPr>
                <w:rFonts w:ascii="仿宋" w:hAnsi="仿宋" w:eastAsia="仿宋"/>
                <w:b w:val="0"/>
                <w:bCs w:val="0"/>
              </w:rPr>
              <w:t>优：（</w:t>
            </w:r>
            <w:r>
              <w:rPr>
                <w:rFonts w:hint="eastAsia" w:ascii="仿宋" w:hAnsi="仿宋" w:eastAsia="仿宋"/>
                <w:b w:val="0"/>
                <w:bCs w:val="0"/>
              </w:rPr>
              <w:t>3</w:t>
            </w:r>
            <w:r>
              <w:rPr>
                <w:rFonts w:ascii="仿宋" w:hAnsi="仿宋" w:eastAsia="仿宋"/>
                <w:b w:val="0"/>
                <w:bCs w:val="0"/>
              </w:rPr>
              <w:t>5-</w:t>
            </w:r>
            <w:r>
              <w:rPr>
                <w:rFonts w:hint="eastAsia" w:ascii="仿宋" w:hAnsi="仿宋" w:eastAsia="仿宋"/>
                <w:b w:val="0"/>
                <w:bCs w:val="0"/>
              </w:rPr>
              <w:t>20</w:t>
            </w:r>
            <w:r>
              <w:rPr>
                <w:rFonts w:ascii="仿宋" w:hAnsi="仿宋" w:eastAsia="仿宋"/>
                <w:b w:val="0"/>
                <w:bCs w:val="0"/>
              </w:rPr>
              <w:t>分）方案完整、结构清晰、详细、针对性强</w:t>
            </w:r>
            <w:r>
              <w:rPr>
                <w:rFonts w:hint="eastAsia" w:ascii="仿宋" w:hAnsi="仿宋" w:eastAsia="仿宋"/>
                <w:b w:val="0"/>
                <w:bCs w:val="0"/>
              </w:rPr>
              <w:t>。</w:t>
            </w:r>
            <w:r>
              <w:rPr>
                <w:rFonts w:ascii="仿宋" w:hAnsi="仿宋" w:eastAsia="仿宋"/>
                <w:b w:val="0"/>
                <w:bCs w:val="0"/>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20" w:leftChars="200"/>
              <w:jc w:val="left"/>
              <w:textAlignment w:val="auto"/>
              <w:rPr>
                <w:rFonts w:ascii="仿宋" w:hAnsi="仿宋" w:eastAsia="仿宋"/>
                <w:b w:val="0"/>
                <w:bCs w:val="0"/>
              </w:rPr>
            </w:pPr>
            <w:r>
              <w:rPr>
                <w:rFonts w:ascii="仿宋" w:hAnsi="仿宋" w:eastAsia="仿宋"/>
                <w:b w:val="0"/>
                <w:bCs w:val="0"/>
              </w:rPr>
              <w:t>良：（</w:t>
            </w:r>
            <w:r>
              <w:rPr>
                <w:rFonts w:hint="eastAsia" w:ascii="仿宋" w:hAnsi="仿宋" w:eastAsia="仿宋"/>
                <w:b w:val="0"/>
                <w:bCs w:val="0"/>
              </w:rPr>
              <w:t>19</w:t>
            </w:r>
            <w:r>
              <w:rPr>
                <w:rFonts w:ascii="仿宋" w:hAnsi="仿宋" w:eastAsia="仿宋"/>
                <w:b w:val="0"/>
                <w:bCs w:val="0"/>
              </w:rPr>
              <w:t>-</w:t>
            </w:r>
            <w:r>
              <w:rPr>
                <w:rFonts w:hint="eastAsia" w:ascii="仿宋" w:hAnsi="仿宋" w:eastAsia="仿宋"/>
                <w:b w:val="0"/>
                <w:bCs w:val="0"/>
              </w:rPr>
              <w:t>10</w:t>
            </w:r>
            <w:r>
              <w:rPr>
                <w:rFonts w:ascii="仿宋" w:hAnsi="仿宋" w:eastAsia="仿宋"/>
                <w:b w:val="0"/>
                <w:bCs w:val="0"/>
              </w:rPr>
              <w:t>分）方案比较完整、结构比较清晰、有针对性</w:t>
            </w:r>
            <w:r>
              <w:rPr>
                <w:rFonts w:hint="eastAsia" w:ascii="仿宋" w:hAnsi="仿宋" w:eastAsia="仿宋"/>
                <w:b w:val="0"/>
                <w:bCs w:val="0"/>
              </w:rPr>
              <w:t>。</w:t>
            </w:r>
            <w:r>
              <w:rPr>
                <w:rFonts w:ascii="仿宋" w:hAnsi="仿宋" w:eastAsia="仿宋"/>
                <w:b w:val="0"/>
                <w:bCs w:val="0"/>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20" w:leftChars="200"/>
              <w:jc w:val="left"/>
              <w:textAlignment w:val="auto"/>
              <w:rPr>
                <w:rFonts w:ascii="仿宋" w:hAnsi="仿宋" w:eastAsia="仿宋"/>
                <w:b w:val="0"/>
                <w:bCs w:val="0"/>
              </w:rPr>
            </w:pPr>
            <w:r>
              <w:rPr>
                <w:rFonts w:ascii="仿宋" w:hAnsi="仿宋" w:eastAsia="仿宋"/>
                <w:b w:val="0"/>
                <w:bCs w:val="0"/>
              </w:rPr>
              <w:t>差：（</w:t>
            </w:r>
            <w:r>
              <w:rPr>
                <w:rFonts w:hint="eastAsia" w:ascii="仿宋" w:hAnsi="仿宋" w:eastAsia="仿宋"/>
                <w:b w:val="0"/>
                <w:bCs w:val="0"/>
              </w:rPr>
              <w:t>9</w:t>
            </w:r>
            <w:r>
              <w:rPr>
                <w:rFonts w:ascii="仿宋" w:hAnsi="仿宋" w:eastAsia="仿宋"/>
                <w:b w:val="0"/>
                <w:bCs w:val="0"/>
              </w:rPr>
              <w:t>-0 分）方案有缺陷或针对性不强</w:t>
            </w:r>
            <w:r>
              <w:rPr>
                <w:rFonts w:hint="eastAsia" w:ascii="仿宋" w:hAnsi="仿宋" w:eastAsia="仿宋"/>
                <w:b w:val="0"/>
                <w:bCs w:val="0"/>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ascii="仿宋" w:hAnsi="仿宋" w:eastAsia="仿宋"/>
                <w:b w:val="0"/>
                <w:bCs w:val="0"/>
              </w:rPr>
            </w:pPr>
            <w:r>
              <w:rPr>
                <w:rFonts w:hint="eastAsia" w:ascii="仿宋" w:hAnsi="仿宋" w:eastAsia="仿宋"/>
                <w:b w:val="0"/>
                <w:bCs w:val="0"/>
              </w:rPr>
              <w:t>未提供项目服务方案不得分。</w:t>
            </w:r>
          </w:p>
        </w:tc>
        <w:tc>
          <w:tcPr>
            <w:tcW w:w="545" w:type="pct"/>
            <w:noWrap w:val="0"/>
            <w:vAlign w:val="center"/>
          </w:tcPr>
          <w:p>
            <w:pPr>
              <w:spacing w:line="360" w:lineRule="auto"/>
              <w:ind w:firstLine="420" w:firstLineChars="200"/>
              <w:jc w:val="left"/>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vMerge w:val="continue"/>
            <w:noWrap w:val="0"/>
            <w:vAlign w:val="center"/>
          </w:tcPr>
          <w:p>
            <w:pPr>
              <w:spacing w:line="360" w:lineRule="auto"/>
              <w:jc w:val="center"/>
              <w:rPr>
                <w:rFonts w:ascii="仿宋" w:hAnsi="仿宋" w:eastAsia="仿宋"/>
                <w:b w:val="0"/>
                <w:bCs w:val="0"/>
              </w:rPr>
            </w:pPr>
          </w:p>
        </w:tc>
        <w:tc>
          <w:tcPr>
            <w:tcW w:w="474" w:type="pct"/>
            <w:noWrap w:val="0"/>
            <w:vAlign w:val="center"/>
          </w:tcPr>
          <w:p>
            <w:pPr>
              <w:spacing w:line="360" w:lineRule="auto"/>
              <w:jc w:val="center"/>
              <w:rPr>
                <w:rFonts w:ascii="仿宋" w:hAnsi="仿宋" w:eastAsia="仿宋"/>
                <w:b w:val="0"/>
                <w:bCs w:val="0"/>
              </w:rPr>
            </w:pPr>
            <w:r>
              <w:rPr>
                <w:rFonts w:ascii="仿宋" w:hAnsi="仿宋" w:eastAsia="仿宋"/>
                <w:b w:val="0"/>
                <w:bCs w:val="0"/>
              </w:rPr>
              <w:t>采购需求的理解及应答</w:t>
            </w:r>
          </w:p>
        </w:tc>
        <w:tc>
          <w:tcPr>
            <w:tcW w:w="340" w:type="pct"/>
            <w:noWrap w:val="0"/>
            <w:vAlign w:val="center"/>
          </w:tcPr>
          <w:p>
            <w:pPr>
              <w:spacing w:line="360" w:lineRule="auto"/>
              <w:jc w:val="center"/>
              <w:rPr>
                <w:rFonts w:ascii="仿宋" w:hAnsi="仿宋" w:eastAsia="仿宋"/>
                <w:b w:val="0"/>
                <w:bCs w:val="0"/>
              </w:rPr>
            </w:pPr>
            <w:r>
              <w:rPr>
                <w:rFonts w:hint="eastAsia" w:ascii="仿宋" w:hAnsi="仿宋" w:eastAsia="仿宋"/>
                <w:b w:val="0"/>
                <w:bCs w:val="0"/>
              </w:rPr>
              <w:t>15分</w:t>
            </w:r>
          </w:p>
        </w:tc>
        <w:tc>
          <w:tcPr>
            <w:tcW w:w="3274" w:type="pct"/>
            <w:noWrap w:val="0"/>
            <w:vAlign w:val="center"/>
          </w:tcPr>
          <w:p>
            <w:pPr>
              <w:spacing w:line="360" w:lineRule="auto"/>
              <w:ind w:firstLine="420" w:firstLineChars="200"/>
              <w:jc w:val="left"/>
              <w:rPr>
                <w:rFonts w:ascii="仿宋" w:hAnsi="仿宋" w:eastAsia="仿宋"/>
                <w:b w:val="0"/>
                <w:bCs w:val="0"/>
              </w:rPr>
            </w:pPr>
            <w:r>
              <w:rPr>
                <w:rFonts w:ascii="仿宋" w:hAnsi="仿宋" w:eastAsia="仿宋"/>
                <w:b w:val="0"/>
                <w:bCs w:val="0"/>
              </w:rPr>
              <w:t xml:space="preserve">对总体采购需求分析、发展趋势理解全面、透彻： </w:t>
            </w:r>
          </w:p>
          <w:p>
            <w:pPr>
              <w:spacing w:line="360" w:lineRule="auto"/>
              <w:ind w:firstLine="420" w:firstLineChars="200"/>
              <w:jc w:val="left"/>
              <w:rPr>
                <w:rFonts w:ascii="仿宋" w:hAnsi="仿宋" w:eastAsia="仿宋"/>
                <w:b w:val="0"/>
                <w:bCs w:val="0"/>
              </w:rPr>
            </w:pPr>
            <w:r>
              <w:rPr>
                <w:rFonts w:ascii="仿宋" w:hAnsi="仿宋" w:eastAsia="仿宋"/>
                <w:b w:val="0"/>
                <w:bCs w:val="0"/>
              </w:rPr>
              <w:t>优：（1</w:t>
            </w:r>
            <w:r>
              <w:rPr>
                <w:rFonts w:hint="eastAsia" w:ascii="仿宋" w:hAnsi="仿宋" w:eastAsia="仿宋"/>
                <w:b w:val="0"/>
                <w:bCs w:val="0"/>
              </w:rPr>
              <w:t>5</w:t>
            </w:r>
            <w:r>
              <w:rPr>
                <w:rFonts w:ascii="仿宋" w:hAnsi="仿宋" w:eastAsia="仿宋"/>
                <w:b w:val="0"/>
                <w:bCs w:val="0"/>
              </w:rPr>
              <w:t>-</w:t>
            </w:r>
            <w:r>
              <w:rPr>
                <w:rFonts w:hint="eastAsia" w:ascii="仿宋" w:hAnsi="仿宋" w:eastAsia="仿宋"/>
                <w:b w:val="0"/>
                <w:bCs w:val="0"/>
              </w:rPr>
              <w:t>10</w:t>
            </w:r>
            <w:r>
              <w:rPr>
                <w:rFonts w:ascii="仿宋" w:hAnsi="仿宋" w:eastAsia="仿宋"/>
                <w:b w:val="0"/>
                <w:bCs w:val="0"/>
              </w:rPr>
              <w:t xml:space="preserve"> 分）理解和分析全面、深入</w:t>
            </w:r>
            <w:r>
              <w:rPr>
                <w:rFonts w:hint="eastAsia" w:ascii="仿宋" w:hAnsi="仿宋" w:eastAsia="仿宋"/>
                <w:b w:val="0"/>
                <w:bCs w:val="0"/>
              </w:rPr>
              <w:t>。</w:t>
            </w:r>
            <w:r>
              <w:rPr>
                <w:rFonts w:ascii="仿宋" w:hAnsi="仿宋" w:eastAsia="仿宋"/>
                <w:b w:val="0"/>
                <w:bCs w:val="0"/>
              </w:rPr>
              <w:t xml:space="preserve"> </w:t>
            </w:r>
          </w:p>
          <w:p>
            <w:pPr>
              <w:spacing w:line="360" w:lineRule="auto"/>
              <w:ind w:firstLine="420" w:firstLineChars="200"/>
              <w:jc w:val="left"/>
              <w:rPr>
                <w:rFonts w:ascii="仿宋" w:hAnsi="仿宋" w:eastAsia="仿宋"/>
                <w:b w:val="0"/>
                <w:bCs w:val="0"/>
              </w:rPr>
            </w:pPr>
            <w:r>
              <w:rPr>
                <w:rFonts w:ascii="仿宋" w:hAnsi="仿宋" w:eastAsia="仿宋"/>
                <w:b w:val="0"/>
                <w:bCs w:val="0"/>
              </w:rPr>
              <w:t>良：（</w:t>
            </w:r>
            <w:r>
              <w:rPr>
                <w:rFonts w:hint="eastAsia" w:ascii="仿宋" w:hAnsi="仿宋" w:eastAsia="仿宋"/>
                <w:b w:val="0"/>
                <w:bCs w:val="0"/>
              </w:rPr>
              <w:t>9</w:t>
            </w:r>
            <w:r>
              <w:rPr>
                <w:rFonts w:ascii="仿宋" w:hAnsi="仿宋" w:eastAsia="仿宋"/>
                <w:b w:val="0"/>
                <w:bCs w:val="0"/>
              </w:rPr>
              <w:t>-</w:t>
            </w:r>
            <w:r>
              <w:rPr>
                <w:rFonts w:hint="eastAsia" w:ascii="仿宋" w:hAnsi="仿宋" w:eastAsia="仿宋"/>
                <w:b w:val="0"/>
                <w:bCs w:val="0"/>
              </w:rPr>
              <w:t>5</w:t>
            </w:r>
            <w:r>
              <w:rPr>
                <w:rFonts w:ascii="仿宋" w:hAnsi="仿宋" w:eastAsia="仿宋"/>
                <w:b w:val="0"/>
                <w:bCs w:val="0"/>
              </w:rPr>
              <w:t xml:space="preserve"> 分）理解和分析比较全面、准确</w:t>
            </w:r>
            <w:r>
              <w:rPr>
                <w:rFonts w:hint="eastAsia" w:ascii="仿宋" w:hAnsi="仿宋" w:eastAsia="仿宋"/>
                <w:b w:val="0"/>
                <w:bCs w:val="0"/>
              </w:rPr>
              <w:t>。</w:t>
            </w:r>
          </w:p>
          <w:p>
            <w:pPr>
              <w:spacing w:line="360" w:lineRule="auto"/>
              <w:ind w:firstLine="420" w:firstLineChars="200"/>
              <w:jc w:val="left"/>
              <w:rPr>
                <w:rFonts w:ascii="仿宋" w:hAnsi="仿宋" w:eastAsia="仿宋"/>
                <w:b w:val="0"/>
                <w:bCs w:val="0"/>
              </w:rPr>
            </w:pPr>
            <w:r>
              <w:rPr>
                <w:rFonts w:ascii="仿宋" w:hAnsi="仿宋" w:eastAsia="仿宋"/>
                <w:b w:val="0"/>
                <w:bCs w:val="0"/>
              </w:rPr>
              <w:t>差：（</w:t>
            </w:r>
            <w:r>
              <w:rPr>
                <w:rFonts w:hint="eastAsia" w:ascii="仿宋" w:hAnsi="仿宋" w:eastAsia="仿宋"/>
                <w:b w:val="0"/>
                <w:bCs w:val="0"/>
              </w:rPr>
              <w:t>4</w:t>
            </w:r>
            <w:r>
              <w:rPr>
                <w:rFonts w:ascii="仿宋" w:hAnsi="仿宋" w:eastAsia="仿宋"/>
                <w:b w:val="0"/>
                <w:bCs w:val="0"/>
              </w:rPr>
              <w:t>-0 分）理解和分析不全面或不准确。</w:t>
            </w:r>
          </w:p>
        </w:tc>
        <w:tc>
          <w:tcPr>
            <w:tcW w:w="545" w:type="pct"/>
            <w:noWrap w:val="0"/>
            <w:vAlign w:val="center"/>
          </w:tcPr>
          <w:p>
            <w:pPr>
              <w:spacing w:line="360" w:lineRule="auto"/>
              <w:ind w:firstLine="420" w:firstLineChars="20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jc w:val="center"/>
        </w:trPr>
        <w:tc>
          <w:tcPr>
            <w:tcW w:w="365" w:type="pct"/>
            <w:vMerge w:val="restart"/>
            <w:noWrap w:val="0"/>
            <w:vAlign w:val="center"/>
          </w:tcPr>
          <w:p>
            <w:pPr>
              <w:spacing w:line="360" w:lineRule="auto"/>
              <w:jc w:val="center"/>
              <w:rPr>
                <w:rFonts w:ascii="仿宋" w:hAnsi="仿宋" w:eastAsia="仿宋"/>
                <w:b w:val="0"/>
                <w:bCs w:val="0"/>
              </w:rPr>
            </w:pPr>
            <w:r>
              <w:rPr>
                <w:rFonts w:hint="eastAsia" w:ascii="仿宋" w:hAnsi="仿宋" w:eastAsia="仿宋"/>
                <w:b w:val="0"/>
                <w:bCs w:val="0"/>
              </w:rPr>
              <w:t>商务指标（</w:t>
            </w:r>
            <w:r>
              <w:rPr>
                <w:rFonts w:ascii="仿宋" w:hAnsi="仿宋" w:eastAsia="仿宋"/>
                <w:b w:val="0"/>
                <w:bCs w:val="0"/>
              </w:rPr>
              <w:t>20</w:t>
            </w:r>
            <w:r>
              <w:rPr>
                <w:rFonts w:hint="eastAsia" w:ascii="仿宋" w:hAnsi="仿宋" w:eastAsia="仿宋"/>
                <w:b w:val="0"/>
                <w:bCs w:val="0"/>
              </w:rPr>
              <w:t>分）</w:t>
            </w:r>
          </w:p>
        </w:tc>
        <w:tc>
          <w:tcPr>
            <w:tcW w:w="474" w:type="pct"/>
            <w:noWrap w:val="0"/>
            <w:vAlign w:val="center"/>
          </w:tcPr>
          <w:p>
            <w:pPr>
              <w:spacing w:line="360" w:lineRule="auto"/>
              <w:jc w:val="center"/>
              <w:rPr>
                <w:rFonts w:ascii="仿宋" w:hAnsi="仿宋" w:eastAsia="仿宋"/>
                <w:b w:val="0"/>
                <w:bCs w:val="0"/>
              </w:rPr>
            </w:pPr>
            <w:r>
              <w:rPr>
                <w:rFonts w:ascii="仿宋" w:hAnsi="仿宋" w:eastAsia="仿宋"/>
                <w:b w:val="0"/>
                <w:bCs w:val="0"/>
              </w:rPr>
              <w:t>类似业绩</w:t>
            </w:r>
          </w:p>
        </w:tc>
        <w:tc>
          <w:tcPr>
            <w:tcW w:w="340" w:type="pct"/>
            <w:noWrap w:val="0"/>
            <w:vAlign w:val="center"/>
          </w:tcPr>
          <w:p>
            <w:pPr>
              <w:spacing w:line="360" w:lineRule="auto"/>
              <w:jc w:val="center"/>
              <w:rPr>
                <w:rFonts w:ascii="仿宋" w:hAnsi="仿宋" w:eastAsia="仿宋"/>
                <w:b w:val="0"/>
                <w:bCs w:val="0"/>
              </w:rPr>
            </w:pPr>
            <w:r>
              <w:rPr>
                <w:rFonts w:ascii="仿宋" w:hAnsi="仿宋" w:eastAsia="仿宋"/>
                <w:b w:val="0"/>
                <w:bCs w:val="0"/>
              </w:rPr>
              <w:t>8</w:t>
            </w:r>
          </w:p>
        </w:tc>
        <w:tc>
          <w:tcPr>
            <w:tcW w:w="3274" w:type="pct"/>
            <w:noWrap w:val="0"/>
            <w:vAlign w:val="center"/>
          </w:tcPr>
          <w:p>
            <w:pPr>
              <w:spacing w:line="360" w:lineRule="auto"/>
              <w:ind w:firstLine="420" w:firstLineChars="200"/>
              <w:jc w:val="left"/>
              <w:rPr>
                <w:rFonts w:ascii="仿宋" w:hAnsi="仿宋" w:eastAsia="仿宋"/>
                <w:b w:val="0"/>
                <w:bCs w:val="0"/>
              </w:rPr>
            </w:pPr>
            <w:r>
              <w:rPr>
                <w:rFonts w:ascii="仿宋" w:hAnsi="仿宋" w:eastAsia="仿宋"/>
                <w:b w:val="0"/>
                <w:bCs w:val="0"/>
              </w:rPr>
              <w:t>投标人2020年以来具</w:t>
            </w:r>
            <w:r>
              <w:rPr>
                <w:rFonts w:hint="eastAsia" w:ascii="仿宋" w:hAnsi="仿宋" w:eastAsia="仿宋"/>
                <w:b w:val="0"/>
                <w:bCs w:val="0"/>
              </w:rPr>
              <w:t>有</w:t>
            </w:r>
            <w:r>
              <w:rPr>
                <w:rFonts w:ascii="仿宋" w:hAnsi="仿宋" w:eastAsia="仿宋"/>
                <w:b w:val="0"/>
                <w:bCs w:val="0"/>
              </w:rPr>
              <w:t xml:space="preserve">类似业绩，单项合同得4分，满分8分。 </w:t>
            </w:r>
          </w:p>
        </w:tc>
        <w:tc>
          <w:tcPr>
            <w:tcW w:w="545" w:type="pct"/>
            <w:noWrap w:val="0"/>
            <w:vAlign w:val="center"/>
          </w:tcPr>
          <w:p>
            <w:pPr>
              <w:spacing w:line="360" w:lineRule="auto"/>
              <w:ind w:firstLine="420" w:firstLineChars="20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365" w:type="pct"/>
            <w:vMerge w:val="continue"/>
            <w:noWrap w:val="0"/>
            <w:vAlign w:val="center"/>
          </w:tcPr>
          <w:p>
            <w:pPr>
              <w:spacing w:line="360" w:lineRule="auto"/>
              <w:jc w:val="center"/>
              <w:rPr>
                <w:rFonts w:ascii="仿宋" w:hAnsi="仿宋" w:eastAsia="仿宋"/>
                <w:b w:val="0"/>
                <w:bCs w:val="0"/>
              </w:rPr>
            </w:pPr>
          </w:p>
        </w:tc>
        <w:tc>
          <w:tcPr>
            <w:tcW w:w="474" w:type="pct"/>
            <w:noWrap w:val="0"/>
            <w:vAlign w:val="center"/>
          </w:tcPr>
          <w:p>
            <w:pPr>
              <w:spacing w:line="360" w:lineRule="auto"/>
              <w:jc w:val="center"/>
              <w:rPr>
                <w:rFonts w:ascii="仿宋" w:hAnsi="仿宋" w:eastAsia="仿宋"/>
                <w:b w:val="0"/>
                <w:bCs w:val="0"/>
              </w:rPr>
            </w:pPr>
            <w:r>
              <w:rPr>
                <w:rFonts w:ascii="仿宋" w:hAnsi="仿宋" w:eastAsia="仿宋"/>
                <w:b w:val="0"/>
                <w:bCs w:val="0"/>
              </w:rPr>
              <w:t>服务团队能力</w:t>
            </w:r>
          </w:p>
        </w:tc>
        <w:tc>
          <w:tcPr>
            <w:tcW w:w="340" w:type="pct"/>
            <w:noWrap w:val="0"/>
            <w:vAlign w:val="center"/>
          </w:tcPr>
          <w:p>
            <w:pPr>
              <w:spacing w:line="360" w:lineRule="auto"/>
              <w:jc w:val="center"/>
              <w:rPr>
                <w:rFonts w:ascii="仿宋" w:hAnsi="仿宋" w:eastAsia="仿宋"/>
                <w:b w:val="0"/>
                <w:bCs w:val="0"/>
              </w:rPr>
            </w:pPr>
            <w:r>
              <w:rPr>
                <w:rFonts w:hint="eastAsia" w:ascii="仿宋" w:hAnsi="仿宋" w:eastAsia="仿宋"/>
                <w:b w:val="0"/>
                <w:bCs w:val="0"/>
              </w:rPr>
              <w:t>12</w:t>
            </w:r>
          </w:p>
        </w:tc>
        <w:tc>
          <w:tcPr>
            <w:tcW w:w="3274" w:type="pct"/>
            <w:noWrap w:val="0"/>
            <w:vAlign w:val="center"/>
          </w:tcPr>
          <w:p>
            <w:pPr>
              <w:spacing w:line="360" w:lineRule="auto"/>
              <w:ind w:firstLine="420" w:firstLineChars="200"/>
              <w:jc w:val="left"/>
              <w:rPr>
                <w:rFonts w:ascii="仿宋" w:hAnsi="仿宋" w:eastAsia="仿宋"/>
                <w:b w:val="0"/>
                <w:bCs w:val="0"/>
              </w:rPr>
            </w:pPr>
            <w:r>
              <w:rPr>
                <w:rFonts w:hint="eastAsia" w:ascii="仿宋" w:hAnsi="仿宋" w:eastAsia="仿宋"/>
                <w:b w:val="0"/>
                <w:bCs w:val="0"/>
              </w:rPr>
              <w:t>项目负责人</w:t>
            </w:r>
            <w:r>
              <w:rPr>
                <w:rFonts w:ascii="仿宋" w:hAnsi="仿宋" w:eastAsia="仿宋"/>
                <w:b w:val="0"/>
                <w:bCs w:val="0"/>
              </w:rPr>
              <w:t>具有</w:t>
            </w:r>
            <w:r>
              <w:rPr>
                <w:rFonts w:hint="eastAsia" w:ascii="仿宋" w:hAnsi="仿宋" w:eastAsia="仿宋"/>
                <w:b w:val="0"/>
                <w:bCs w:val="0"/>
              </w:rPr>
              <w:t>副高职称，得分5分</w:t>
            </w:r>
            <w:r>
              <w:rPr>
                <w:rFonts w:ascii="仿宋" w:hAnsi="仿宋" w:eastAsia="仿宋"/>
                <w:b w:val="0"/>
                <w:bCs w:val="0"/>
              </w:rPr>
              <w:t>。</w:t>
            </w:r>
            <w:r>
              <w:rPr>
                <w:rFonts w:hint="eastAsia" w:ascii="仿宋" w:hAnsi="仿宋" w:eastAsia="仿宋"/>
                <w:b w:val="0"/>
                <w:bCs w:val="0"/>
              </w:rPr>
              <w:t>团队成员有3个以上中级职称的，得分7分</w:t>
            </w:r>
            <w:r>
              <w:rPr>
                <w:rFonts w:ascii="仿宋" w:hAnsi="仿宋" w:eastAsia="仿宋"/>
                <w:b w:val="0"/>
                <w:bCs w:val="0"/>
              </w:rPr>
              <w:t xml:space="preserve"> 注：投标人提供相关人员的上述证书及在投标单位2023年3-5月的社保记录，提供社保记录证明（加盖社保局章）复印件加盖公章。</w:t>
            </w:r>
          </w:p>
        </w:tc>
        <w:tc>
          <w:tcPr>
            <w:tcW w:w="545" w:type="pct"/>
            <w:noWrap w:val="0"/>
            <w:vAlign w:val="center"/>
          </w:tcPr>
          <w:p>
            <w:pPr>
              <w:spacing w:line="360" w:lineRule="auto"/>
              <w:ind w:firstLine="420" w:firstLineChars="200"/>
              <w:jc w:val="left"/>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7" w:hRule="atLeast"/>
          <w:jc w:val="center"/>
        </w:trPr>
        <w:tc>
          <w:tcPr>
            <w:tcW w:w="365" w:type="pct"/>
            <w:noWrap w:val="0"/>
            <w:vAlign w:val="center"/>
          </w:tcPr>
          <w:p>
            <w:pPr>
              <w:spacing w:line="360" w:lineRule="auto"/>
              <w:jc w:val="center"/>
              <w:rPr>
                <w:rFonts w:ascii="仿宋" w:hAnsi="仿宋" w:eastAsia="仿宋"/>
                <w:b w:val="0"/>
                <w:bCs w:val="0"/>
              </w:rPr>
            </w:pPr>
            <w:r>
              <w:rPr>
                <w:rFonts w:ascii="仿宋" w:hAnsi="仿宋" w:eastAsia="仿宋"/>
                <w:b w:val="0"/>
                <w:bCs w:val="0"/>
              </w:rPr>
              <w:t>价格指标</w:t>
            </w:r>
            <w:r>
              <w:rPr>
                <w:rFonts w:hint="eastAsia" w:ascii="仿宋" w:hAnsi="仿宋" w:eastAsia="仿宋"/>
                <w:b w:val="0"/>
                <w:bCs w:val="0"/>
              </w:rPr>
              <w:t>（</w:t>
            </w:r>
            <w:r>
              <w:rPr>
                <w:rFonts w:ascii="仿宋" w:hAnsi="仿宋" w:eastAsia="仿宋"/>
                <w:b w:val="0"/>
                <w:bCs w:val="0"/>
              </w:rPr>
              <w:t>30</w:t>
            </w:r>
            <w:r>
              <w:rPr>
                <w:rFonts w:hint="eastAsia" w:ascii="仿宋" w:hAnsi="仿宋" w:eastAsia="仿宋"/>
                <w:b w:val="0"/>
                <w:bCs w:val="0"/>
              </w:rPr>
              <w:t>分）</w:t>
            </w:r>
          </w:p>
        </w:tc>
        <w:tc>
          <w:tcPr>
            <w:tcW w:w="474" w:type="pct"/>
            <w:noWrap w:val="0"/>
            <w:vAlign w:val="center"/>
          </w:tcPr>
          <w:p>
            <w:pPr>
              <w:spacing w:line="360" w:lineRule="auto"/>
              <w:jc w:val="center"/>
              <w:rPr>
                <w:rFonts w:ascii="仿宋" w:hAnsi="仿宋" w:eastAsia="仿宋"/>
                <w:b w:val="0"/>
                <w:bCs w:val="0"/>
              </w:rPr>
            </w:pPr>
            <w:r>
              <w:rPr>
                <w:rFonts w:ascii="仿宋" w:hAnsi="仿宋" w:eastAsia="仿宋"/>
                <w:b w:val="0"/>
                <w:bCs w:val="0"/>
              </w:rPr>
              <w:t>价格</w:t>
            </w:r>
          </w:p>
        </w:tc>
        <w:tc>
          <w:tcPr>
            <w:tcW w:w="340" w:type="pct"/>
            <w:noWrap w:val="0"/>
            <w:vAlign w:val="center"/>
          </w:tcPr>
          <w:p>
            <w:pPr>
              <w:spacing w:line="360" w:lineRule="auto"/>
              <w:jc w:val="center"/>
              <w:rPr>
                <w:rFonts w:ascii="仿宋" w:hAnsi="仿宋" w:eastAsia="仿宋"/>
                <w:b w:val="0"/>
                <w:bCs w:val="0"/>
              </w:rPr>
            </w:pPr>
            <w:r>
              <w:rPr>
                <w:rFonts w:ascii="仿宋" w:hAnsi="仿宋" w:eastAsia="仿宋"/>
                <w:b w:val="0"/>
                <w:bCs w:val="0"/>
              </w:rPr>
              <w:t>30</w:t>
            </w:r>
          </w:p>
        </w:tc>
        <w:tc>
          <w:tcPr>
            <w:tcW w:w="3274" w:type="pct"/>
            <w:noWrap w:val="0"/>
            <w:vAlign w:val="center"/>
          </w:tcPr>
          <w:p>
            <w:pPr>
              <w:spacing w:line="360" w:lineRule="auto"/>
              <w:ind w:firstLine="420" w:firstLineChars="200"/>
              <w:jc w:val="left"/>
              <w:rPr>
                <w:rFonts w:ascii="仿宋" w:hAnsi="仿宋" w:eastAsia="仿宋"/>
                <w:b w:val="0"/>
                <w:bCs w:val="0"/>
              </w:rPr>
            </w:pPr>
            <w:r>
              <w:rPr>
                <w:rFonts w:ascii="仿宋" w:hAnsi="仿宋" w:eastAsia="仿宋"/>
                <w:b w:val="0"/>
                <w:bCs w:val="0"/>
              </w:rPr>
              <w:t>价格得分=（评标基准价/投标报价）×30说明：评标基准价为满足招标文件要求且报价最低的投标报价， 其价格分为满分。</w:t>
            </w:r>
          </w:p>
        </w:tc>
        <w:tc>
          <w:tcPr>
            <w:tcW w:w="545" w:type="pct"/>
            <w:noWrap w:val="0"/>
            <w:vAlign w:val="center"/>
          </w:tcPr>
          <w:p>
            <w:pPr>
              <w:spacing w:line="360" w:lineRule="auto"/>
              <w:ind w:firstLine="420" w:firstLineChars="20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65" w:type="pct"/>
            <w:noWrap w:val="0"/>
            <w:vAlign w:val="center"/>
          </w:tcPr>
          <w:p>
            <w:pPr>
              <w:spacing w:line="360" w:lineRule="auto"/>
              <w:jc w:val="center"/>
              <w:rPr>
                <w:rFonts w:ascii="仿宋" w:hAnsi="仿宋" w:eastAsia="仿宋"/>
                <w:b w:val="0"/>
                <w:bCs w:val="0"/>
              </w:rPr>
            </w:pPr>
          </w:p>
        </w:tc>
        <w:tc>
          <w:tcPr>
            <w:tcW w:w="474" w:type="pct"/>
            <w:noWrap w:val="0"/>
            <w:vAlign w:val="center"/>
          </w:tcPr>
          <w:p>
            <w:pPr>
              <w:spacing w:line="360" w:lineRule="auto"/>
              <w:jc w:val="center"/>
              <w:rPr>
                <w:rFonts w:ascii="仿宋" w:hAnsi="仿宋" w:eastAsia="仿宋"/>
                <w:b w:val="0"/>
                <w:bCs w:val="0"/>
              </w:rPr>
            </w:pPr>
          </w:p>
        </w:tc>
        <w:tc>
          <w:tcPr>
            <w:tcW w:w="340" w:type="pct"/>
            <w:noWrap w:val="0"/>
            <w:vAlign w:val="center"/>
          </w:tcPr>
          <w:p>
            <w:pPr>
              <w:spacing w:line="360" w:lineRule="auto"/>
              <w:jc w:val="center"/>
              <w:rPr>
                <w:rFonts w:ascii="仿宋" w:hAnsi="仿宋" w:eastAsia="仿宋"/>
                <w:b w:val="0"/>
                <w:bCs w:val="0"/>
              </w:rPr>
            </w:pPr>
          </w:p>
        </w:tc>
        <w:tc>
          <w:tcPr>
            <w:tcW w:w="3274" w:type="pct"/>
            <w:noWrap w:val="0"/>
            <w:vAlign w:val="center"/>
          </w:tcPr>
          <w:p>
            <w:pPr>
              <w:spacing w:line="360" w:lineRule="auto"/>
              <w:ind w:firstLine="420" w:firstLineChars="200"/>
              <w:jc w:val="center"/>
              <w:rPr>
                <w:rFonts w:hint="eastAsia" w:ascii="仿宋" w:hAnsi="仿宋" w:eastAsia="仿宋"/>
                <w:b w:val="0"/>
                <w:bCs w:val="0"/>
                <w:lang w:eastAsia="zh-CN"/>
              </w:rPr>
            </w:pPr>
            <w:r>
              <w:rPr>
                <w:rFonts w:hint="eastAsia" w:ascii="仿宋" w:hAnsi="仿宋" w:eastAsia="仿宋"/>
                <w:b w:val="0"/>
                <w:bCs w:val="0"/>
                <w:lang w:eastAsia="zh-CN"/>
              </w:rPr>
              <w:t>合计</w:t>
            </w:r>
          </w:p>
        </w:tc>
        <w:tc>
          <w:tcPr>
            <w:tcW w:w="545" w:type="pct"/>
            <w:noWrap w:val="0"/>
            <w:vAlign w:val="center"/>
          </w:tcPr>
          <w:p>
            <w:pPr>
              <w:spacing w:line="360" w:lineRule="auto"/>
              <w:ind w:firstLine="420" w:firstLineChars="200"/>
              <w:jc w:val="left"/>
              <w:rPr>
                <w:rFonts w:ascii="仿宋" w:hAnsi="仿宋" w:eastAsia="仿宋"/>
              </w:rPr>
            </w:pPr>
          </w:p>
        </w:tc>
      </w:tr>
    </w:tbl>
    <w:p>
      <w:pPr>
        <w:bidi w:val="0"/>
        <w:jc w:val="left"/>
        <w:rPr>
          <w:rFonts w:hint="eastAsia"/>
          <w:lang w:val="en-US" w:eastAsia="zh-CN"/>
        </w:rPr>
      </w:pPr>
    </w:p>
    <w:sectPr>
      <w:footerReference r:id="rId3" w:type="default"/>
      <w:pgSz w:w="11906" w:h="16838"/>
      <w:pgMar w:top="1327" w:right="1800" w:bottom="13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方正仿宋简体"/>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小标宋">
    <w:altName w:val="方正小标宋_GBK"/>
    <w:panose1 w:val="00000000000000000000"/>
    <w:charset w:val="00"/>
    <w:family w:val="auto"/>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8</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84908"/>
    <w:multiLevelType w:val="multilevel"/>
    <w:tmpl w:val="0FB8490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727196"/>
    <w:multiLevelType w:val="multilevel"/>
    <w:tmpl w:val="57727196"/>
    <w:lvl w:ilvl="0" w:tentative="0">
      <w:start w:val="2"/>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74"/>
    <w:rsid w:val="000064FB"/>
    <w:rsid w:val="00013C10"/>
    <w:rsid w:val="000606E1"/>
    <w:rsid w:val="000638F1"/>
    <w:rsid w:val="000B4184"/>
    <w:rsid w:val="000F3D08"/>
    <w:rsid w:val="000F6626"/>
    <w:rsid w:val="001269A0"/>
    <w:rsid w:val="00127023"/>
    <w:rsid w:val="00130AF0"/>
    <w:rsid w:val="00163394"/>
    <w:rsid w:val="0016480E"/>
    <w:rsid w:val="00174EDA"/>
    <w:rsid w:val="001A51C6"/>
    <w:rsid w:val="001A6A9E"/>
    <w:rsid w:val="001D06EE"/>
    <w:rsid w:val="00223A9F"/>
    <w:rsid w:val="00280169"/>
    <w:rsid w:val="002A71BE"/>
    <w:rsid w:val="002B7960"/>
    <w:rsid w:val="002E181B"/>
    <w:rsid w:val="002E687C"/>
    <w:rsid w:val="002F5D3E"/>
    <w:rsid w:val="00344780"/>
    <w:rsid w:val="003843C3"/>
    <w:rsid w:val="00384D49"/>
    <w:rsid w:val="00392052"/>
    <w:rsid w:val="003D0605"/>
    <w:rsid w:val="003D7D61"/>
    <w:rsid w:val="004456BC"/>
    <w:rsid w:val="004A6B82"/>
    <w:rsid w:val="004B0440"/>
    <w:rsid w:val="005239CD"/>
    <w:rsid w:val="00540919"/>
    <w:rsid w:val="00570EE0"/>
    <w:rsid w:val="005B4E8F"/>
    <w:rsid w:val="00612CB4"/>
    <w:rsid w:val="00615048"/>
    <w:rsid w:val="006268F0"/>
    <w:rsid w:val="006542AA"/>
    <w:rsid w:val="006703D5"/>
    <w:rsid w:val="006B38FB"/>
    <w:rsid w:val="006F4F5E"/>
    <w:rsid w:val="006F5134"/>
    <w:rsid w:val="007022A6"/>
    <w:rsid w:val="00703095"/>
    <w:rsid w:val="00740697"/>
    <w:rsid w:val="00755AA5"/>
    <w:rsid w:val="00783E59"/>
    <w:rsid w:val="00792B50"/>
    <w:rsid w:val="00794B6C"/>
    <w:rsid w:val="007A5323"/>
    <w:rsid w:val="007C345B"/>
    <w:rsid w:val="007F3902"/>
    <w:rsid w:val="00811126"/>
    <w:rsid w:val="00824246"/>
    <w:rsid w:val="0083258A"/>
    <w:rsid w:val="00844DF8"/>
    <w:rsid w:val="008955ED"/>
    <w:rsid w:val="008C0EDA"/>
    <w:rsid w:val="008F1939"/>
    <w:rsid w:val="0091502C"/>
    <w:rsid w:val="0092219B"/>
    <w:rsid w:val="009476F0"/>
    <w:rsid w:val="00973125"/>
    <w:rsid w:val="00997647"/>
    <w:rsid w:val="009B1E5B"/>
    <w:rsid w:val="009B6362"/>
    <w:rsid w:val="009B63B9"/>
    <w:rsid w:val="009C1BB4"/>
    <w:rsid w:val="009F0557"/>
    <w:rsid w:val="009F2DC3"/>
    <w:rsid w:val="00A54A66"/>
    <w:rsid w:val="00A83A44"/>
    <w:rsid w:val="00AD3512"/>
    <w:rsid w:val="00AF2E55"/>
    <w:rsid w:val="00AF586B"/>
    <w:rsid w:val="00B06667"/>
    <w:rsid w:val="00B216BD"/>
    <w:rsid w:val="00B4000D"/>
    <w:rsid w:val="00B51CC3"/>
    <w:rsid w:val="00B55A8B"/>
    <w:rsid w:val="00BD79A1"/>
    <w:rsid w:val="00C50010"/>
    <w:rsid w:val="00C64169"/>
    <w:rsid w:val="00C92CAB"/>
    <w:rsid w:val="00CB37EF"/>
    <w:rsid w:val="00CD1698"/>
    <w:rsid w:val="00CD2CAE"/>
    <w:rsid w:val="00D06438"/>
    <w:rsid w:val="00D072DD"/>
    <w:rsid w:val="00D15D3A"/>
    <w:rsid w:val="00D53B98"/>
    <w:rsid w:val="00D66B3C"/>
    <w:rsid w:val="00DA4731"/>
    <w:rsid w:val="00DD6B00"/>
    <w:rsid w:val="00DE0EC6"/>
    <w:rsid w:val="00DF4DF2"/>
    <w:rsid w:val="00E024BE"/>
    <w:rsid w:val="00E06738"/>
    <w:rsid w:val="00E36B4F"/>
    <w:rsid w:val="00E6208B"/>
    <w:rsid w:val="00E641F8"/>
    <w:rsid w:val="00E66220"/>
    <w:rsid w:val="00EB7CB7"/>
    <w:rsid w:val="00EC5C88"/>
    <w:rsid w:val="00ED0B55"/>
    <w:rsid w:val="00ED5B74"/>
    <w:rsid w:val="00F15DCB"/>
    <w:rsid w:val="00F35349"/>
    <w:rsid w:val="00F64B34"/>
    <w:rsid w:val="00F92295"/>
    <w:rsid w:val="00FA0209"/>
    <w:rsid w:val="00FA0B23"/>
    <w:rsid w:val="00FA43F0"/>
    <w:rsid w:val="00FD6776"/>
    <w:rsid w:val="025326D8"/>
    <w:rsid w:val="045F0C31"/>
    <w:rsid w:val="05047D21"/>
    <w:rsid w:val="0EB644BF"/>
    <w:rsid w:val="17FB0F09"/>
    <w:rsid w:val="24BC1932"/>
    <w:rsid w:val="265B134E"/>
    <w:rsid w:val="268B083A"/>
    <w:rsid w:val="283E3075"/>
    <w:rsid w:val="2F782E27"/>
    <w:rsid w:val="303A77FE"/>
    <w:rsid w:val="3FF34C67"/>
    <w:rsid w:val="428F025F"/>
    <w:rsid w:val="4B383E12"/>
    <w:rsid w:val="64CE29F7"/>
    <w:rsid w:val="6AFCD503"/>
    <w:rsid w:val="743BA55A"/>
    <w:rsid w:val="7F2DA9AF"/>
    <w:rsid w:val="7F57CA70"/>
    <w:rsid w:val="E3D75D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40" w:after="330" w:line="360" w:lineRule="auto"/>
      <w:jc w:val="center"/>
      <w:outlineLvl w:val="0"/>
    </w:pPr>
    <w:rPr>
      <w:rFonts w:ascii="宋体" w:hAnsi="宋体" w:eastAsia="黑体"/>
      <w:b/>
      <w:bCs/>
      <w:kern w:val="44"/>
      <w:sz w:val="28"/>
      <w:szCs w:val="44"/>
    </w:rPr>
  </w:style>
  <w:style w:type="paragraph" w:styleId="2">
    <w:name w:val="heading 3"/>
    <w:basedOn w:val="1"/>
    <w:next w:val="1"/>
    <w:qFormat/>
    <w:uiPriority w:val="99"/>
    <w:pPr>
      <w:keepNext/>
      <w:keepLines/>
      <w:outlineLvl w:val="2"/>
    </w:pPr>
    <w:rPr>
      <w:rFonts w:eastAsia="仿宋"/>
      <w:b/>
      <w:bCs/>
      <w:sz w:val="28"/>
      <w:szCs w:val="28"/>
      <w:lang w:val="zh-CN"/>
    </w:rPr>
  </w:style>
  <w:style w:type="paragraph" w:styleId="4">
    <w:name w:val="heading 4"/>
    <w:basedOn w:val="1"/>
    <w:next w:val="1"/>
    <w:link w:val="16"/>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jc w:val="left"/>
    </w:pPr>
  </w:style>
  <w:style w:type="paragraph" w:styleId="6">
    <w:name w:val="annotation text"/>
    <w:basedOn w:val="1"/>
    <w:link w:val="17"/>
    <w:qFormat/>
    <w:uiPriority w:val="0"/>
    <w:pPr>
      <w:adjustRightInd w:val="0"/>
      <w:spacing w:line="360" w:lineRule="atLeast"/>
      <w:jc w:val="left"/>
      <w:textAlignment w:val="baseline"/>
    </w:pPr>
    <w:rPr>
      <w:rFonts w:ascii="Times New Roman" w:hAnsi="Times New Roman"/>
      <w:kern w:val="0"/>
      <w:sz w:val="20"/>
    </w:rPr>
  </w:style>
  <w:style w:type="paragraph" w:styleId="7">
    <w:name w:val="Balloon Text"/>
    <w:basedOn w:val="1"/>
    <w:link w:val="18"/>
    <w:qFormat/>
    <w:uiPriority w:val="0"/>
    <w:rPr>
      <w:rFonts w:ascii="等线" w:hAnsi="等线" w:eastAsia="等线" w:cs="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napToGrid w:val="0"/>
      <w:spacing w:line="360" w:lineRule="auto"/>
    </w:pPr>
    <w:rPr>
      <w:rFonts w:eastAsia="黑体"/>
      <w:sz w:val="28"/>
    </w:rPr>
  </w:style>
  <w:style w:type="paragraph" w:styleId="11">
    <w:name w:val="Body Text Indent 3"/>
    <w:basedOn w:val="1"/>
    <w:link w:val="21"/>
    <w:unhideWhenUsed/>
    <w:qFormat/>
    <w:uiPriority w:val="0"/>
    <w:pPr>
      <w:adjustRightInd w:val="0"/>
      <w:ind w:firstLine="426"/>
      <w:textAlignment w:val="baseline"/>
    </w:pPr>
    <w:rPr>
      <w:rFonts w:ascii="Times New Roman" w:hAnsi="Times New Roman"/>
      <w:kern w:val="0"/>
      <w:sz w:val="20"/>
      <w:szCs w:val="20"/>
    </w:rPr>
  </w:style>
  <w:style w:type="paragraph" w:styleId="12">
    <w:name w:val="Normal (Web)"/>
    <w:basedOn w:val="1"/>
    <w:qFormat/>
    <w:uiPriority w:val="0"/>
    <w:pPr>
      <w:spacing w:beforeAutospacing="1" w:afterAutospacing="1"/>
      <w:jc w:val="left"/>
    </w:pPr>
    <w:rPr>
      <w:kern w:val="0"/>
      <w:sz w:val="24"/>
    </w:rPr>
  </w:style>
  <w:style w:type="character" w:styleId="15">
    <w:name w:val="Strong"/>
    <w:qFormat/>
    <w:uiPriority w:val="0"/>
    <w:rPr>
      <w:b/>
    </w:rPr>
  </w:style>
  <w:style w:type="character" w:customStyle="1" w:styleId="16">
    <w:name w:val="标题 4 字符"/>
    <w:link w:val="4"/>
    <w:semiHidden/>
    <w:qFormat/>
    <w:uiPriority w:val="9"/>
    <w:rPr>
      <w:rFonts w:ascii="等线 Light" w:hAnsi="等线 Light" w:eastAsia="等线 Light" w:cs="Times New Roman"/>
      <w:b/>
      <w:bCs/>
      <w:kern w:val="2"/>
      <w:sz w:val="28"/>
      <w:szCs w:val="28"/>
    </w:rPr>
  </w:style>
  <w:style w:type="character" w:customStyle="1" w:styleId="17">
    <w:name w:val="批注文字 字符"/>
    <w:link w:val="6"/>
    <w:qFormat/>
    <w:uiPriority w:val="0"/>
    <w:rPr>
      <w:szCs w:val="24"/>
    </w:rPr>
  </w:style>
  <w:style w:type="character" w:customStyle="1" w:styleId="18">
    <w:name w:val="批注框文本 字符"/>
    <w:link w:val="7"/>
    <w:qFormat/>
    <w:uiPriority w:val="0"/>
    <w:rPr>
      <w:rFonts w:ascii="等线" w:hAnsi="等线" w:eastAsia="等线" w:cs="Times New Roman"/>
      <w:kern w:val="2"/>
      <w:sz w:val="18"/>
      <w:szCs w:val="18"/>
    </w:rPr>
  </w:style>
  <w:style w:type="character" w:customStyle="1" w:styleId="19">
    <w:name w:val="页脚 字符"/>
    <w:link w:val="8"/>
    <w:qFormat/>
    <w:uiPriority w:val="99"/>
    <w:rPr>
      <w:sz w:val="18"/>
      <w:szCs w:val="18"/>
    </w:rPr>
  </w:style>
  <w:style w:type="character" w:customStyle="1" w:styleId="20">
    <w:name w:val="页眉 字符"/>
    <w:link w:val="9"/>
    <w:qFormat/>
    <w:uiPriority w:val="99"/>
    <w:rPr>
      <w:sz w:val="18"/>
      <w:szCs w:val="18"/>
    </w:rPr>
  </w:style>
  <w:style w:type="character" w:customStyle="1" w:styleId="21">
    <w:name w:val="正文文本缩进 3 字符"/>
    <w:basedOn w:val="14"/>
    <w:link w:val="11"/>
    <w:qFormat/>
    <w:uiPriority w:val="0"/>
  </w:style>
  <w:style w:type="character" w:customStyle="1" w:styleId="22">
    <w:name w:val="纯文本 Char1"/>
    <w:link w:val="23"/>
    <w:qFormat/>
    <w:uiPriority w:val="0"/>
    <w:rPr>
      <w:rFonts w:ascii="宋体" w:hAnsi="宋体"/>
      <w:szCs w:val="21"/>
    </w:rPr>
  </w:style>
  <w:style w:type="paragraph" w:customStyle="1" w:styleId="23">
    <w:name w:val="纯文本1"/>
    <w:basedOn w:val="1"/>
    <w:link w:val="22"/>
    <w:qFormat/>
    <w:uiPriority w:val="0"/>
    <w:pPr>
      <w:jc w:val="left"/>
    </w:pPr>
    <w:rPr>
      <w:rFonts w:ascii="宋体" w:hAnsi="宋体" w:eastAsia="等线" w:cs="Times New Roman"/>
      <w:szCs w:val="21"/>
    </w:rPr>
  </w:style>
  <w:style w:type="paragraph" w:styleId="24">
    <w:name w:val="List Paragraph"/>
    <w:basedOn w:val="1"/>
    <w:qFormat/>
    <w:uiPriority w:val="34"/>
    <w:pPr>
      <w:ind w:firstLine="420" w:firstLineChars="200"/>
    </w:pPr>
  </w:style>
  <w:style w:type="paragraph" w:customStyle="1" w:styleId="25">
    <w:name w:val="正文缩进2格"/>
    <w:basedOn w:val="1"/>
    <w:qFormat/>
    <w:uiPriority w:val="0"/>
    <w:pPr>
      <w:adjustRightInd w:val="0"/>
      <w:spacing w:line="600" w:lineRule="exact"/>
      <w:ind w:firstLine="639" w:firstLineChars="206"/>
      <w:textAlignment w:val="baseline"/>
    </w:pPr>
    <w:rPr>
      <w:rFonts w:ascii="仿宋_GB2312" w:hAnsi="宋体" w:eastAsia="仿宋_GB2312"/>
      <w:kern w:val="0"/>
      <w:sz w:val="31"/>
      <w:szCs w:val="28"/>
    </w:rPr>
  </w:style>
  <w:style w:type="paragraph" w:customStyle="1" w:styleId="26">
    <w:name w:val="样式1"/>
    <w:basedOn w:val="1"/>
    <w:next w:val="4"/>
    <w:qFormat/>
    <w:uiPriority w:val="0"/>
    <w:pPr>
      <w:tabs>
        <w:tab w:val="left" w:pos="5879"/>
      </w:tabs>
      <w:ind w:firstLine="480" w:firstLineChars="200"/>
    </w:pPr>
    <w:rPr>
      <w:rFonts w:ascii="Times New Roman" w:hAnsi="Times New Roman"/>
      <w:sz w:val="24"/>
    </w:rPr>
  </w:style>
  <w:style w:type="paragraph" w:customStyle="1" w:styleId="27">
    <w:name w:val="Table Paragraph"/>
    <w:basedOn w:val="1"/>
    <w:qFormat/>
    <w:uiPriority w:val="0"/>
    <w:rPr>
      <w:rFonts w:ascii="仿宋" w:hAnsi="仿宋" w:eastAsia="仿宋" w:cs="仿宋"/>
      <w:lang w:val="zh-CN" w:bidi="zh-CN"/>
    </w:rPr>
  </w:style>
  <w:style w:type="paragraph" w:customStyle="1" w:styleId="28">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390</Words>
  <Characters>2227</Characters>
  <Lines>18</Lines>
  <Paragraphs>5</Paragraphs>
  <TotalTime>28</TotalTime>
  <ScaleCrop>false</ScaleCrop>
  <LinksUpToDate>false</LinksUpToDate>
  <CharactersWithSpaces>2612</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2021-11-16T14:00:00Z</dcterms:created>
  <dc:creator>个人用户</dc:creator>
  <cp:lastModifiedBy>uos</cp:lastModifiedBy>
  <cp:lastPrinted>2023-07-28T09:00:53Z</cp:lastPrinted>
  <dcterms:modified xsi:type="dcterms:W3CDTF">2023-07-28T09:41:30Z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435B7C34A3B5DD746D12C364C69169A9</vt:lpwstr>
  </property>
</Properties>
</file>