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0" w:firstLineChars="500"/>
        <w:rPr>
          <w:rFonts w:hint="eastAsia" w:eastAsiaTheme="minorEastAsia"/>
          <w:sz w:val="36"/>
          <w:szCs w:val="36"/>
          <w:lang w:val="en-US" w:eastAsia="zh-CN"/>
        </w:rPr>
      </w:pPr>
      <w:bookmarkStart w:id="0" w:name="_GoBack"/>
      <w:r>
        <w:rPr>
          <w:rFonts w:hint="eastAsia"/>
          <w:sz w:val="36"/>
          <w:szCs w:val="36"/>
          <w:lang w:eastAsia="zh-CN"/>
        </w:rPr>
        <w:t>江门市非税收入缴款通知书</w:t>
      </w:r>
      <w:bookmarkEnd w:id="0"/>
      <w:r>
        <w:rPr>
          <w:rFonts w:hint="eastAsia"/>
          <w:sz w:val="36"/>
          <w:szCs w:val="36"/>
          <w:lang w:val="en-US" w:eastAsia="zh-CN"/>
        </w:rPr>
        <w:t xml:space="preserve"> NO:</w:t>
      </w:r>
    </w:p>
    <w:p>
      <w:pPr>
        <w:rPr>
          <w:rFonts w:hint="default" w:ascii="宋体" w:hAnsi="宋体" w:eastAsia="宋体" w:cs="宋体"/>
          <w:sz w:val="21"/>
          <w:szCs w:val="21"/>
          <w:lang w:val="en-US" w:eastAsia="zh-CN"/>
        </w:rPr>
      </w:pPr>
      <w:r>
        <w:rPr>
          <w:rFonts w:hint="eastAsia" w:ascii="宋体" w:hAnsi="宋体" w:eastAsia="宋体" w:cs="宋体"/>
          <w:sz w:val="21"/>
          <w:szCs w:val="21"/>
          <w:lang w:eastAsia="zh-CN"/>
        </w:rPr>
        <w:t>日期：</w:t>
      </w:r>
      <w:r>
        <w:rPr>
          <w:rFonts w:hint="eastAsia" w:ascii="宋体" w:hAnsi="宋体" w:eastAsia="宋体" w:cs="宋体"/>
          <w:sz w:val="21"/>
          <w:szCs w:val="21"/>
          <w:lang w:val="en-US" w:eastAsia="zh-CN"/>
        </w:rPr>
        <w:t xml:space="preserve">     年  月  日                       金额单位：(元)</w:t>
      </w:r>
    </w:p>
    <w:tbl>
      <w:tblPr>
        <w:tblStyle w:val="3"/>
        <w:tblW w:w="8575"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1932"/>
        <w:gridCol w:w="1050"/>
        <w:gridCol w:w="1162"/>
        <w:gridCol w:w="121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执收单位名称</w:t>
            </w:r>
          </w:p>
        </w:tc>
        <w:tc>
          <w:tcPr>
            <w:tcW w:w="2982" w:type="dxa"/>
            <w:gridSpan w:val="2"/>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执收单位编码</w:t>
            </w:r>
          </w:p>
        </w:tc>
        <w:tc>
          <w:tcPr>
            <w:tcW w:w="2545" w:type="dxa"/>
            <w:gridSpan w:val="2"/>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缴款单位/个人</w:t>
            </w:r>
          </w:p>
        </w:tc>
        <w:tc>
          <w:tcPr>
            <w:tcW w:w="6689" w:type="dxa"/>
            <w:gridSpan w:val="5"/>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缴款项目编码</w:t>
            </w:r>
          </w:p>
        </w:tc>
        <w:tc>
          <w:tcPr>
            <w:tcW w:w="193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缴款项目名称</w:t>
            </w:r>
          </w:p>
        </w:tc>
        <w:tc>
          <w:tcPr>
            <w:tcW w:w="1050"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标准</w:t>
            </w:r>
          </w:p>
        </w:tc>
        <w:tc>
          <w:tcPr>
            <w:tcW w:w="116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数量</w:t>
            </w:r>
          </w:p>
        </w:tc>
        <w:tc>
          <w:tcPr>
            <w:tcW w:w="1219"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滞纳金率</w:t>
            </w:r>
          </w:p>
        </w:tc>
        <w:tc>
          <w:tcPr>
            <w:tcW w:w="132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86"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r>
              <w:rPr>
                <w:rFonts w:hint="eastAsia" w:ascii="宋体" w:hAnsi="宋体" w:eastAsia="宋体" w:cs="宋体"/>
                <w:sz w:val="15"/>
                <w:szCs w:val="15"/>
                <w:vertAlign w:val="baseline"/>
                <w:lang w:val="en-US" w:eastAsia="zh-CN"/>
              </w:rPr>
              <w:t>合计</w:t>
            </w:r>
          </w:p>
        </w:tc>
        <w:tc>
          <w:tcPr>
            <w:tcW w:w="6689" w:type="dxa"/>
            <w:gridSpan w:val="5"/>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万    仟     佰     拾     元整       ¥</w:t>
            </w:r>
          </w:p>
        </w:tc>
      </w:tr>
    </w:tbl>
    <w:tbl>
      <w:tblPr>
        <w:tblStyle w:val="3"/>
        <w:tblpPr w:leftFromText="180" w:rightFromText="180" w:vertAnchor="text" w:horzAnchor="page" w:tblpX="1765" w:tblpY="87"/>
        <w:tblOverlap w:val="never"/>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2067"/>
        <w:gridCol w:w="2720"/>
        <w:gridCol w:w="2307"/>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603"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序号</w:t>
            </w:r>
          </w:p>
        </w:tc>
        <w:tc>
          <w:tcPr>
            <w:tcW w:w="206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银行</w:t>
            </w:r>
          </w:p>
        </w:tc>
        <w:tc>
          <w:tcPr>
            <w:tcW w:w="272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账户名称</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账号</w:t>
            </w:r>
          </w:p>
        </w:tc>
        <w:tc>
          <w:tcPr>
            <w:tcW w:w="89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r>
              <w:rPr>
                <w:rFonts w:hint="eastAsia" w:ascii="宋体" w:hAnsi="宋体" w:eastAsia="宋体" w:cs="宋体"/>
                <w:sz w:val="15"/>
                <w:szCs w:val="15"/>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建设银行江门分行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待报解预算收入暂挂户</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440670239156241035009908003</w:t>
            </w:r>
          </w:p>
        </w:tc>
        <w:tc>
          <w:tcPr>
            <w:tcW w:w="890" w:type="dxa"/>
            <w:vMerge w:val="restart"/>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中国银行江门分行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待结算地方财政非税收入</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9336770018535022</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广发银行江门分行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待报解预算收入-非税</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10300115622159021990001</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中国邮政储蓄银行江门分行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代理收缴非税收入款项</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4415602000860491</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5</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农业银行江门分行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待结算江门市非税代收缴专户</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370301012000158</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6</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工商银行江门分行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待报解预算收入-江门市市级非税收入</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2012002711200317833</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603"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7</w:t>
            </w:r>
          </w:p>
        </w:tc>
        <w:tc>
          <w:tcPr>
            <w:tcW w:w="206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江门农村商业银行</w:t>
            </w:r>
          </w:p>
        </w:tc>
        <w:tc>
          <w:tcPr>
            <w:tcW w:w="272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待划款项</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9083510012030001</w:t>
            </w:r>
          </w:p>
        </w:tc>
        <w:tc>
          <w:tcPr>
            <w:tcW w:w="890" w:type="dxa"/>
            <w:vMerge w:val="continue"/>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p>
        </w:tc>
      </w:tr>
    </w:tbl>
    <w:tbl>
      <w:tblPr>
        <w:tblStyle w:val="3"/>
        <w:tblpPr w:leftFromText="180" w:rightFromText="180" w:vertAnchor="text" w:horzAnchor="page" w:tblpX="1756" w:tblpY="370"/>
        <w:tblOverlap w:val="never"/>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819"/>
        <w:gridCol w:w="1221"/>
        <w:gridCol w:w="900"/>
        <w:gridCol w:w="1061"/>
        <w:gridCol w:w="1060"/>
        <w:gridCol w:w="1062"/>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426"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滞纳金起计日期</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221"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缴款截止日期</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号码校验码</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全书校验码</w:t>
            </w:r>
          </w:p>
        </w:tc>
        <w:tc>
          <w:tcPr>
            <w:tcW w:w="1055" w:type="dxa"/>
            <w:vAlign w:val="top"/>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sz w:val="15"/>
                <w:szCs w:val="15"/>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执收单位（盖章）                经办人：               复核人：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缴费单位（个人）可往农业银行江门分行市区的营业网点；建设银行江门分行市区对公营业网点办理缴款手续；</w:t>
      </w:r>
      <w:r>
        <w:rPr>
          <w:rFonts w:hint="eastAsia" w:ascii="宋体" w:hAnsi="宋体" w:eastAsia="宋体" w:cs="宋体"/>
          <w:color w:val="auto"/>
          <w:sz w:val="21"/>
          <w:szCs w:val="21"/>
          <w:highlight w:val="none"/>
          <w:lang w:val="en-US" w:eastAsia="zh-CN"/>
        </w:rPr>
        <w:t>中行江门市蓬江区港口路22号。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代收银行咨询电话：农行：3287620，建行：3500108，中行：3163222，邮政行：3500283，发展行3288621，工行：3169861。如遇银行拒收，缴款人可直接拨打上述电话投诉或请银行柜台人员拨打上述电话进行咨询。</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需转账缴款时，本缴款通知书必须随转账凭证一并交换至收款银行。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采用转账方式缴款的，转账时需备注执收单位编码和通知书编码；转账后请及时到收款银行开具财政票据，未开具的视为未缴款。</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非税网上缴费，目前只支持建行、农行、中行网银。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73AE0A"/>
    <w:multiLevelType w:val="singleLevel"/>
    <w:tmpl w:val="B773AE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11BD61AE"/>
    <w:rsid w:val="1231185F"/>
    <w:rsid w:val="1CD833D1"/>
    <w:rsid w:val="1EC27692"/>
    <w:rsid w:val="362B6D8E"/>
    <w:rsid w:val="5BE2171C"/>
    <w:rsid w:val="5DC2163E"/>
    <w:rsid w:val="61604A59"/>
    <w:rsid w:val="7341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2021-04-01T03:51:00Z</dcterms:created>
  <dc:creator>Mascot</dc:creator>
  <cp:lastModifiedBy>风</cp:lastModifiedBy>
  <cp:lastPrinted>2021-04-01T08:32:00Z</cp:lastPrinted>
  <dcterms:modified xsi:type="dcterms:W3CDTF">2022-02-16T02:43:43Z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D7E6F9412379413C89588C0F31D557EF</vt:lpwstr>
  </property>
</Properties>
</file>