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江门市农业农村局202</w:t>
      </w:r>
      <w:r>
        <w:rPr>
          <w:rFonts w:hint="eastAsia" w:ascii="仿宋_GB2312" w:hAnsi="Times New Roman" w:cs="宋体"/>
          <w:b/>
          <w:bCs/>
          <w:color w:val="000000"/>
          <w:kern w:val="0"/>
          <w:sz w:val="44"/>
          <w:szCs w:val="44"/>
          <w:lang w:val="en-US" w:eastAsia="zh-CN"/>
        </w:rPr>
        <w:t>3</w:t>
      </w:r>
      <w:r>
        <w:rPr>
          <w:rFonts w:hint="eastAsia" w:ascii="仿宋_GB2312" w:hAnsi="Times New Roman" w:eastAsia="仿宋_GB2312" w:cs="宋体"/>
          <w:b/>
          <w:bCs/>
          <w:color w:val="000000"/>
          <w:kern w:val="0"/>
          <w:sz w:val="44"/>
          <w:szCs w:val="44"/>
          <w:lang w:val="en-US" w:eastAsia="zh-CN"/>
        </w:rPr>
        <w:t>年渔业资源</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Times New Roman"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增殖放流评审</w:t>
      </w:r>
      <w:r>
        <w:rPr>
          <w:rFonts w:hint="eastAsia" w:ascii="仿宋_GB2312" w:hAnsi="Times New Roman" w:cs="宋体"/>
          <w:b/>
          <w:bCs/>
          <w:color w:val="000000"/>
          <w:kern w:val="0"/>
          <w:sz w:val="44"/>
          <w:szCs w:val="44"/>
          <w:lang w:val="en-US" w:eastAsia="zh-CN"/>
        </w:rPr>
        <w:t>标准</w:t>
      </w:r>
      <w:bookmarkStart w:id="0" w:name="_GoBack"/>
      <w:bookmarkEnd w:id="0"/>
    </w:p>
    <w:tbl>
      <w:tblPr>
        <w:tblStyle w:val="4"/>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786"/>
        <w:gridCol w:w="6732"/>
        <w:gridCol w:w="7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序号</w:t>
            </w:r>
          </w:p>
        </w:tc>
        <w:tc>
          <w:tcPr>
            <w:tcW w:w="434" w:type="pct"/>
            <w:noWrap w:val="0"/>
            <w:vAlign w:val="center"/>
          </w:tcPr>
          <w:p>
            <w:pPr>
              <w:snapToGrid w:val="0"/>
              <w:spacing w:line="240" w:lineRule="auto"/>
              <w:ind w:left="-118" w:leftChars="-37" w:right="-112" w:rightChars="-35"/>
              <w:jc w:val="center"/>
              <w:rPr>
                <w:rFonts w:hint="eastAsia" w:ascii="宋体" w:hAnsi="宋体" w:cs="宋体"/>
                <w:b/>
                <w:sz w:val="24"/>
              </w:rPr>
            </w:pPr>
            <w:r>
              <w:rPr>
                <w:rFonts w:hint="eastAsia" w:ascii="宋体" w:hAnsi="宋体" w:cs="宋体"/>
                <w:b/>
                <w:sz w:val="24"/>
              </w:rPr>
              <w:t>评审</w:t>
            </w:r>
          </w:p>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因素</w:t>
            </w:r>
          </w:p>
        </w:tc>
        <w:tc>
          <w:tcPr>
            <w:tcW w:w="3713" w:type="pct"/>
            <w:noWrap w:val="0"/>
            <w:vAlign w:val="center"/>
          </w:tcPr>
          <w:p>
            <w:pPr>
              <w:snapToGrid w:val="0"/>
              <w:spacing w:line="240" w:lineRule="auto"/>
              <w:ind w:left="-118" w:leftChars="-37" w:right="-112" w:rightChars="-35"/>
              <w:jc w:val="center"/>
              <w:rPr>
                <w:rFonts w:ascii="宋体" w:hAnsi="宋体" w:cs="宋体"/>
                <w:b/>
                <w:color w:val="595959"/>
                <w:sz w:val="24"/>
              </w:rPr>
            </w:pPr>
            <w:r>
              <w:rPr>
                <w:rFonts w:hint="eastAsia" w:ascii="宋体" w:hAnsi="宋体" w:cs="宋体"/>
                <w:b/>
                <w:sz w:val="24"/>
              </w:rPr>
              <w:t>评分细则</w:t>
            </w:r>
          </w:p>
        </w:tc>
        <w:tc>
          <w:tcPr>
            <w:tcW w:w="420" w:type="pct"/>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分值（分）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430" w:type="pct"/>
            <w:noWrap w:val="0"/>
            <w:vAlign w:val="center"/>
          </w:tcPr>
          <w:p>
            <w:pPr>
              <w:snapToGrid w:val="0"/>
              <w:spacing w:line="240" w:lineRule="auto"/>
              <w:ind w:left="-118" w:leftChars="-37" w:right="-112" w:rightChars="-35"/>
              <w:jc w:val="center"/>
              <w:rPr>
                <w:rFonts w:ascii="宋体" w:hAnsi="宋体" w:cs="宋体"/>
                <w:sz w:val="24"/>
              </w:rPr>
            </w:pPr>
            <w:r>
              <w:rPr>
                <w:rFonts w:hint="eastAsia" w:ascii="宋体" w:hAnsi="宋体" w:cs="宋体"/>
                <w:sz w:val="24"/>
              </w:rPr>
              <w:t>一</w:t>
            </w:r>
          </w:p>
        </w:tc>
        <w:tc>
          <w:tcPr>
            <w:tcW w:w="4569" w:type="pct"/>
            <w:gridSpan w:val="3"/>
            <w:noWrap w:val="0"/>
            <w:vAlign w:val="center"/>
          </w:tcPr>
          <w:p>
            <w:pPr>
              <w:snapToGrid w:val="0"/>
              <w:spacing w:line="240" w:lineRule="auto"/>
              <w:ind w:left="-118" w:leftChars="-37" w:right="-112" w:rightChars="-35"/>
              <w:jc w:val="center"/>
              <w:rPr>
                <w:rFonts w:hint="eastAsia" w:ascii="宋体" w:hAnsi="宋体"/>
                <w:b/>
                <w:sz w:val="24"/>
              </w:rPr>
            </w:pPr>
            <w:r>
              <w:rPr>
                <w:rFonts w:hint="eastAsia" w:ascii="宋体" w:hAnsi="宋体"/>
                <w:b/>
                <w:sz w:val="24"/>
              </w:rPr>
              <w:t>技术部分（合计：</w:t>
            </w:r>
            <w:r>
              <w:rPr>
                <w:rFonts w:hint="eastAsia"/>
                <w:b/>
                <w:sz w:val="24"/>
                <w:lang w:val="en-US" w:eastAsia="zh-CN"/>
              </w:rPr>
              <w:t>5</w:t>
            </w:r>
            <w:r>
              <w:rPr>
                <w:rFonts w:hint="eastAsia" w:ascii="宋体" w:hAnsi="宋体"/>
                <w:b/>
                <w:sz w:val="24"/>
              </w:rPr>
              <w:t>5分）</w:t>
            </w:r>
            <w:r>
              <w:rPr>
                <w:rFonts w:ascii="宋体" w:hAnsi="宋体"/>
                <w:b/>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spacing w:line="240" w:lineRule="auto"/>
              <w:jc w:val="center"/>
              <w:rPr>
                <w:rFonts w:hint="eastAsia" w:ascii="宋体" w:hAnsi="宋体" w:eastAsia="仿宋_GB2312" w:cs="宋体"/>
                <w:sz w:val="24"/>
                <w:lang w:eastAsia="zh-CN"/>
              </w:rPr>
            </w:pPr>
            <w:r>
              <w:rPr>
                <w:rFonts w:hint="eastAsia" w:cs="宋体"/>
                <w:sz w:val="24"/>
                <w:lang w:eastAsia="zh-CN"/>
              </w:rPr>
              <w:t>基础条件</w:t>
            </w:r>
          </w:p>
        </w:tc>
        <w:tc>
          <w:tcPr>
            <w:tcW w:w="3713" w:type="pct"/>
            <w:noWrap w:val="0"/>
            <w:vAlign w:val="center"/>
          </w:tcPr>
          <w:p>
            <w:pPr>
              <w:tabs>
                <w:tab w:val="left" w:pos="0"/>
              </w:tabs>
              <w:spacing w:line="240" w:lineRule="auto"/>
              <w:jc w:val="both"/>
              <w:rPr>
                <w:rFonts w:ascii="宋体" w:hAnsi="宋体"/>
                <w:color w:val="000000"/>
                <w:sz w:val="24"/>
                <w:highlight w:val="none"/>
              </w:rPr>
            </w:pPr>
            <w:r>
              <w:rPr>
                <w:rFonts w:ascii="宋体" w:hAnsi="宋体"/>
                <w:color w:val="000000"/>
                <w:kern w:val="0"/>
                <w:sz w:val="24"/>
                <w:highlight w:val="none"/>
              </w:rPr>
              <w:t>1</w:t>
            </w:r>
            <w:r>
              <w:rPr>
                <w:rFonts w:hint="eastAsia" w:ascii="宋体" w:hAnsi="宋体"/>
                <w:color w:val="000000"/>
                <w:kern w:val="0"/>
                <w:sz w:val="24"/>
                <w:highlight w:val="none"/>
              </w:rPr>
              <w:t>、</w:t>
            </w:r>
            <w:r>
              <w:rPr>
                <w:rFonts w:hint="eastAsia" w:ascii="宋体" w:hAnsi="宋体"/>
                <w:color w:val="000000"/>
                <w:sz w:val="24"/>
                <w:highlight w:val="none"/>
              </w:rPr>
              <w:t>苗种产区为非疫病区</w:t>
            </w:r>
            <w:r>
              <w:rPr>
                <w:rFonts w:hint="eastAsia" w:ascii="宋体" w:hAnsi="宋体"/>
                <w:color w:val="000000"/>
                <w:kern w:val="0"/>
                <w:sz w:val="24"/>
                <w:highlight w:val="none"/>
              </w:rPr>
              <w:t>的得</w:t>
            </w:r>
            <w:r>
              <w:rPr>
                <w:rFonts w:hint="eastAsia"/>
                <w:color w:val="000000"/>
                <w:kern w:val="0"/>
                <w:sz w:val="24"/>
                <w:highlight w:val="none"/>
                <w:lang w:val="en-US" w:eastAsia="zh-CN"/>
              </w:rPr>
              <w:t>2</w:t>
            </w:r>
            <w:r>
              <w:rPr>
                <w:rFonts w:hint="eastAsia" w:ascii="宋体" w:hAnsi="宋体"/>
                <w:color w:val="000000"/>
                <w:kern w:val="0"/>
                <w:sz w:val="24"/>
                <w:highlight w:val="none"/>
              </w:rPr>
              <w:t>分；否则不得分。</w:t>
            </w:r>
          </w:p>
          <w:p>
            <w:pPr>
              <w:tabs>
                <w:tab w:val="left" w:pos="0"/>
              </w:tabs>
              <w:spacing w:line="240" w:lineRule="auto"/>
              <w:jc w:val="both"/>
              <w:rPr>
                <w:rFonts w:hint="eastAsia" w:ascii="宋体" w:hAnsi="宋体"/>
                <w:color w:val="000000"/>
                <w:kern w:val="0"/>
                <w:sz w:val="24"/>
                <w:highlight w:val="none"/>
              </w:rPr>
            </w:pPr>
            <w:r>
              <w:rPr>
                <w:rFonts w:ascii="宋体" w:hAnsi="宋体"/>
                <w:color w:val="000000"/>
                <w:kern w:val="0"/>
                <w:sz w:val="24"/>
                <w:highlight w:val="none"/>
              </w:rPr>
              <w:t>2</w:t>
            </w:r>
            <w:r>
              <w:rPr>
                <w:rFonts w:hint="eastAsia" w:ascii="宋体" w:hAnsi="宋体"/>
                <w:color w:val="000000"/>
                <w:kern w:val="0"/>
                <w:sz w:val="24"/>
                <w:highlight w:val="none"/>
              </w:rPr>
              <w:t>、具有养殖用水预处理设施设备且正常使用</w:t>
            </w:r>
            <w:r>
              <w:rPr>
                <w:rFonts w:hint="eastAsia"/>
                <w:color w:val="000000"/>
                <w:kern w:val="0"/>
                <w:sz w:val="24"/>
                <w:highlight w:val="none"/>
                <w:lang w:eastAsia="zh-CN"/>
              </w:rPr>
              <w:t>得</w:t>
            </w:r>
            <w:r>
              <w:rPr>
                <w:rFonts w:hint="eastAsia" w:ascii="宋体" w:hAnsi="宋体"/>
                <w:color w:val="000000"/>
                <w:kern w:val="0"/>
                <w:sz w:val="24"/>
                <w:highlight w:val="none"/>
              </w:rPr>
              <w:t>2分</w:t>
            </w:r>
            <w:r>
              <w:rPr>
                <w:rFonts w:hint="eastAsia"/>
                <w:color w:val="000000"/>
                <w:kern w:val="0"/>
                <w:sz w:val="24"/>
                <w:highlight w:val="none"/>
                <w:lang w:eastAsia="zh-CN"/>
              </w:rPr>
              <w:t>。</w:t>
            </w:r>
            <w:r>
              <w:rPr>
                <w:rFonts w:hint="eastAsia" w:ascii="宋体" w:hAnsi="宋体"/>
                <w:b/>
                <w:bCs/>
                <w:color w:val="000000"/>
                <w:kern w:val="0"/>
                <w:sz w:val="24"/>
                <w:highlight w:val="none"/>
              </w:rPr>
              <w:t>提供照片等相关证明材料，否则不得分。</w:t>
            </w:r>
          </w:p>
          <w:p>
            <w:pPr>
              <w:tabs>
                <w:tab w:val="left" w:pos="0"/>
              </w:tabs>
              <w:spacing w:line="240" w:lineRule="auto"/>
              <w:jc w:val="both"/>
              <w:rPr>
                <w:rFonts w:hint="eastAsia" w:ascii="宋体" w:hAnsi="宋体"/>
                <w:color w:val="000000"/>
                <w:kern w:val="0"/>
                <w:sz w:val="24"/>
                <w:highlight w:val="none"/>
              </w:rPr>
            </w:pPr>
            <w:r>
              <w:rPr>
                <w:rFonts w:hint="eastAsia"/>
                <w:color w:val="000000"/>
                <w:kern w:val="0"/>
                <w:sz w:val="24"/>
                <w:highlight w:val="none"/>
                <w:lang w:val="en-US" w:eastAsia="zh-CN"/>
              </w:rPr>
              <w:t>3、</w:t>
            </w:r>
            <w:r>
              <w:rPr>
                <w:rFonts w:hint="eastAsia" w:ascii="宋体" w:hAnsi="宋体"/>
                <w:color w:val="000000"/>
                <w:kern w:val="0"/>
                <w:sz w:val="24"/>
                <w:highlight w:val="none"/>
              </w:rPr>
              <w:t>配备水质检测仪器设备且正常使用</w:t>
            </w:r>
            <w:r>
              <w:rPr>
                <w:rFonts w:hint="eastAsia"/>
                <w:color w:val="000000"/>
                <w:kern w:val="0"/>
                <w:sz w:val="24"/>
                <w:highlight w:val="none"/>
                <w:lang w:eastAsia="zh-CN"/>
              </w:rPr>
              <w:t>得</w:t>
            </w:r>
            <w:r>
              <w:rPr>
                <w:rFonts w:hint="eastAsia" w:ascii="宋体" w:hAnsi="宋体"/>
                <w:color w:val="000000"/>
                <w:kern w:val="0"/>
                <w:sz w:val="24"/>
                <w:highlight w:val="none"/>
              </w:rPr>
              <w:t>2分</w:t>
            </w:r>
            <w:r>
              <w:rPr>
                <w:rFonts w:hint="eastAsia"/>
                <w:color w:val="000000"/>
                <w:kern w:val="0"/>
                <w:sz w:val="24"/>
                <w:highlight w:val="none"/>
                <w:lang w:eastAsia="zh-CN"/>
              </w:rPr>
              <w:t>。</w:t>
            </w:r>
            <w:r>
              <w:rPr>
                <w:rFonts w:hint="eastAsia" w:ascii="宋体" w:hAnsi="宋体"/>
                <w:b/>
                <w:bCs/>
                <w:color w:val="000000"/>
                <w:kern w:val="0"/>
                <w:sz w:val="24"/>
                <w:highlight w:val="none"/>
              </w:rPr>
              <w:t>提供照片等相关证明材料，否则不得分。</w:t>
            </w:r>
          </w:p>
          <w:p>
            <w:pPr>
              <w:tabs>
                <w:tab w:val="left" w:pos="0"/>
              </w:tabs>
              <w:spacing w:line="240" w:lineRule="auto"/>
              <w:jc w:val="both"/>
              <w:rPr>
                <w:rFonts w:hint="eastAsia" w:ascii="宋体" w:hAnsi="宋体" w:eastAsia="仿宋_GB2312"/>
                <w:b/>
                <w:bCs/>
                <w:color w:val="000000"/>
                <w:kern w:val="0"/>
                <w:sz w:val="24"/>
                <w:highlight w:val="none"/>
                <w:lang w:eastAsia="zh-CN"/>
              </w:rPr>
            </w:pPr>
            <w:r>
              <w:rPr>
                <w:rFonts w:hint="eastAsia"/>
                <w:color w:val="000000"/>
                <w:kern w:val="0"/>
                <w:sz w:val="24"/>
                <w:highlight w:val="none"/>
                <w:lang w:val="en-US" w:eastAsia="zh-CN"/>
              </w:rPr>
              <w:t>4、</w:t>
            </w:r>
            <w:r>
              <w:rPr>
                <w:rFonts w:hint="eastAsia" w:ascii="宋体" w:hAnsi="宋体"/>
                <w:color w:val="000000"/>
                <w:kern w:val="0"/>
                <w:sz w:val="24"/>
                <w:highlight w:val="none"/>
              </w:rPr>
              <w:t>用水水质符合《无公害食品海水养殖用水水质》《无公害食品淡水养殖用水水质》标准或更高标准的</w:t>
            </w:r>
            <w:r>
              <w:rPr>
                <w:rFonts w:hint="eastAsia"/>
                <w:color w:val="000000"/>
                <w:kern w:val="0"/>
                <w:sz w:val="24"/>
                <w:highlight w:val="none"/>
                <w:lang w:eastAsia="zh-CN"/>
              </w:rPr>
              <w:t>得</w:t>
            </w:r>
            <w:r>
              <w:rPr>
                <w:rFonts w:hint="eastAsia" w:ascii="宋体" w:hAnsi="宋体"/>
                <w:color w:val="000000"/>
                <w:kern w:val="0"/>
                <w:sz w:val="24"/>
                <w:highlight w:val="none"/>
              </w:rPr>
              <w:t>2分</w:t>
            </w:r>
            <w:r>
              <w:rPr>
                <w:rFonts w:hint="eastAsia"/>
                <w:color w:val="000000"/>
                <w:kern w:val="0"/>
                <w:sz w:val="24"/>
                <w:highlight w:val="none"/>
                <w:lang w:eastAsia="zh-CN"/>
              </w:rPr>
              <w:t>。</w:t>
            </w:r>
            <w:r>
              <w:rPr>
                <w:rFonts w:hint="eastAsia"/>
                <w:b/>
                <w:bCs/>
                <w:color w:val="000000"/>
                <w:kern w:val="0"/>
                <w:sz w:val="24"/>
                <w:highlight w:val="none"/>
                <w:lang w:eastAsia="zh-CN"/>
              </w:rPr>
              <w:t>提供检测报告，</w:t>
            </w:r>
            <w:r>
              <w:rPr>
                <w:rFonts w:hint="eastAsia" w:ascii="宋体" w:hAnsi="宋体"/>
                <w:b/>
                <w:bCs/>
                <w:color w:val="000000"/>
                <w:kern w:val="0"/>
                <w:sz w:val="24"/>
                <w:highlight w:val="none"/>
              </w:rPr>
              <w:t>否则不得分</w:t>
            </w:r>
            <w:r>
              <w:rPr>
                <w:rFonts w:hint="eastAsia"/>
                <w:b/>
                <w:bCs/>
                <w:color w:val="000000"/>
                <w:kern w:val="0"/>
                <w:sz w:val="24"/>
                <w:highlight w:val="none"/>
                <w:lang w:eastAsia="zh-CN"/>
              </w:rPr>
              <w:t>。</w:t>
            </w:r>
          </w:p>
          <w:p>
            <w:pPr>
              <w:tabs>
                <w:tab w:val="left" w:pos="0"/>
              </w:tabs>
              <w:spacing w:line="240" w:lineRule="auto"/>
              <w:jc w:val="both"/>
              <w:rPr>
                <w:rFonts w:ascii="宋体" w:hAnsi="宋体" w:cs="宋体"/>
                <w:sz w:val="24"/>
              </w:rPr>
            </w:pPr>
            <w:r>
              <w:rPr>
                <w:rFonts w:hint="eastAsia"/>
                <w:color w:val="000000"/>
                <w:kern w:val="0"/>
                <w:sz w:val="24"/>
                <w:highlight w:val="none"/>
                <w:lang w:val="en-US" w:eastAsia="zh-CN"/>
              </w:rPr>
              <w:t>5、</w:t>
            </w:r>
            <w:r>
              <w:rPr>
                <w:rFonts w:hint="eastAsia"/>
                <w:color w:val="000000"/>
                <w:kern w:val="0"/>
                <w:sz w:val="24"/>
                <w:highlight w:val="none"/>
                <w:lang w:eastAsia="zh-CN"/>
              </w:rPr>
              <w:t>水产苗种经产地检疫，具有检疫合格证明得</w:t>
            </w:r>
            <w:r>
              <w:rPr>
                <w:rFonts w:hint="eastAsia"/>
                <w:color w:val="000000"/>
                <w:kern w:val="0"/>
                <w:sz w:val="24"/>
                <w:highlight w:val="none"/>
                <w:lang w:val="en-US" w:eastAsia="zh-CN"/>
              </w:rPr>
              <w:t>2分</w:t>
            </w:r>
            <w:r>
              <w:rPr>
                <w:rFonts w:hint="eastAsia"/>
                <w:color w:val="000000"/>
                <w:kern w:val="0"/>
                <w:sz w:val="24"/>
                <w:highlight w:val="none"/>
                <w:lang w:eastAsia="zh-CN"/>
              </w:rPr>
              <w:t>。</w:t>
            </w:r>
            <w:r>
              <w:rPr>
                <w:rFonts w:hint="eastAsia"/>
                <w:b/>
                <w:bCs/>
                <w:color w:val="000000"/>
                <w:kern w:val="0"/>
                <w:sz w:val="24"/>
                <w:highlight w:val="none"/>
                <w:lang w:eastAsia="zh-CN"/>
              </w:rPr>
              <w:t>提供检疫合格证明，</w:t>
            </w:r>
            <w:r>
              <w:rPr>
                <w:rFonts w:hint="eastAsia" w:ascii="宋体" w:hAnsi="宋体"/>
                <w:b/>
                <w:bCs/>
                <w:color w:val="000000"/>
                <w:kern w:val="0"/>
                <w:sz w:val="24"/>
                <w:highlight w:val="none"/>
              </w:rPr>
              <w:t>否则不得分。</w:t>
            </w:r>
          </w:p>
        </w:tc>
        <w:tc>
          <w:tcPr>
            <w:tcW w:w="420" w:type="pct"/>
            <w:noWrap w:val="0"/>
            <w:vAlign w:val="center"/>
          </w:tcPr>
          <w:p>
            <w:pPr>
              <w:snapToGrid w:val="0"/>
              <w:spacing w:line="240" w:lineRule="auto"/>
              <w:jc w:val="center"/>
              <w:rPr>
                <w:rFonts w:ascii="宋体" w:hAnsi="宋体" w:cs="宋体"/>
                <w:sz w:val="24"/>
              </w:rPr>
            </w:pPr>
            <w:r>
              <w:rPr>
                <w:rFonts w:hint="eastAsia" w:ascii="宋体" w:hAnsi="宋体" w:cs="宋体"/>
                <w:sz w:val="24"/>
                <w:lang w:val="en-US" w:eastAsia="zh-CN"/>
              </w:rPr>
              <w:t>1</w:t>
            </w:r>
            <w:r>
              <w:rPr>
                <w:rFonts w:ascii="宋体" w:hAnsi="宋体" w:cs="宋体"/>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spacing w:line="240" w:lineRule="auto"/>
              <w:ind w:left="-50" w:right="-51"/>
              <w:jc w:val="center"/>
              <w:rPr>
                <w:rFonts w:hint="eastAsia" w:ascii="宋体" w:hAnsi="宋体" w:eastAsia="仿宋_GB2312" w:cs="宋体"/>
                <w:sz w:val="24"/>
                <w:lang w:eastAsia="zh-CN"/>
              </w:rPr>
            </w:pPr>
            <w:r>
              <w:rPr>
                <w:rFonts w:hint="eastAsia" w:cs="宋体"/>
                <w:sz w:val="24"/>
                <w:lang w:eastAsia="zh-CN"/>
              </w:rPr>
              <w:t>企业荣誉</w:t>
            </w:r>
          </w:p>
        </w:tc>
        <w:tc>
          <w:tcPr>
            <w:tcW w:w="3713" w:type="pct"/>
            <w:noWrap w:val="0"/>
            <w:vAlign w:val="center"/>
          </w:tcPr>
          <w:p>
            <w:pPr>
              <w:tabs>
                <w:tab w:val="left" w:pos="0"/>
              </w:tabs>
              <w:spacing w:line="240" w:lineRule="auto"/>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color w:val="000000"/>
                <w:kern w:val="0"/>
                <w:sz w:val="24"/>
                <w:highlight w:val="none"/>
              </w:rPr>
              <w:t>、201</w:t>
            </w:r>
            <w:r>
              <w:rPr>
                <w:rFonts w:hint="eastAsia" w:ascii="宋体" w:hAnsi="宋体"/>
                <w:color w:val="000000"/>
                <w:kern w:val="0"/>
                <w:sz w:val="24"/>
                <w:highlight w:val="none"/>
                <w:lang w:val="en-US" w:eastAsia="zh-CN"/>
              </w:rPr>
              <w:t>9</w:t>
            </w:r>
            <w:r>
              <w:rPr>
                <w:rFonts w:hint="eastAsia" w:ascii="宋体" w:hAnsi="宋体"/>
                <w:color w:val="000000"/>
                <w:kern w:val="0"/>
                <w:sz w:val="24"/>
                <w:highlight w:val="none"/>
              </w:rPr>
              <w:t>年至今投标人获得各级科技进步奖，有科技论文发表于公开发行刊物得2分</w:t>
            </w:r>
            <w:r>
              <w:rPr>
                <w:rFonts w:hint="eastAsia"/>
                <w:color w:val="000000"/>
                <w:kern w:val="0"/>
                <w:sz w:val="24"/>
                <w:highlight w:val="none"/>
                <w:lang w:eastAsia="zh-CN"/>
              </w:rPr>
              <w:t>，</w:t>
            </w:r>
            <w:r>
              <w:rPr>
                <w:rFonts w:hint="eastAsia" w:ascii="宋体" w:hAnsi="宋体"/>
                <w:color w:val="000000"/>
                <w:kern w:val="0"/>
                <w:sz w:val="24"/>
                <w:highlight w:val="none"/>
              </w:rPr>
              <w:t>承担过县级以上科技推广任务得</w:t>
            </w:r>
            <w:r>
              <w:rPr>
                <w:rFonts w:ascii="宋体" w:hAnsi="宋体"/>
                <w:color w:val="000000"/>
                <w:kern w:val="0"/>
                <w:sz w:val="24"/>
                <w:highlight w:val="none"/>
              </w:rPr>
              <w:t>1</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b/>
                <w:bCs/>
                <w:color w:val="000000"/>
                <w:kern w:val="0"/>
                <w:sz w:val="24"/>
                <w:highlight w:val="none"/>
                <w:lang w:eastAsia="zh-CN"/>
              </w:rPr>
              <w:t>提供相关证明文件或材料，</w:t>
            </w:r>
            <w:r>
              <w:rPr>
                <w:rFonts w:hint="eastAsia" w:ascii="宋体" w:hAnsi="宋体"/>
                <w:b/>
                <w:bCs/>
                <w:color w:val="000000"/>
                <w:kern w:val="0"/>
                <w:sz w:val="24"/>
                <w:highlight w:val="none"/>
              </w:rPr>
              <w:t>否则不得分。</w:t>
            </w:r>
          </w:p>
          <w:p>
            <w:pPr>
              <w:numPr>
                <w:ilvl w:val="0"/>
                <w:numId w:val="2"/>
              </w:numPr>
              <w:tabs>
                <w:tab w:val="left" w:pos="0"/>
              </w:tabs>
              <w:spacing w:line="240" w:lineRule="auto"/>
              <w:rPr>
                <w:rFonts w:hint="eastAsia" w:ascii="宋体" w:hAnsi="宋体"/>
                <w:b/>
                <w:bCs/>
                <w:color w:val="000000"/>
                <w:kern w:val="0"/>
                <w:sz w:val="24"/>
                <w:highlight w:val="none"/>
              </w:rPr>
            </w:pPr>
            <w:r>
              <w:rPr>
                <w:rFonts w:hint="eastAsia" w:ascii="宋体" w:hAnsi="宋体"/>
                <w:color w:val="000000"/>
                <w:kern w:val="0"/>
                <w:sz w:val="24"/>
                <w:highlight w:val="none"/>
              </w:rPr>
              <w:t>有无公害、绿色</w:t>
            </w:r>
            <w:r>
              <w:rPr>
                <w:rFonts w:hint="eastAsia"/>
                <w:color w:val="000000"/>
                <w:kern w:val="0"/>
                <w:sz w:val="24"/>
                <w:highlight w:val="none"/>
                <w:lang w:eastAsia="zh-CN"/>
              </w:rPr>
              <w:t>、</w:t>
            </w:r>
            <w:r>
              <w:rPr>
                <w:rFonts w:hint="eastAsia" w:ascii="宋体" w:hAnsi="宋体"/>
                <w:color w:val="000000"/>
                <w:kern w:val="0"/>
                <w:sz w:val="24"/>
                <w:highlight w:val="none"/>
              </w:rPr>
              <w:t>有机认证</w:t>
            </w:r>
            <w:r>
              <w:rPr>
                <w:rFonts w:hint="eastAsia"/>
                <w:color w:val="000000"/>
                <w:kern w:val="0"/>
                <w:sz w:val="24"/>
                <w:highlight w:val="none"/>
                <w:lang w:eastAsia="zh-CN"/>
              </w:rPr>
              <w:t>或</w:t>
            </w:r>
            <w:r>
              <w:rPr>
                <w:rFonts w:hint="eastAsia"/>
                <w:color w:val="000000"/>
                <w:kern w:val="0"/>
                <w:sz w:val="24"/>
                <w:highlight w:val="none"/>
                <w:lang w:val="en-US" w:eastAsia="zh-CN"/>
              </w:rPr>
              <w:t>市级水产良种场荣誉称</w:t>
            </w:r>
            <w:r>
              <w:rPr>
                <w:rFonts w:hint="eastAsia" w:ascii="宋体" w:hAnsi="宋体"/>
                <w:color w:val="000000"/>
                <w:kern w:val="0"/>
                <w:sz w:val="24"/>
                <w:highlight w:val="none"/>
              </w:rPr>
              <w:t>的得2分</w:t>
            </w:r>
            <w:r>
              <w:rPr>
                <w:rFonts w:hint="eastAsia"/>
                <w:b w:val="0"/>
                <w:bCs w:val="0"/>
                <w:color w:val="000000"/>
                <w:kern w:val="0"/>
                <w:sz w:val="24"/>
                <w:highlight w:val="none"/>
                <w:lang w:eastAsia="zh-CN"/>
              </w:rPr>
              <w:t>。</w:t>
            </w:r>
            <w:r>
              <w:rPr>
                <w:rFonts w:hint="eastAsia"/>
                <w:b/>
                <w:bCs/>
                <w:color w:val="000000"/>
                <w:kern w:val="0"/>
                <w:sz w:val="24"/>
                <w:highlight w:val="none"/>
                <w:lang w:eastAsia="zh-CN"/>
              </w:rPr>
              <w:t>提供相关证明文件或材料，</w:t>
            </w:r>
            <w:r>
              <w:rPr>
                <w:rFonts w:hint="eastAsia" w:ascii="宋体" w:hAnsi="宋体"/>
                <w:b/>
                <w:bCs/>
                <w:color w:val="000000"/>
                <w:kern w:val="0"/>
                <w:sz w:val="24"/>
                <w:highlight w:val="none"/>
              </w:rPr>
              <w:t>否则不得分。</w:t>
            </w:r>
          </w:p>
        </w:tc>
        <w:tc>
          <w:tcPr>
            <w:tcW w:w="420" w:type="pct"/>
            <w:noWrap w:val="0"/>
            <w:vAlign w:val="center"/>
          </w:tcPr>
          <w:p>
            <w:pPr>
              <w:snapToGrid w:val="0"/>
              <w:spacing w:line="240" w:lineRule="auto"/>
              <w:jc w:val="center"/>
              <w:rPr>
                <w:rFonts w:hint="default" w:ascii="宋体" w:hAnsi="宋体" w:cs="宋体"/>
                <w:sz w:val="24"/>
                <w:lang w:val="en-US"/>
              </w:rPr>
            </w:pPr>
            <w:r>
              <w:rPr>
                <w:rFonts w:hint="eastAsia" w:cs="宋体"/>
                <w:sz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spacing w:line="240" w:lineRule="auto"/>
              <w:ind w:left="-50" w:right="-51"/>
              <w:jc w:val="center"/>
              <w:rPr>
                <w:rFonts w:hint="eastAsia" w:cs="宋体"/>
                <w:sz w:val="24"/>
                <w:lang w:eastAsia="zh-CN"/>
              </w:rPr>
            </w:pPr>
            <w:r>
              <w:rPr>
                <w:rFonts w:hint="eastAsia" w:cs="宋体"/>
                <w:sz w:val="24"/>
                <w:lang w:eastAsia="zh-CN"/>
              </w:rPr>
              <w:t>技术力量</w:t>
            </w:r>
          </w:p>
        </w:tc>
        <w:tc>
          <w:tcPr>
            <w:tcW w:w="3713" w:type="pct"/>
            <w:noWrap w:val="0"/>
            <w:vAlign w:val="center"/>
          </w:tcPr>
          <w:p>
            <w:pPr>
              <w:tabs>
                <w:tab w:val="left" w:pos="0"/>
              </w:tabs>
              <w:spacing w:line="240" w:lineRule="auto"/>
              <w:rPr>
                <w:rFonts w:hint="eastAsia" w:ascii="宋体" w:hAnsi="宋体"/>
                <w:color w:val="000000"/>
                <w:kern w:val="0"/>
                <w:sz w:val="24"/>
                <w:highlight w:val="none"/>
              </w:rPr>
            </w:pPr>
            <w:r>
              <w:rPr>
                <w:rFonts w:hint="eastAsia" w:ascii="宋体" w:hAnsi="宋体"/>
                <w:color w:val="000000"/>
                <w:kern w:val="0"/>
                <w:sz w:val="24"/>
                <w:highlight w:val="none"/>
              </w:rPr>
              <w:t>1、拥有副高及以上技术人员的每人得2分；拥有中级技术人员的每人得1分；其他熟练工人每人得0.5分，最高得6分</w:t>
            </w:r>
            <w:r>
              <w:rPr>
                <w:rFonts w:hint="eastAsia"/>
                <w:color w:val="000000"/>
                <w:kern w:val="0"/>
                <w:sz w:val="24"/>
                <w:highlight w:val="none"/>
                <w:lang w:eastAsia="zh-CN"/>
              </w:rPr>
              <w:t>。</w:t>
            </w:r>
            <w:r>
              <w:rPr>
                <w:rFonts w:hint="eastAsia" w:ascii="宋体" w:hAnsi="宋体"/>
                <w:b/>
                <w:bCs/>
                <w:color w:val="000000"/>
                <w:kern w:val="0"/>
                <w:sz w:val="24"/>
                <w:highlight w:val="none"/>
              </w:rPr>
              <w:t>提供人员证书及相关证明材料</w:t>
            </w:r>
            <w:r>
              <w:rPr>
                <w:rFonts w:hint="eastAsia"/>
                <w:b/>
                <w:bCs/>
                <w:color w:val="000000"/>
                <w:kern w:val="0"/>
                <w:sz w:val="24"/>
                <w:highlight w:val="none"/>
                <w:lang w:eastAsia="zh-CN"/>
              </w:rPr>
              <w:t>，</w:t>
            </w:r>
            <w:r>
              <w:rPr>
                <w:rFonts w:hint="eastAsia" w:ascii="宋体" w:hAnsi="宋体"/>
                <w:b/>
                <w:bCs/>
                <w:color w:val="000000"/>
                <w:kern w:val="0"/>
                <w:sz w:val="24"/>
                <w:highlight w:val="none"/>
              </w:rPr>
              <w:t>否则不得分</w:t>
            </w:r>
            <w:r>
              <w:rPr>
                <w:rFonts w:hint="eastAsia"/>
                <w:b/>
                <w:bCs/>
                <w:color w:val="000000"/>
                <w:kern w:val="0"/>
                <w:sz w:val="24"/>
                <w:highlight w:val="none"/>
                <w:lang w:eastAsia="zh-CN"/>
              </w:rPr>
              <w:t>。</w:t>
            </w:r>
          </w:p>
          <w:p>
            <w:pPr>
              <w:tabs>
                <w:tab w:val="left" w:pos="0"/>
              </w:tabs>
              <w:spacing w:line="240" w:lineRule="auto"/>
              <w:rPr>
                <w:rFonts w:hint="eastAsia" w:ascii="宋体" w:hAnsi="宋体" w:eastAsia="仿宋_GB2312"/>
                <w:color w:val="000000"/>
                <w:kern w:val="0"/>
                <w:sz w:val="24"/>
                <w:highlight w:val="none"/>
                <w:lang w:eastAsia="zh-CN"/>
              </w:rPr>
            </w:pPr>
            <w:r>
              <w:rPr>
                <w:rFonts w:hint="eastAsia" w:ascii="宋体" w:hAnsi="宋体"/>
                <w:color w:val="000000"/>
                <w:kern w:val="0"/>
                <w:sz w:val="24"/>
                <w:highlight w:val="none"/>
              </w:rPr>
              <w:t>2、技术负责人从事苗种繁育时间在三年以上的得3分，不足三年的得1分</w:t>
            </w:r>
            <w:r>
              <w:rPr>
                <w:rFonts w:hint="eastAsia"/>
                <w:color w:val="000000"/>
                <w:kern w:val="0"/>
                <w:sz w:val="24"/>
                <w:highlight w:val="none"/>
                <w:lang w:eastAsia="zh-CN"/>
              </w:rPr>
              <w:t>。</w:t>
            </w:r>
            <w:r>
              <w:rPr>
                <w:rFonts w:hint="eastAsia" w:ascii="宋体" w:hAnsi="宋体"/>
                <w:b/>
                <w:bCs/>
                <w:color w:val="000000"/>
                <w:kern w:val="0"/>
                <w:sz w:val="24"/>
                <w:highlight w:val="none"/>
              </w:rPr>
              <w:t>以证书时间或文件公布时间为准</w:t>
            </w:r>
            <w:r>
              <w:rPr>
                <w:rFonts w:hint="eastAsia"/>
                <w:color w:val="000000"/>
                <w:kern w:val="0"/>
                <w:sz w:val="24"/>
                <w:highlight w:val="none"/>
                <w:lang w:eastAsia="zh-CN"/>
              </w:rPr>
              <w:t>。</w:t>
            </w:r>
          </w:p>
          <w:p>
            <w:pPr>
              <w:tabs>
                <w:tab w:val="left" w:pos="0"/>
              </w:tabs>
              <w:spacing w:line="240" w:lineRule="auto"/>
              <w:rPr>
                <w:rFonts w:hint="eastAsia" w:ascii="宋体" w:hAnsi="宋体" w:eastAsia="仿宋_GB2312"/>
                <w:color w:val="000000"/>
                <w:kern w:val="0"/>
                <w:sz w:val="24"/>
                <w:highlight w:val="none"/>
                <w:lang w:val="en-US" w:eastAsia="zh-CN"/>
              </w:rPr>
            </w:pPr>
            <w:r>
              <w:rPr>
                <w:rFonts w:hint="eastAsia" w:ascii="宋体" w:hAnsi="宋体"/>
                <w:color w:val="000000"/>
                <w:kern w:val="0"/>
                <w:sz w:val="24"/>
                <w:highlight w:val="none"/>
              </w:rPr>
              <w:t>3、投标人为市级以上原良种场3分，县级苗种场1分</w:t>
            </w:r>
            <w:r>
              <w:rPr>
                <w:rFonts w:hint="eastAsia"/>
                <w:color w:val="000000"/>
                <w:kern w:val="0"/>
                <w:sz w:val="24"/>
                <w:highlight w:val="none"/>
                <w:lang w:eastAsia="zh-CN"/>
              </w:rPr>
              <w:t>。</w:t>
            </w:r>
            <w:r>
              <w:rPr>
                <w:rFonts w:hint="eastAsia"/>
                <w:b/>
                <w:bCs/>
                <w:color w:val="000000"/>
                <w:kern w:val="0"/>
                <w:sz w:val="24"/>
                <w:highlight w:val="none"/>
                <w:lang w:eastAsia="zh-CN"/>
              </w:rPr>
              <w:t>提供相关证明文件或材料，</w:t>
            </w:r>
            <w:r>
              <w:rPr>
                <w:rFonts w:hint="eastAsia" w:ascii="宋体" w:hAnsi="宋体"/>
                <w:b/>
                <w:bCs/>
                <w:color w:val="000000"/>
                <w:kern w:val="0"/>
                <w:sz w:val="24"/>
                <w:highlight w:val="none"/>
              </w:rPr>
              <w:t>否则不得分。</w:t>
            </w:r>
          </w:p>
        </w:tc>
        <w:tc>
          <w:tcPr>
            <w:tcW w:w="420" w:type="pct"/>
            <w:noWrap w:val="0"/>
            <w:vAlign w:val="center"/>
          </w:tcPr>
          <w:p>
            <w:pPr>
              <w:snapToGrid w:val="0"/>
              <w:spacing w:line="240" w:lineRule="auto"/>
              <w:jc w:val="center"/>
              <w:rPr>
                <w:rFonts w:hint="default" w:cs="宋体"/>
                <w:sz w:val="24"/>
                <w:lang w:val="en-US" w:eastAsia="zh-CN"/>
              </w:rPr>
            </w:pPr>
            <w:r>
              <w:rPr>
                <w:rFonts w:hint="eastAsia" w:cs="宋体"/>
                <w:sz w:val="24"/>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tabs>
                <w:tab w:val="left" w:pos="0"/>
              </w:tabs>
              <w:spacing w:line="240" w:lineRule="auto"/>
              <w:jc w:val="center"/>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育苗能力</w:t>
            </w:r>
          </w:p>
        </w:tc>
        <w:tc>
          <w:tcPr>
            <w:tcW w:w="3713" w:type="pct"/>
            <w:noWrap w:val="0"/>
            <w:vAlign w:val="center"/>
          </w:tcPr>
          <w:p>
            <w:pPr>
              <w:widowControl/>
              <w:numPr>
                <w:ilvl w:val="0"/>
                <w:numId w:val="3"/>
              </w:numPr>
              <w:tabs>
                <w:tab w:val="left" w:pos="0"/>
              </w:tabs>
              <w:spacing w:line="240" w:lineRule="auto"/>
              <w:rPr>
                <w:rFonts w:ascii="宋体" w:hAnsi="宋体"/>
                <w:color w:val="000000"/>
                <w:kern w:val="0"/>
                <w:sz w:val="24"/>
                <w:highlight w:val="none"/>
              </w:rPr>
            </w:pPr>
            <w:r>
              <w:rPr>
                <w:rFonts w:hint="eastAsia"/>
                <w:color w:val="000000"/>
                <w:kern w:val="0"/>
                <w:sz w:val="24"/>
                <w:highlight w:val="none"/>
                <w:lang w:eastAsia="zh-CN"/>
              </w:rPr>
              <w:t>苗种</w:t>
            </w:r>
            <w:r>
              <w:rPr>
                <w:rFonts w:hint="eastAsia" w:ascii="宋体" w:hAnsi="宋体"/>
                <w:color w:val="000000"/>
                <w:kern w:val="0"/>
                <w:sz w:val="24"/>
                <w:highlight w:val="none"/>
              </w:rPr>
              <w:t>培育池面积：100亩以上（含）的，得</w:t>
            </w:r>
            <w:r>
              <w:rPr>
                <w:rFonts w:hint="eastAsia"/>
                <w:color w:val="000000"/>
                <w:kern w:val="0"/>
                <w:sz w:val="24"/>
                <w:highlight w:val="none"/>
                <w:lang w:val="en-US" w:eastAsia="zh-CN"/>
              </w:rPr>
              <w:t>5</w:t>
            </w:r>
            <w:r>
              <w:rPr>
                <w:rFonts w:hint="eastAsia" w:ascii="宋体" w:hAnsi="宋体"/>
                <w:color w:val="000000"/>
                <w:kern w:val="0"/>
                <w:sz w:val="24"/>
                <w:highlight w:val="none"/>
              </w:rPr>
              <w:t>分；5</w:t>
            </w:r>
            <w:r>
              <w:rPr>
                <w:rFonts w:ascii="宋体" w:hAnsi="宋体"/>
                <w:color w:val="000000"/>
                <w:kern w:val="0"/>
                <w:sz w:val="24"/>
                <w:highlight w:val="none"/>
              </w:rPr>
              <w:t>0</w:t>
            </w:r>
            <w:r>
              <w:rPr>
                <w:rFonts w:hint="eastAsia" w:ascii="宋体" w:hAnsi="宋体"/>
                <w:color w:val="000000"/>
                <w:kern w:val="0"/>
                <w:sz w:val="24"/>
                <w:highlight w:val="none"/>
              </w:rPr>
              <w:t>亩以上（含）的，得</w:t>
            </w:r>
            <w:r>
              <w:rPr>
                <w:rFonts w:hint="eastAsia"/>
                <w:color w:val="000000"/>
                <w:kern w:val="0"/>
                <w:sz w:val="24"/>
                <w:highlight w:val="none"/>
                <w:lang w:val="en-US" w:eastAsia="zh-CN"/>
              </w:rPr>
              <w:t>3</w:t>
            </w:r>
            <w:r>
              <w:rPr>
                <w:rFonts w:hint="eastAsia" w:ascii="宋体" w:hAnsi="宋体"/>
                <w:color w:val="000000"/>
                <w:kern w:val="0"/>
                <w:sz w:val="24"/>
                <w:highlight w:val="none"/>
              </w:rPr>
              <w:t>分；5</w:t>
            </w:r>
            <w:r>
              <w:rPr>
                <w:rFonts w:ascii="宋体" w:hAnsi="宋体"/>
                <w:color w:val="000000"/>
                <w:kern w:val="0"/>
                <w:sz w:val="24"/>
                <w:highlight w:val="none"/>
              </w:rPr>
              <w:t>0</w:t>
            </w:r>
            <w:r>
              <w:rPr>
                <w:rFonts w:hint="eastAsia" w:ascii="宋体" w:hAnsi="宋体"/>
                <w:color w:val="000000"/>
                <w:kern w:val="0"/>
                <w:sz w:val="24"/>
                <w:highlight w:val="none"/>
              </w:rPr>
              <w:t>亩以下的，得</w:t>
            </w:r>
            <w:r>
              <w:rPr>
                <w:rFonts w:hint="eastAsia"/>
                <w:color w:val="000000"/>
                <w:kern w:val="0"/>
                <w:sz w:val="24"/>
                <w:highlight w:val="none"/>
                <w:lang w:val="en-US" w:eastAsia="zh-CN"/>
              </w:rPr>
              <w:t>1</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ascii="宋体" w:hAnsi="宋体"/>
                <w:b/>
                <w:bCs/>
                <w:color w:val="000000"/>
                <w:kern w:val="0"/>
                <w:sz w:val="24"/>
                <w:highlight w:val="none"/>
              </w:rPr>
              <w:t>提供土地或池塘租赁合同等相关证明材料，否则不得分</w:t>
            </w:r>
          </w:p>
          <w:p>
            <w:pPr>
              <w:widowControl/>
              <w:numPr>
                <w:ilvl w:val="0"/>
                <w:numId w:val="0"/>
              </w:numPr>
              <w:tabs>
                <w:tab w:val="left" w:pos="0"/>
              </w:tabs>
              <w:spacing w:line="240" w:lineRule="auto"/>
              <w:rPr>
                <w:rFonts w:hint="eastAsia" w:ascii="宋体" w:hAnsi="宋体"/>
                <w:b/>
                <w:color w:val="000000"/>
                <w:kern w:val="0"/>
                <w:sz w:val="24"/>
                <w:highlight w:val="none"/>
              </w:rPr>
            </w:pPr>
            <w:r>
              <w:rPr>
                <w:rFonts w:hint="eastAsia" w:ascii="宋体" w:hAnsi="宋体"/>
                <w:color w:val="000000"/>
                <w:kern w:val="0"/>
                <w:sz w:val="24"/>
                <w:highlight w:val="none"/>
              </w:rPr>
              <w:t>2、产卵孵化设施（5分）：①既有产卵池又有孵化设施，得5分；②无产卵池仅有孵化设施，得3分；③无相关设施，得</w:t>
            </w:r>
            <w:r>
              <w:rPr>
                <w:rFonts w:ascii="宋体" w:hAnsi="宋体"/>
                <w:color w:val="000000"/>
                <w:kern w:val="0"/>
                <w:sz w:val="24"/>
                <w:highlight w:val="none"/>
              </w:rPr>
              <w:t>0</w:t>
            </w:r>
            <w:r>
              <w:rPr>
                <w:rFonts w:hint="eastAsia" w:ascii="宋体" w:hAnsi="宋体"/>
                <w:color w:val="000000"/>
                <w:kern w:val="0"/>
                <w:sz w:val="24"/>
                <w:highlight w:val="none"/>
              </w:rPr>
              <w:t>分</w:t>
            </w:r>
            <w:r>
              <w:rPr>
                <w:rFonts w:hint="eastAsia"/>
                <w:color w:val="000000"/>
                <w:kern w:val="0"/>
                <w:sz w:val="24"/>
                <w:highlight w:val="none"/>
                <w:lang w:eastAsia="zh-CN"/>
              </w:rPr>
              <w:t>。</w:t>
            </w:r>
            <w:r>
              <w:rPr>
                <w:rFonts w:hint="eastAsia" w:ascii="宋体" w:hAnsi="宋体"/>
                <w:b/>
                <w:color w:val="000000"/>
                <w:kern w:val="0"/>
                <w:sz w:val="24"/>
                <w:highlight w:val="none"/>
              </w:rPr>
              <w:t>提供照片等相关证明材料，否则不得分。</w:t>
            </w:r>
          </w:p>
          <w:p>
            <w:pPr>
              <w:widowControl/>
              <w:numPr>
                <w:ilvl w:val="0"/>
                <w:numId w:val="0"/>
              </w:numPr>
              <w:tabs>
                <w:tab w:val="left" w:pos="0"/>
              </w:tabs>
              <w:spacing w:line="240" w:lineRule="auto"/>
              <w:rPr>
                <w:rFonts w:hint="eastAsia" w:ascii="宋体" w:hAnsi="宋体" w:eastAsia="仿宋_GB2312"/>
                <w:color w:val="000000"/>
                <w:kern w:val="0"/>
                <w:sz w:val="24"/>
                <w:highlight w:val="none"/>
                <w:lang w:eastAsia="zh-CN"/>
              </w:rPr>
            </w:pPr>
            <w:r>
              <w:rPr>
                <w:rFonts w:hint="eastAsia" w:ascii="宋体" w:hAnsi="宋体"/>
                <w:color w:val="000000"/>
                <w:kern w:val="0"/>
                <w:sz w:val="24"/>
                <w:highlight w:val="none"/>
              </w:rPr>
              <w:t>3、根据投标人承诺的投标</w:t>
            </w:r>
            <w:r>
              <w:rPr>
                <w:rFonts w:hint="eastAsia" w:ascii="宋体" w:hAnsi="宋体"/>
                <w:color w:val="000000"/>
                <w:sz w:val="24"/>
                <w:highlight w:val="none"/>
              </w:rPr>
              <w:t>种类亲本数量及实际</w:t>
            </w:r>
            <w:r>
              <w:rPr>
                <w:rFonts w:hint="eastAsia" w:ascii="宋体" w:hAnsi="宋体"/>
                <w:color w:val="000000"/>
                <w:kern w:val="0"/>
                <w:sz w:val="24"/>
                <w:highlight w:val="none"/>
              </w:rPr>
              <w:t>年生产本种类种苗数量</w:t>
            </w:r>
            <w:r>
              <w:rPr>
                <w:rFonts w:hint="eastAsia"/>
                <w:color w:val="000000"/>
                <w:kern w:val="0"/>
                <w:sz w:val="24"/>
                <w:highlight w:val="none"/>
                <w:lang w:eastAsia="zh-CN"/>
              </w:rPr>
              <w:t>酌情打分</w:t>
            </w:r>
            <w:r>
              <w:rPr>
                <w:rFonts w:hint="eastAsia" w:ascii="宋体" w:hAnsi="宋体"/>
                <w:color w:val="000000"/>
                <w:kern w:val="0"/>
                <w:sz w:val="24"/>
                <w:highlight w:val="none"/>
              </w:rPr>
              <w:t>（</w:t>
            </w:r>
            <w:r>
              <w:rPr>
                <w:rFonts w:ascii="宋体" w:hAnsi="宋体"/>
                <w:color w:val="000000"/>
                <w:kern w:val="0"/>
                <w:sz w:val="24"/>
                <w:highlight w:val="none"/>
              </w:rPr>
              <w:t>0-</w:t>
            </w:r>
            <w:r>
              <w:rPr>
                <w:rFonts w:hint="eastAsia" w:ascii="宋体" w:hAnsi="宋体"/>
                <w:color w:val="000000"/>
                <w:kern w:val="0"/>
                <w:sz w:val="24"/>
                <w:highlight w:val="none"/>
              </w:rPr>
              <w:t>4分）</w:t>
            </w:r>
            <w:r>
              <w:rPr>
                <w:rFonts w:hint="eastAsia"/>
                <w:color w:val="000000"/>
                <w:kern w:val="0"/>
                <w:sz w:val="24"/>
                <w:highlight w:val="none"/>
                <w:lang w:eastAsia="zh-CN"/>
              </w:rPr>
              <w:t>。</w:t>
            </w:r>
            <w:r>
              <w:rPr>
                <w:rFonts w:hint="eastAsia" w:ascii="宋体" w:hAnsi="宋体"/>
                <w:b/>
                <w:color w:val="000000"/>
                <w:kern w:val="0"/>
                <w:sz w:val="24"/>
                <w:highlight w:val="none"/>
                <w:lang w:eastAsia="zh-CN"/>
              </w:rPr>
              <w:t>提供相关证明材料，否则不得分。</w:t>
            </w:r>
          </w:p>
          <w:p>
            <w:pPr>
              <w:widowControl/>
              <w:tabs>
                <w:tab w:val="left" w:pos="0"/>
              </w:tabs>
              <w:spacing w:line="240" w:lineRule="auto"/>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4、根据投标人提供的苗种生产技术操作规程和质量控制措施制订情况酌情打分（</w:t>
            </w:r>
            <w:r>
              <w:rPr>
                <w:rFonts w:ascii="宋体" w:hAnsi="宋体"/>
                <w:color w:val="000000"/>
                <w:kern w:val="0"/>
                <w:sz w:val="24"/>
                <w:highlight w:val="none"/>
              </w:rPr>
              <w:t>0-</w:t>
            </w:r>
            <w:r>
              <w:rPr>
                <w:rFonts w:hint="eastAsia" w:ascii="宋体" w:hAnsi="宋体"/>
                <w:color w:val="000000"/>
                <w:kern w:val="0"/>
                <w:sz w:val="24"/>
                <w:highlight w:val="none"/>
              </w:rPr>
              <w:t>4分）</w:t>
            </w:r>
            <w:r>
              <w:rPr>
                <w:rFonts w:hint="eastAsia"/>
                <w:color w:val="000000"/>
                <w:kern w:val="0"/>
                <w:sz w:val="24"/>
                <w:highlight w:val="none"/>
                <w:lang w:eastAsia="zh-CN"/>
              </w:rPr>
              <w:t>。</w:t>
            </w:r>
            <w:r>
              <w:rPr>
                <w:rFonts w:hint="eastAsia" w:ascii="宋体" w:hAnsi="宋体"/>
                <w:b/>
                <w:color w:val="000000"/>
                <w:kern w:val="0"/>
                <w:sz w:val="24"/>
                <w:highlight w:val="none"/>
                <w:lang w:eastAsia="zh-CN"/>
              </w:rPr>
              <w:t>提供</w:t>
            </w:r>
            <w:r>
              <w:rPr>
                <w:rFonts w:hint="eastAsia"/>
                <w:b/>
                <w:color w:val="000000"/>
                <w:kern w:val="0"/>
                <w:sz w:val="24"/>
                <w:highlight w:val="none"/>
                <w:lang w:eastAsia="zh-CN"/>
              </w:rPr>
              <w:t>照片或文件等</w:t>
            </w:r>
            <w:r>
              <w:rPr>
                <w:rFonts w:hint="eastAsia" w:ascii="宋体" w:hAnsi="宋体"/>
                <w:b/>
                <w:color w:val="000000"/>
                <w:kern w:val="0"/>
                <w:sz w:val="24"/>
                <w:highlight w:val="none"/>
                <w:lang w:eastAsia="zh-CN"/>
              </w:rPr>
              <w:t>相关证明材料，否则不得分</w:t>
            </w:r>
            <w:r>
              <w:rPr>
                <w:rFonts w:hint="eastAsia"/>
                <w:b/>
                <w:color w:val="000000"/>
                <w:kern w:val="0"/>
                <w:sz w:val="24"/>
                <w:highlight w:val="none"/>
                <w:lang w:eastAsia="zh-CN"/>
              </w:rPr>
              <w:t>。</w:t>
            </w:r>
          </w:p>
        </w:tc>
        <w:tc>
          <w:tcPr>
            <w:tcW w:w="420" w:type="pct"/>
            <w:noWrap w:val="0"/>
            <w:vAlign w:val="center"/>
          </w:tcPr>
          <w:p>
            <w:pPr>
              <w:snapToGrid w:val="0"/>
              <w:spacing w:line="240" w:lineRule="auto"/>
              <w:jc w:val="center"/>
              <w:rPr>
                <w:rFonts w:hint="default" w:ascii="宋体" w:hAnsi="宋体" w:eastAsia="宋体" w:cs="Times New Roman"/>
                <w:color w:val="000000"/>
                <w:kern w:val="2"/>
                <w:sz w:val="24"/>
                <w:szCs w:val="32"/>
                <w:highlight w:val="none"/>
                <w:lang w:val="en-US" w:eastAsia="zh-CN" w:bidi="ar-SA"/>
              </w:rPr>
            </w:pPr>
            <w:r>
              <w:rPr>
                <w:rFonts w:hint="eastAsia" w:cs="宋体"/>
                <w:sz w:val="24"/>
                <w:lang w:val="en-US" w:eastAsia="zh-CN"/>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tabs>
                <w:tab w:val="left" w:pos="0"/>
              </w:tabs>
              <w:spacing w:line="240" w:lineRule="auto"/>
              <w:jc w:val="center"/>
              <w:rPr>
                <w:rFonts w:hint="eastAsia" w:ascii="宋体" w:hAnsi="宋体" w:eastAsia="仿宋_GB2312" w:cs="Times New Roman"/>
                <w:color w:val="000000"/>
                <w:kern w:val="0"/>
                <w:sz w:val="24"/>
                <w:szCs w:val="32"/>
                <w:highlight w:val="none"/>
                <w:lang w:val="en-US" w:eastAsia="zh-CN" w:bidi="ar-SA"/>
              </w:rPr>
            </w:pPr>
            <w:r>
              <w:rPr>
                <w:rFonts w:hint="eastAsia" w:ascii="宋体" w:hAnsi="宋体"/>
                <w:color w:val="000000"/>
                <w:kern w:val="0"/>
                <w:sz w:val="24"/>
                <w:highlight w:val="none"/>
              </w:rPr>
              <w:t>运输能力</w:t>
            </w:r>
          </w:p>
        </w:tc>
        <w:tc>
          <w:tcPr>
            <w:tcW w:w="3713" w:type="pct"/>
            <w:noWrap w:val="0"/>
            <w:vAlign w:val="center"/>
          </w:tcPr>
          <w:p>
            <w:pPr>
              <w:widowControl/>
              <w:tabs>
                <w:tab w:val="left" w:pos="0"/>
              </w:tabs>
              <w:spacing w:line="240" w:lineRule="auto"/>
              <w:rPr>
                <w:rFonts w:ascii="宋体" w:hAnsi="宋体"/>
                <w:b/>
                <w:color w:val="000000"/>
                <w:kern w:val="0"/>
                <w:sz w:val="24"/>
                <w:highlight w:val="none"/>
              </w:rPr>
            </w:pPr>
            <w:r>
              <w:rPr>
                <w:rFonts w:ascii="宋体" w:hAnsi="宋体"/>
                <w:color w:val="000000"/>
                <w:kern w:val="0"/>
                <w:sz w:val="24"/>
                <w:highlight w:val="none"/>
              </w:rPr>
              <w:t>1</w:t>
            </w:r>
            <w:r>
              <w:rPr>
                <w:rFonts w:hint="eastAsia" w:ascii="宋体" w:hAnsi="宋体"/>
                <w:color w:val="000000"/>
                <w:kern w:val="0"/>
                <w:sz w:val="24"/>
                <w:highlight w:val="none"/>
              </w:rPr>
              <w:t>、评委根据投标单位种苗基地至放流水域的运输时间进行评定</w:t>
            </w:r>
            <w:r>
              <w:rPr>
                <w:rFonts w:hint="eastAsia"/>
                <w:color w:val="000000"/>
                <w:kern w:val="0"/>
                <w:sz w:val="24"/>
                <w:highlight w:val="none"/>
                <w:lang w:eastAsia="zh-CN"/>
              </w:rPr>
              <w:t>（</w:t>
            </w:r>
            <w:r>
              <w:rPr>
                <w:rFonts w:hint="eastAsia"/>
                <w:color w:val="000000"/>
                <w:kern w:val="0"/>
                <w:sz w:val="24"/>
                <w:highlight w:val="none"/>
                <w:lang w:val="en-US" w:eastAsia="zh-CN"/>
              </w:rPr>
              <w:t>6分</w:t>
            </w:r>
            <w:r>
              <w:rPr>
                <w:rFonts w:hint="eastAsia"/>
                <w:color w:val="000000"/>
                <w:kern w:val="0"/>
                <w:sz w:val="24"/>
                <w:highlight w:val="none"/>
                <w:lang w:eastAsia="zh-CN"/>
              </w:rPr>
              <w:t>）</w:t>
            </w:r>
            <w:r>
              <w:rPr>
                <w:rFonts w:hint="eastAsia" w:ascii="宋体" w:hAnsi="宋体"/>
                <w:color w:val="000000"/>
                <w:kern w:val="0"/>
                <w:sz w:val="24"/>
                <w:highlight w:val="none"/>
              </w:rPr>
              <w:t>：</w:t>
            </w:r>
            <w:r>
              <w:rPr>
                <w:rFonts w:hint="eastAsia"/>
                <w:color w:val="000000"/>
                <w:kern w:val="0"/>
                <w:sz w:val="24"/>
                <w:highlight w:val="none"/>
                <w:lang w:eastAsia="zh-CN"/>
              </w:rPr>
              <w:t>①</w:t>
            </w:r>
            <w:r>
              <w:rPr>
                <w:rFonts w:hint="eastAsia" w:ascii="宋体" w:hAnsi="宋体"/>
                <w:color w:val="000000"/>
                <w:kern w:val="0"/>
                <w:sz w:val="24"/>
                <w:highlight w:val="none"/>
              </w:rPr>
              <w:t>运输时间在60分钟以内到达放流水域的得</w:t>
            </w:r>
            <w:r>
              <w:rPr>
                <w:rFonts w:ascii="宋体" w:hAnsi="宋体"/>
                <w:color w:val="000000"/>
                <w:kern w:val="0"/>
                <w:sz w:val="24"/>
                <w:highlight w:val="none"/>
              </w:rPr>
              <w:t>4</w:t>
            </w:r>
            <w:r>
              <w:rPr>
                <w:rFonts w:hint="eastAsia" w:ascii="宋体" w:hAnsi="宋体"/>
                <w:color w:val="000000"/>
                <w:kern w:val="0"/>
                <w:sz w:val="24"/>
                <w:highlight w:val="none"/>
              </w:rPr>
              <w:t>分；</w:t>
            </w:r>
            <w:r>
              <w:rPr>
                <w:rFonts w:hint="eastAsia"/>
                <w:color w:val="000000"/>
                <w:kern w:val="0"/>
                <w:sz w:val="24"/>
                <w:highlight w:val="none"/>
                <w:lang w:eastAsia="zh-CN"/>
              </w:rPr>
              <w:t>②</w:t>
            </w:r>
            <w:r>
              <w:rPr>
                <w:rFonts w:hint="eastAsia" w:ascii="宋体" w:hAnsi="宋体"/>
                <w:color w:val="000000"/>
                <w:kern w:val="0"/>
                <w:sz w:val="24"/>
                <w:highlight w:val="none"/>
              </w:rPr>
              <w:t>运输时间在100分钟以内到达放流水域的得</w:t>
            </w:r>
            <w:r>
              <w:rPr>
                <w:rFonts w:ascii="宋体" w:hAnsi="宋体"/>
                <w:color w:val="000000"/>
                <w:kern w:val="0"/>
                <w:sz w:val="24"/>
                <w:highlight w:val="none"/>
              </w:rPr>
              <w:t>3</w:t>
            </w:r>
            <w:r>
              <w:rPr>
                <w:rFonts w:hint="eastAsia" w:ascii="宋体" w:hAnsi="宋体"/>
                <w:color w:val="000000"/>
                <w:kern w:val="0"/>
                <w:sz w:val="24"/>
                <w:highlight w:val="none"/>
              </w:rPr>
              <w:t>分；</w:t>
            </w:r>
            <w:r>
              <w:rPr>
                <w:rFonts w:hint="eastAsia"/>
                <w:color w:val="000000"/>
                <w:kern w:val="0"/>
                <w:sz w:val="24"/>
                <w:highlight w:val="none"/>
                <w:lang w:eastAsia="zh-CN"/>
              </w:rPr>
              <w:t>③</w:t>
            </w:r>
            <w:r>
              <w:rPr>
                <w:rFonts w:hint="eastAsia" w:ascii="宋体" w:hAnsi="宋体"/>
                <w:color w:val="000000"/>
                <w:kern w:val="0"/>
                <w:sz w:val="24"/>
                <w:highlight w:val="none"/>
              </w:rPr>
              <w:t>运输时间在140分钟以内到达放流水域的得</w:t>
            </w:r>
            <w:r>
              <w:rPr>
                <w:rFonts w:ascii="宋体" w:hAnsi="宋体"/>
                <w:color w:val="000000"/>
                <w:kern w:val="0"/>
                <w:sz w:val="24"/>
                <w:highlight w:val="none"/>
              </w:rPr>
              <w:t>2</w:t>
            </w:r>
            <w:r>
              <w:rPr>
                <w:rFonts w:hint="eastAsia" w:ascii="宋体" w:hAnsi="宋体"/>
                <w:color w:val="000000"/>
                <w:kern w:val="0"/>
                <w:sz w:val="24"/>
                <w:highlight w:val="none"/>
              </w:rPr>
              <w:t>分；</w:t>
            </w:r>
            <w:r>
              <w:rPr>
                <w:rFonts w:hint="eastAsia"/>
                <w:color w:val="000000"/>
                <w:kern w:val="0"/>
                <w:sz w:val="24"/>
                <w:highlight w:val="none"/>
                <w:lang w:eastAsia="zh-CN"/>
              </w:rPr>
              <w:t>④</w:t>
            </w:r>
            <w:r>
              <w:rPr>
                <w:rFonts w:hint="eastAsia" w:ascii="宋体" w:hAnsi="宋体"/>
                <w:color w:val="000000"/>
                <w:kern w:val="0"/>
                <w:sz w:val="24"/>
                <w:highlight w:val="none"/>
              </w:rPr>
              <w:t>运输时间在180分钟以内到达放流水域的得</w:t>
            </w:r>
            <w:r>
              <w:rPr>
                <w:rFonts w:ascii="宋体" w:hAnsi="宋体"/>
                <w:color w:val="000000"/>
                <w:kern w:val="0"/>
                <w:sz w:val="24"/>
                <w:highlight w:val="none"/>
              </w:rPr>
              <w:t>1</w:t>
            </w:r>
            <w:r>
              <w:rPr>
                <w:rFonts w:hint="eastAsia" w:ascii="宋体" w:hAnsi="宋体"/>
                <w:color w:val="000000"/>
                <w:kern w:val="0"/>
                <w:sz w:val="24"/>
                <w:highlight w:val="none"/>
              </w:rPr>
              <w:t>分。其余不得分。</w:t>
            </w:r>
            <w:r>
              <w:rPr>
                <w:rFonts w:hint="eastAsia" w:ascii="宋体" w:hAnsi="宋体"/>
                <w:b/>
                <w:color w:val="000000"/>
                <w:kern w:val="0"/>
                <w:sz w:val="24"/>
                <w:highlight w:val="none"/>
              </w:rPr>
              <w:t>投标人所承诺的时间应符合实际正常交通情况。所作出的承诺不切实际的本项作</w:t>
            </w:r>
            <w:r>
              <w:rPr>
                <w:rFonts w:ascii="宋体" w:hAnsi="宋体"/>
                <w:b/>
                <w:color w:val="000000"/>
                <w:kern w:val="0"/>
                <w:sz w:val="24"/>
                <w:highlight w:val="none"/>
              </w:rPr>
              <w:t>0</w:t>
            </w:r>
            <w:r>
              <w:rPr>
                <w:rFonts w:hint="eastAsia" w:ascii="宋体" w:hAnsi="宋体"/>
                <w:b/>
                <w:color w:val="000000"/>
                <w:kern w:val="0"/>
                <w:sz w:val="24"/>
                <w:highlight w:val="none"/>
              </w:rPr>
              <w:t>分。</w:t>
            </w:r>
          </w:p>
          <w:p>
            <w:pPr>
              <w:widowControl/>
              <w:tabs>
                <w:tab w:val="left" w:pos="0"/>
              </w:tabs>
              <w:spacing w:line="240" w:lineRule="auto"/>
              <w:rPr>
                <w:rFonts w:hint="eastAsia" w:ascii="宋体" w:hAnsi="宋体" w:eastAsia="仿宋_GB2312" w:cs="Times New Roman"/>
                <w:color w:val="000000"/>
                <w:kern w:val="0"/>
                <w:sz w:val="24"/>
                <w:szCs w:val="32"/>
                <w:highlight w:val="none"/>
                <w:lang w:val="en-US" w:eastAsia="zh-CN" w:bidi="ar-SA"/>
              </w:rPr>
            </w:pPr>
            <w:r>
              <w:rPr>
                <w:rFonts w:ascii="宋体" w:hAnsi="宋体"/>
                <w:color w:val="000000"/>
                <w:kern w:val="0"/>
                <w:sz w:val="24"/>
                <w:highlight w:val="none"/>
              </w:rPr>
              <w:t>2</w:t>
            </w:r>
            <w:r>
              <w:rPr>
                <w:rFonts w:hint="eastAsia" w:ascii="宋体" w:hAnsi="宋体"/>
                <w:color w:val="000000"/>
                <w:kern w:val="0"/>
                <w:sz w:val="24"/>
                <w:highlight w:val="none"/>
              </w:rPr>
              <w:t>、运输设备（</w:t>
            </w:r>
            <w:r>
              <w:rPr>
                <w:rFonts w:ascii="宋体" w:hAnsi="宋体"/>
                <w:color w:val="000000"/>
                <w:kern w:val="0"/>
                <w:sz w:val="24"/>
                <w:highlight w:val="none"/>
              </w:rPr>
              <w:t>0-</w:t>
            </w:r>
            <w:r>
              <w:rPr>
                <w:rFonts w:hint="eastAsia" w:ascii="宋体" w:hAnsi="宋体"/>
                <w:color w:val="000000"/>
                <w:kern w:val="0"/>
                <w:sz w:val="24"/>
                <w:highlight w:val="none"/>
              </w:rPr>
              <w:t>3分）：有自备运输车辆且有箱式活水车的，得3分；有自备运输车辆但无活水箱的，得2分；无自备车辆但有租赁车辆的得1分；其余不得分。</w:t>
            </w:r>
            <w:r>
              <w:rPr>
                <w:rFonts w:hint="eastAsia" w:ascii="宋体" w:hAnsi="宋体"/>
                <w:b/>
                <w:color w:val="000000"/>
                <w:kern w:val="0"/>
                <w:sz w:val="24"/>
                <w:highlight w:val="none"/>
              </w:rPr>
              <w:t>提供车辆行驶证或租赁协议等证明材料。</w:t>
            </w:r>
          </w:p>
        </w:tc>
        <w:tc>
          <w:tcPr>
            <w:tcW w:w="420" w:type="pct"/>
            <w:noWrap w:val="0"/>
            <w:vAlign w:val="center"/>
          </w:tcPr>
          <w:p>
            <w:pPr>
              <w:snapToGrid w:val="0"/>
              <w:spacing w:line="240" w:lineRule="auto"/>
              <w:jc w:val="center"/>
              <w:rPr>
                <w:rFonts w:hint="default" w:ascii="宋体" w:hAnsi="宋体" w:eastAsia="宋体" w:cs="Times New Roman"/>
                <w:color w:val="000000"/>
                <w:kern w:val="2"/>
                <w:sz w:val="24"/>
                <w:szCs w:val="32"/>
                <w:highlight w:val="none"/>
                <w:lang w:val="en-US" w:eastAsia="zh-CN" w:bidi="ar-SA"/>
              </w:rPr>
            </w:pPr>
            <w:r>
              <w:rPr>
                <w:rFonts w:hint="eastAsia" w:eastAsia="宋体" w:cs="Times New Roman"/>
                <w:color w:val="000000"/>
                <w:kern w:val="2"/>
                <w:sz w:val="24"/>
                <w:szCs w:val="32"/>
                <w:highlight w:val="none"/>
                <w:lang w:val="en-US" w:eastAsia="zh-CN" w:bidi="ar-SA"/>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1"/>
              </w:numPr>
              <w:snapToGrid w:val="0"/>
              <w:spacing w:line="240" w:lineRule="auto"/>
              <w:ind w:firstLineChars="0"/>
              <w:jc w:val="center"/>
              <w:rPr>
                <w:rFonts w:ascii="宋体" w:hAnsi="宋体"/>
                <w:sz w:val="24"/>
                <w:szCs w:val="21"/>
              </w:rPr>
            </w:pPr>
          </w:p>
        </w:tc>
        <w:tc>
          <w:tcPr>
            <w:tcW w:w="434" w:type="pct"/>
            <w:noWrap w:val="0"/>
            <w:vAlign w:val="center"/>
          </w:tcPr>
          <w:p>
            <w:pPr>
              <w:widowControl/>
              <w:spacing w:line="240" w:lineRule="auto"/>
              <w:jc w:val="center"/>
              <w:rPr>
                <w:rFonts w:hint="eastAsia" w:ascii="宋体" w:hAnsi="宋体" w:eastAsia="仿宋_GB2312" w:cs="Times New Roman"/>
                <w:color w:val="000000"/>
                <w:kern w:val="2"/>
                <w:sz w:val="24"/>
                <w:szCs w:val="32"/>
                <w:highlight w:val="none"/>
                <w:lang w:val="en-US" w:eastAsia="zh-CN" w:bidi="ar-SA"/>
              </w:rPr>
            </w:pPr>
            <w:r>
              <w:rPr>
                <w:rFonts w:hint="eastAsia" w:ascii="宋体" w:hAnsi="宋体"/>
                <w:color w:val="000000"/>
                <w:sz w:val="24"/>
                <w:highlight w:val="none"/>
              </w:rPr>
              <w:t>投标文件质量</w:t>
            </w:r>
          </w:p>
        </w:tc>
        <w:tc>
          <w:tcPr>
            <w:tcW w:w="3713" w:type="pct"/>
            <w:noWrap w:val="0"/>
            <w:vAlign w:val="center"/>
          </w:tcPr>
          <w:p>
            <w:pPr>
              <w:tabs>
                <w:tab w:val="left" w:pos="1080"/>
              </w:tabs>
              <w:spacing w:line="240" w:lineRule="auto"/>
              <w:rPr>
                <w:rFonts w:ascii="宋体" w:hAnsi="宋体"/>
                <w:color w:val="000000"/>
                <w:sz w:val="24"/>
                <w:highlight w:val="none"/>
              </w:rPr>
            </w:pPr>
            <w:r>
              <w:rPr>
                <w:rFonts w:hint="eastAsia" w:ascii="宋体" w:hAnsi="宋体"/>
                <w:color w:val="000000"/>
                <w:sz w:val="24"/>
                <w:highlight w:val="none"/>
              </w:rPr>
              <w:t>1、投标人所提供的响应的招标文件按招标文件要求编制完整、不缺项且签字、盖章完整的得</w:t>
            </w:r>
            <w:r>
              <w:rPr>
                <w:rFonts w:hint="eastAsia"/>
                <w:color w:val="000000"/>
                <w:sz w:val="24"/>
                <w:highlight w:val="none"/>
                <w:lang w:val="en-US" w:eastAsia="zh-CN"/>
              </w:rPr>
              <w:t>1.5</w:t>
            </w:r>
            <w:r>
              <w:rPr>
                <w:rFonts w:hint="eastAsia" w:ascii="宋体" w:hAnsi="宋体"/>
                <w:color w:val="000000"/>
                <w:sz w:val="24"/>
                <w:highlight w:val="none"/>
              </w:rPr>
              <w:t>分；缺项的</w:t>
            </w:r>
            <w:r>
              <w:rPr>
                <w:rFonts w:hint="eastAsia"/>
                <w:color w:val="000000"/>
                <w:sz w:val="24"/>
                <w:highlight w:val="none"/>
                <w:lang w:eastAsia="zh-CN"/>
              </w:rPr>
              <w:t>酌情扣</w:t>
            </w:r>
            <w:r>
              <w:rPr>
                <w:rFonts w:hint="eastAsia" w:ascii="宋体" w:hAnsi="宋体"/>
                <w:color w:val="000000"/>
                <w:sz w:val="24"/>
                <w:highlight w:val="none"/>
              </w:rPr>
              <w:t>分。</w:t>
            </w:r>
          </w:p>
          <w:p>
            <w:pPr>
              <w:tabs>
                <w:tab w:val="left" w:pos="1080"/>
              </w:tabs>
              <w:spacing w:line="240" w:lineRule="auto"/>
              <w:rPr>
                <w:rFonts w:ascii="宋体" w:hAnsi="宋体" w:eastAsia="仿宋_GB2312" w:cs="Times New Roman"/>
                <w:color w:val="000000"/>
                <w:kern w:val="2"/>
                <w:sz w:val="24"/>
                <w:szCs w:val="32"/>
                <w:highlight w:val="none"/>
                <w:lang w:val="en-US" w:eastAsia="zh-CN" w:bidi="ar-SA"/>
              </w:rPr>
            </w:pPr>
            <w:r>
              <w:rPr>
                <w:rFonts w:hint="eastAsia" w:ascii="宋体" w:hAnsi="宋体"/>
                <w:color w:val="000000"/>
                <w:sz w:val="24"/>
                <w:highlight w:val="none"/>
              </w:rPr>
              <w:t>2、投标人响应的投标文件规范、装订整齐、无涂改插字现象、每份涉及证明性质的资料均加盖单位公章</w:t>
            </w:r>
            <w:r>
              <w:rPr>
                <w:rFonts w:hint="eastAsia"/>
                <w:color w:val="000000"/>
                <w:sz w:val="24"/>
                <w:highlight w:val="none"/>
                <w:lang w:eastAsia="zh-CN"/>
              </w:rPr>
              <w:t>的</w:t>
            </w:r>
            <w:r>
              <w:rPr>
                <w:rFonts w:hint="eastAsia" w:ascii="宋体" w:hAnsi="宋体"/>
                <w:color w:val="000000"/>
                <w:sz w:val="24"/>
                <w:highlight w:val="none"/>
              </w:rPr>
              <w:t>得1</w:t>
            </w:r>
            <w:r>
              <w:rPr>
                <w:rFonts w:hint="eastAsia"/>
                <w:color w:val="000000"/>
                <w:sz w:val="24"/>
                <w:highlight w:val="none"/>
                <w:lang w:val="en-US" w:eastAsia="zh-CN"/>
              </w:rPr>
              <w:t>.5</w:t>
            </w:r>
            <w:r>
              <w:rPr>
                <w:rFonts w:hint="eastAsia" w:ascii="宋体" w:hAnsi="宋体"/>
                <w:color w:val="000000"/>
                <w:sz w:val="24"/>
                <w:highlight w:val="none"/>
              </w:rPr>
              <w:t>分；有涂改、插字现象的</w:t>
            </w:r>
            <w:r>
              <w:rPr>
                <w:rFonts w:hint="eastAsia"/>
                <w:color w:val="000000"/>
                <w:sz w:val="24"/>
                <w:highlight w:val="none"/>
                <w:lang w:eastAsia="zh-CN"/>
              </w:rPr>
              <w:t>酌情扣</w:t>
            </w:r>
            <w:r>
              <w:rPr>
                <w:rFonts w:hint="eastAsia" w:ascii="宋体" w:hAnsi="宋体"/>
                <w:color w:val="000000"/>
                <w:sz w:val="24"/>
                <w:highlight w:val="none"/>
              </w:rPr>
              <w:t>分。</w:t>
            </w:r>
          </w:p>
        </w:tc>
        <w:tc>
          <w:tcPr>
            <w:tcW w:w="420" w:type="pct"/>
            <w:noWrap w:val="0"/>
            <w:vAlign w:val="center"/>
          </w:tcPr>
          <w:p>
            <w:pPr>
              <w:snapToGrid w:val="0"/>
              <w:spacing w:line="240" w:lineRule="auto"/>
              <w:jc w:val="center"/>
              <w:rPr>
                <w:rFonts w:hint="eastAsia" w:ascii="宋体" w:hAnsi="宋体" w:eastAsia="宋体" w:cs="Times New Roman"/>
                <w:color w:val="000000"/>
                <w:kern w:val="2"/>
                <w:sz w:val="24"/>
                <w:szCs w:val="32"/>
                <w:highlight w:val="none"/>
                <w:lang w:val="en-US" w:eastAsia="zh-CN" w:bidi="ar-SA"/>
              </w:rPr>
            </w:pPr>
            <w:r>
              <w:rPr>
                <w:rFonts w:hint="eastAsia" w:eastAsia="宋体" w:cs="Times New Roman"/>
                <w:color w:val="000000"/>
                <w:kern w:val="2"/>
                <w:sz w:val="24"/>
                <w:szCs w:val="32"/>
                <w:highlight w:val="none"/>
                <w:lang w:val="en-US" w:eastAsia="zh-CN" w:bidi="ar-SA"/>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430" w:type="pct"/>
            <w:noWrap w:val="0"/>
            <w:vAlign w:val="center"/>
          </w:tcPr>
          <w:p>
            <w:pPr>
              <w:snapToGrid w:val="0"/>
              <w:spacing w:line="240" w:lineRule="auto"/>
              <w:jc w:val="center"/>
              <w:rPr>
                <w:rFonts w:ascii="宋体" w:hAnsi="宋体"/>
                <w:b/>
                <w:sz w:val="24"/>
              </w:rPr>
            </w:pPr>
            <w:r>
              <w:rPr>
                <w:rFonts w:hint="eastAsia" w:ascii="宋体" w:hAnsi="宋体"/>
                <w:b/>
                <w:sz w:val="24"/>
              </w:rPr>
              <w:t>二</w:t>
            </w:r>
          </w:p>
        </w:tc>
        <w:tc>
          <w:tcPr>
            <w:tcW w:w="4569" w:type="pct"/>
            <w:gridSpan w:val="3"/>
            <w:noWrap w:val="0"/>
            <w:vAlign w:val="center"/>
          </w:tcPr>
          <w:p>
            <w:pPr>
              <w:snapToGrid w:val="0"/>
              <w:spacing w:line="240" w:lineRule="auto"/>
              <w:ind w:left="-118" w:leftChars="-37" w:right="-112" w:rightChars="-35"/>
              <w:jc w:val="center"/>
              <w:rPr>
                <w:rFonts w:hint="eastAsia" w:ascii="宋体" w:hAnsi="宋体"/>
                <w:b/>
                <w:sz w:val="24"/>
              </w:rPr>
            </w:pPr>
            <w:r>
              <w:rPr>
                <w:rFonts w:hint="eastAsia" w:ascii="宋体" w:hAnsi="宋体"/>
                <w:b/>
                <w:sz w:val="24"/>
              </w:rPr>
              <w:t>商务部分（合计：</w:t>
            </w:r>
            <w:r>
              <w:rPr>
                <w:rFonts w:hint="eastAsia"/>
                <w:b/>
                <w:sz w:val="24"/>
                <w:lang w:val="en-US" w:eastAsia="zh-CN"/>
              </w:rPr>
              <w:t>1</w:t>
            </w:r>
            <w:r>
              <w:rPr>
                <w:rFonts w:hint="eastAsia" w:ascii="宋体" w:hAnsi="宋体"/>
                <w:b/>
                <w:sz w:val="24"/>
              </w:rPr>
              <w:t>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30" w:type="pct"/>
            <w:noWrap w:val="0"/>
            <w:vAlign w:val="center"/>
          </w:tcPr>
          <w:p>
            <w:pPr>
              <w:pStyle w:val="7"/>
              <w:numPr>
                <w:ilvl w:val="0"/>
                <w:numId w:val="4"/>
              </w:numPr>
              <w:snapToGrid w:val="0"/>
              <w:spacing w:line="240" w:lineRule="auto"/>
              <w:ind w:firstLineChars="0"/>
              <w:jc w:val="center"/>
              <w:rPr>
                <w:rFonts w:ascii="宋体" w:hAnsi="宋体"/>
                <w:sz w:val="24"/>
                <w:szCs w:val="24"/>
              </w:rPr>
            </w:pPr>
          </w:p>
        </w:tc>
        <w:tc>
          <w:tcPr>
            <w:tcW w:w="434" w:type="pct"/>
            <w:noWrap w:val="0"/>
            <w:vAlign w:val="center"/>
          </w:tcPr>
          <w:p>
            <w:pPr>
              <w:snapToGrid w:val="0"/>
              <w:spacing w:line="240" w:lineRule="auto"/>
              <w:jc w:val="center"/>
              <w:rPr>
                <w:rFonts w:ascii="宋体" w:hAnsi="宋体"/>
                <w:sz w:val="24"/>
              </w:rPr>
            </w:pPr>
            <w:r>
              <w:rPr>
                <w:rFonts w:hint="eastAsia" w:ascii="宋体" w:hAnsi="宋体"/>
                <w:sz w:val="24"/>
              </w:rPr>
              <w:t>业绩经验</w:t>
            </w:r>
          </w:p>
        </w:tc>
        <w:tc>
          <w:tcPr>
            <w:tcW w:w="3713" w:type="pct"/>
            <w:noWrap w:val="0"/>
            <w:vAlign w:val="center"/>
          </w:tcPr>
          <w:p>
            <w:pPr>
              <w:snapToGrid w:val="0"/>
              <w:spacing w:line="240" w:lineRule="auto"/>
              <w:rPr>
                <w:rFonts w:hint="eastAsia" w:ascii="宋体" w:hAnsi="宋体" w:eastAsia="仿宋_GB2312"/>
                <w:sz w:val="24"/>
                <w:lang w:eastAsia="zh-CN"/>
              </w:rPr>
            </w:pPr>
            <w:r>
              <w:rPr>
                <w:rFonts w:hint="eastAsia" w:ascii="宋体" w:hAnsi="宋体"/>
                <w:color w:val="000000"/>
                <w:sz w:val="24"/>
                <w:highlight w:val="none"/>
              </w:rPr>
              <w:t>根据投标人提供的20</w:t>
            </w:r>
            <w:r>
              <w:rPr>
                <w:rFonts w:hint="eastAsia" w:ascii="宋体" w:hAnsi="宋体"/>
                <w:color w:val="000000"/>
                <w:sz w:val="24"/>
                <w:highlight w:val="none"/>
                <w:lang w:val="en-US" w:eastAsia="zh-CN"/>
              </w:rPr>
              <w:t>19</w:t>
            </w:r>
            <w:r>
              <w:rPr>
                <w:rFonts w:hint="eastAsia" w:ascii="宋体" w:hAnsi="宋体"/>
                <w:color w:val="000000"/>
                <w:sz w:val="24"/>
                <w:highlight w:val="none"/>
              </w:rPr>
              <w:t>年1月1日至今同类渔业资源增殖放流项目采购合同进行评定: 每提供1个合同得</w:t>
            </w:r>
            <w:r>
              <w:rPr>
                <w:rFonts w:hint="eastAsia"/>
                <w:color w:val="000000"/>
                <w:sz w:val="24"/>
                <w:highlight w:val="none"/>
                <w:lang w:val="en-US" w:eastAsia="zh-CN"/>
              </w:rPr>
              <w:t>1</w:t>
            </w:r>
            <w:r>
              <w:rPr>
                <w:rFonts w:hint="eastAsia" w:ascii="宋体" w:hAnsi="宋体"/>
                <w:color w:val="000000"/>
                <w:sz w:val="24"/>
                <w:highlight w:val="none"/>
              </w:rPr>
              <w:t>分，最高得</w:t>
            </w:r>
            <w:r>
              <w:rPr>
                <w:rFonts w:hint="eastAsia"/>
                <w:color w:val="000000"/>
                <w:sz w:val="24"/>
                <w:highlight w:val="none"/>
                <w:lang w:val="en-US" w:eastAsia="zh-CN"/>
              </w:rPr>
              <w:t>5</w:t>
            </w:r>
            <w:r>
              <w:rPr>
                <w:rFonts w:hint="eastAsia" w:ascii="宋体" w:hAnsi="宋体"/>
                <w:color w:val="000000"/>
                <w:sz w:val="24"/>
                <w:highlight w:val="none"/>
              </w:rPr>
              <w:t>分。</w:t>
            </w:r>
            <w:r>
              <w:rPr>
                <w:rFonts w:hint="eastAsia" w:ascii="宋体" w:hAnsi="宋体"/>
                <w:b/>
                <w:color w:val="000000"/>
                <w:sz w:val="24"/>
                <w:highlight w:val="none"/>
              </w:rPr>
              <w:t>投标人要列出采购单位名称及项目负责人联系电话，并提供双方公章清晰的合同复印件</w:t>
            </w:r>
            <w:r>
              <w:rPr>
                <w:rFonts w:hint="eastAsia"/>
                <w:b/>
                <w:color w:val="000000"/>
                <w:sz w:val="24"/>
                <w:highlight w:val="none"/>
                <w:lang w:eastAsia="zh-CN"/>
              </w:rPr>
              <w:t>。</w:t>
            </w:r>
          </w:p>
        </w:tc>
        <w:tc>
          <w:tcPr>
            <w:tcW w:w="420" w:type="pct"/>
            <w:noWrap w:val="0"/>
            <w:vAlign w:val="center"/>
          </w:tcPr>
          <w:p>
            <w:pPr>
              <w:snapToGrid w:val="0"/>
              <w:spacing w:line="240" w:lineRule="auto"/>
              <w:jc w:val="center"/>
              <w:rPr>
                <w:rFonts w:hint="default" w:ascii="宋体" w:hAnsi="宋体" w:eastAsia="仿宋_GB2312"/>
                <w:sz w:val="24"/>
                <w:lang w:val="en-US" w:eastAsia="zh-CN"/>
              </w:rPr>
            </w:pPr>
            <w:r>
              <w:rPr>
                <w:rFonts w:hint="eastAsia"/>
                <w:sz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30" w:type="pct"/>
            <w:noWrap w:val="0"/>
            <w:vAlign w:val="center"/>
          </w:tcPr>
          <w:p>
            <w:pPr>
              <w:pStyle w:val="7"/>
              <w:numPr>
                <w:ilvl w:val="0"/>
                <w:numId w:val="4"/>
              </w:numPr>
              <w:snapToGrid w:val="0"/>
              <w:spacing w:line="240" w:lineRule="auto"/>
              <w:ind w:firstLineChars="0"/>
              <w:jc w:val="center"/>
              <w:rPr>
                <w:rFonts w:ascii="宋体" w:hAnsi="宋体"/>
                <w:sz w:val="24"/>
                <w:szCs w:val="24"/>
              </w:rPr>
            </w:pPr>
          </w:p>
        </w:tc>
        <w:tc>
          <w:tcPr>
            <w:tcW w:w="434" w:type="pct"/>
            <w:noWrap w:val="0"/>
            <w:vAlign w:val="center"/>
          </w:tcPr>
          <w:p>
            <w:pPr>
              <w:snapToGrid w:val="0"/>
              <w:spacing w:line="240" w:lineRule="auto"/>
              <w:jc w:val="center"/>
              <w:rPr>
                <w:rFonts w:ascii="宋体" w:hAnsi="宋体"/>
                <w:sz w:val="24"/>
                <w:szCs w:val="24"/>
              </w:rPr>
            </w:pPr>
            <w:r>
              <w:rPr>
                <w:rFonts w:hint="eastAsia" w:ascii="宋体" w:hAnsi="宋体"/>
                <w:sz w:val="24"/>
                <w:szCs w:val="24"/>
              </w:rPr>
              <w:t>拟投入本项目团队</w:t>
            </w:r>
          </w:p>
        </w:tc>
        <w:tc>
          <w:tcPr>
            <w:tcW w:w="3713" w:type="pct"/>
            <w:noWrap w:val="0"/>
            <w:vAlign w:val="center"/>
          </w:tcPr>
          <w:p>
            <w:pPr>
              <w:snapToGrid w:val="0"/>
              <w:spacing w:line="240" w:lineRule="auto"/>
              <w:rPr>
                <w:rFonts w:hint="eastAsia" w:ascii="宋体" w:hAnsi="宋体"/>
                <w:sz w:val="24"/>
                <w:szCs w:val="24"/>
              </w:rPr>
            </w:pPr>
            <w:r>
              <w:rPr>
                <w:rFonts w:hint="eastAsia" w:ascii="宋体" w:hAnsi="宋体"/>
                <w:sz w:val="24"/>
                <w:szCs w:val="24"/>
              </w:rPr>
              <w:t>根据供应商拟投本项目的人员配备情况、人员职称、其他特殊专业技术人员设置要求及对本项目实施质量保障能力等进行评分：</w:t>
            </w:r>
          </w:p>
          <w:p>
            <w:pPr>
              <w:snapToGrid w:val="0"/>
              <w:spacing w:line="240" w:lineRule="auto"/>
              <w:rPr>
                <w:rFonts w:ascii="宋体" w:hAnsi="宋体"/>
                <w:sz w:val="24"/>
                <w:szCs w:val="24"/>
              </w:rPr>
            </w:pPr>
            <w:r>
              <w:rPr>
                <w:rFonts w:hint="eastAsia"/>
                <w:sz w:val="24"/>
                <w:szCs w:val="24"/>
                <w:lang w:eastAsia="zh-CN"/>
              </w:rPr>
              <w:t>投入</w:t>
            </w:r>
            <w:r>
              <w:rPr>
                <w:rFonts w:hint="eastAsia" w:ascii="宋体" w:hAnsi="宋体"/>
                <w:sz w:val="24"/>
                <w:szCs w:val="24"/>
              </w:rPr>
              <w:t>副高及以上技术人员的每人得2分；</w:t>
            </w:r>
            <w:r>
              <w:rPr>
                <w:rFonts w:hint="eastAsia"/>
                <w:sz w:val="24"/>
                <w:szCs w:val="24"/>
                <w:lang w:eastAsia="zh-CN"/>
              </w:rPr>
              <w:t>投入</w:t>
            </w:r>
            <w:r>
              <w:rPr>
                <w:rFonts w:hint="eastAsia" w:ascii="宋体" w:hAnsi="宋体"/>
                <w:sz w:val="24"/>
                <w:szCs w:val="24"/>
              </w:rPr>
              <w:t>中级技术人员的每人得1分；其他熟练工人每人得0.5分，最高得</w:t>
            </w:r>
            <w:r>
              <w:rPr>
                <w:rFonts w:hint="eastAsia"/>
                <w:sz w:val="24"/>
                <w:szCs w:val="24"/>
                <w:lang w:val="en-US" w:eastAsia="zh-CN"/>
              </w:rPr>
              <w:t>5</w:t>
            </w:r>
            <w:r>
              <w:rPr>
                <w:rFonts w:hint="eastAsia" w:ascii="宋体" w:hAnsi="宋体"/>
                <w:sz w:val="24"/>
                <w:szCs w:val="24"/>
              </w:rPr>
              <w:t>分</w:t>
            </w:r>
            <w:r>
              <w:rPr>
                <w:rFonts w:hint="eastAsia"/>
                <w:sz w:val="24"/>
                <w:szCs w:val="24"/>
                <w:lang w:eastAsia="zh-CN"/>
              </w:rPr>
              <w:t>。</w:t>
            </w:r>
            <w:r>
              <w:rPr>
                <w:rFonts w:hint="eastAsia" w:ascii="宋体" w:hAnsi="宋体"/>
                <w:b/>
                <w:bCs/>
                <w:sz w:val="24"/>
                <w:szCs w:val="24"/>
              </w:rPr>
              <w:t>提供人员证书及相关证明材料，否则不得分。</w:t>
            </w:r>
          </w:p>
        </w:tc>
        <w:tc>
          <w:tcPr>
            <w:tcW w:w="420" w:type="pct"/>
            <w:noWrap w:val="0"/>
            <w:vAlign w:val="center"/>
          </w:tcPr>
          <w:p>
            <w:pPr>
              <w:snapToGrid w:val="0"/>
              <w:spacing w:line="240" w:lineRule="auto"/>
              <w:jc w:val="center"/>
              <w:rPr>
                <w:rFonts w:hint="eastAsia" w:ascii="宋体" w:hAnsi="宋体" w:eastAsia="仿宋_GB2312"/>
                <w:sz w:val="24"/>
                <w:lang w:eastAsia="zh-CN"/>
              </w:rPr>
            </w:pPr>
            <w:r>
              <w:rPr>
                <w:rFonts w:hint="eastAsia"/>
                <w:sz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pStyle w:val="7"/>
              <w:numPr>
                <w:ilvl w:val="0"/>
                <w:numId w:val="4"/>
              </w:numPr>
              <w:snapToGrid w:val="0"/>
              <w:spacing w:line="240" w:lineRule="auto"/>
              <w:ind w:firstLineChars="0"/>
              <w:jc w:val="center"/>
              <w:rPr>
                <w:rFonts w:ascii="宋体" w:hAnsi="宋体"/>
                <w:sz w:val="24"/>
                <w:szCs w:val="24"/>
              </w:rPr>
            </w:pPr>
          </w:p>
        </w:tc>
        <w:tc>
          <w:tcPr>
            <w:tcW w:w="434" w:type="pct"/>
            <w:noWrap w:val="0"/>
            <w:vAlign w:val="center"/>
          </w:tcPr>
          <w:p>
            <w:pPr>
              <w:snapToGrid w:val="0"/>
              <w:spacing w:line="240" w:lineRule="auto"/>
              <w:jc w:val="center"/>
              <w:rPr>
                <w:rFonts w:ascii="宋体" w:hAnsi="宋体"/>
                <w:sz w:val="24"/>
              </w:rPr>
            </w:pPr>
            <w:r>
              <w:rPr>
                <w:rFonts w:hint="eastAsia" w:ascii="宋体" w:hAnsi="宋体"/>
                <w:sz w:val="24"/>
              </w:rPr>
              <w:t>服务方案</w:t>
            </w:r>
          </w:p>
        </w:tc>
        <w:tc>
          <w:tcPr>
            <w:tcW w:w="3713" w:type="pct"/>
            <w:noWrap w:val="0"/>
            <w:vAlign w:val="center"/>
          </w:tcPr>
          <w:p>
            <w:pPr>
              <w:widowControl/>
              <w:spacing w:line="240" w:lineRule="auto"/>
              <w:rPr>
                <w:rFonts w:ascii="宋体" w:hAnsi="宋体"/>
                <w:sz w:val="24"/>
              </w:rPr>
            </w:pPr>
            <w:r>
              <w:rPr>
                <w:rFonts w:hint="eastAsia" w:ascii="宋体" w:hAnsi="宋体"/>
                <w:sz w:val="24"/>
              </w:rPr>
              <w:t>根据</w:t>
            </w:r>
            <w:r>
              <w:rPr>
                <w:rFonts w:hint="eastAsia" w:ascii="宋体" w:hAnsi="宋体" w:cs="宋体"/>
                <w:sz w:val="24"/>
              </w:rPr>
              <w:t>供应商</w:t>
            </w:r>
            <w:r>
              <w:rPr>
                <w:rFonts w:hint="eastAsia" w:ascii="宋体" w:hAnsi="宋体"/>
                <w:sz w:val="24"/>
              </w:rPr>
              <w:t>提供的服务方案，包括技术支持、</w:t>
            </w:r>
            <w:r>
              <w:rPr>
                <w:rFonts w:hint="eastAsia"/>
                <w:sz w:val="24"/>
                <w:lang w:eastAsia="zh-CN"/>
              </w:rPr>
              <w:t>第三方公证、宣传、</w:t>
            </w:r>
            <w:r>
              <w:rPr>
                <w:rFonts w:hint="eastAsia" w:ascii="宋体" w:hAnsi="宋体"/>
                <w:sz w:val="24"/>
              </w:rPr>
              <w:t>后续服务计划及服务便利等进行评分：</w:t>
            </w:r>
          </w:p>
          <w:p>
            <w:pPr>
              <w:snapToGrid w:val="0"/>
              <w:spacing w:line="240" w:lineRule="auto"/>
              <w:rPr>
                <w:rFonts w:ascii="宋体" w:hAnsi="宋体"/>
                <w:sz w:val="24"/>
                <w:szCs w:val="24"/>
              </w:rPr>
            </w:pPr>
            <w:r>
              <w:rPr>
                <w:rFonts w:hint="eastAsia" w:ascii="宋体" w:hAnsi="宋体"/>
                <w:sz w:val="24"/>
                <w:szCs w:val="24"/>
              </w:rPr>
              <w:t>服务方案具体，可行性强，</w:t>
            </w:r>
            <w:r>
              <w:rPr>
                <w:rFonts w:ascii="宋体" w:hAnsi="宋体"/>
                <w:sz w:val="24"/>
                <w:szCs w:val="24"/>
              </w:rPr>
              <w:t>5</w:t>
            </w:r>
            <w:r>
              <w:rPr>
                <w:rFonts w:hint="eastAsia" w:ascii="宋体" w:hAnsi="宋体"/>
                <w:sz w:val="24"/>
                <w:szCs w:val="24"/>
              </w:rPr>
              <w:t>分；</w:t>
            </w:r>
          </w:p>
          <w:p>
            <w:pPr>
              <w:snapToGrid w:val="0"/>
              <w:spacing w:line="240" w:lineRule="auto"/>
              <w:rPr>
                <w:rFonts w:ascii="宋体" w:hAnsi="宋体"/>
                <w:sz w:val="24"/>
                <w:szCs w:val="24"/>
              </w:rPr>
            </w:pPr>
            <w:r>
              <w:rPr>
                <w:rFonts w:hint="eastAsia" w:ascii="宋体" w:hAnsi="宋体"/>
                <w:sz w:val="24"/>
                <w:szCs w:val="24"/>
              </w:rPr>
              <w:t>服务方案比较具体，可行性比较强，</w:t>
            </w:r>
            <w:r>
              <w:rPr>
                <w:rFonts w:ascii="宋体" w:hAnsi="宋体"/>
                <w:sz w:val="24"/>
                <w:szCs w:val="24"/>
              </w:rPr>
              <w:t>3</w:t>
            </w:r>
            <w:r>
              <w:rPr>
                <w:rFonts w:hint="eastAsia" w:ascii="宋体" w:hAnsi="宋体"/>
                <w:sz w:val="24"/>
                <w:szCs w:val="24"/>
              </w:rPr>
              <w:t>分；</w:t>
            </w:r>
          </w:p>
          <w:p>
            <w:pPr>
              <w:snapToGrid w:val="0"/>
              <w:spacing w:line="240" w:lineRule="auto"/>
              <w:rPr>
                <w:rFonts w:ascii="宋体" w:hAnsi="宋体"/>
                <w:sz w:val="24"/>
                <w:szCs w:val="24"/>
              </w:rPr>
            </w:pPr>
            <w:r>
              <w:rPr>
                <w:rFonts w:hint="eastAsia" w:ascii="宋体" w:hAnsi="宋体"/>
                <w:sz w:val="24"/>
                <w:szCs w:val="24"/>
              </w:rPr>
              <w:t>服务方案不够具体，可行性一般，</w:t>
            </w:r>
            <w:r>
              <w:rPr>
                <w:rFonts w:ascii="宋体" w:hAnsi="宋体"/>
                <w:sz w:val="24"/>
                <w:szCs w:val="24"/>
              </w:rPr>
              <w:t>1</w:t>
            </w:r>
            <w:r>
              <w:rPr>
                <w:rFonts w:hint="eastAsia" w:ascii="宋体" w:hAnsi="宋体"/>
                <w:sz w:val="24"/>
                <w:szCs w:val="24"/>
              </w:rPr>
              <w:t>分；</w:t>
            </w:r>
          </w:p>
          <w:p>
            <w:pPr>
              <w:snapToGrid w:val="0"/>
              <w:spacing w:line="240" w:lineRule="auto"/>
              <w:rPr>
                <w:rFonts w:ascii="宋体" w:hAnsi="宋体"/>
                <w:sz w:val="24"/>
                <w:szCs w:val="24"/>
              </w:rPr>
            </w:pPr>
            <w:r>
              <w:rPr>
                <w:rFonts w:hint="eastAsia" w:ascii="宋体" w:hAnsi="宋体"/>
                <w:sz w:val="24"/>
                <w:szCs w:val="24"/>
              </w:rPr>
              <w:t>服务方案不具体，可行性较差，1分；</w:t>
            </w:r>
          </w:p>
          <w:p>
            <w:pPr>
              <w:snapToGrid w:val="0"/>
              <w:spacing w:line="240" w:lineRule="auto"/>
              <w:rPr>
                <w:rFonts w:ascii="宋体" w:hAnsi="宋体"/>
                <w:sz w:val="24"/>
              </w:rPr>
            </w:pPr>
            <w:r>
              <w:rPr>
                <w:rFonts w:hint="eastAsia" w:ascii="宋体" w:hAnsi="宋体"/>
                <w:b/>
                <w:bCs/>
                <w:sz w:val="24"/>
                <w:szCs w:val="24"/>
              </w:rPr>
              <w:t>未提供方案或提供了但是完全脱离实际，</w:t>
            </w:r>
            <w:r>
              <w:rPr>
                <w:rFonts w:hint="eastAsia" w:ascii="宋体" w:hAnsi="宋体"/>
                <w:b/>
                <w:bCs/>
                <w:sz w:val="24"/>
                <w:szCs w:val="24"/>
                <w:lang w:eastAsia="zh-CN"/>
              </w:rPr>
              <w:t>不得</w:t>
            </w:r>
            <w:r>
              <w:rPr>
                <w:rFonts w:hint="eastAsia" w:ascii="宋体" w:hAnsi="宋体"/>
                <w:b/>
                <w:bCs/>
                <w:sz w:val="24"/>
                <w:szCs w:val="24"/>
              </w:rPr>
              <w:t>分。</w:t>
            </w:r>
          </w:p>
        </w:tc>
        <w:tc>
          <w:tcPr>
            <w:tcW w:w="420" w:type="pct"/>
            <w:noWrap w:val="0"/>
            <w:vAlign w:val="center"/>
          </w:tcPr>
          <w:p>
            <w:pPr>
              <w:snapToGrid w:val="0"/>
              <w:spacing w:line="240" w:lineRule="auto"/>
              <w:jc w:val="center"/>
              <w:rPr>
                <w:rFonts w:ascii="宋体" w:hAnsi="宋体"/>
                <w:sz w:val="24"/>
              </w:rPr>
            </w:pPr>
            <w:r>
              <w:rPr>
                <w:rFonts w:ascii="宋体" w:hAnsi="宋体"/>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430" w:type="pct"/>
            <w:noWrap w:val="0"/>
            <w:vAlign w:val="center"/>
          </w:tcPr>
          <w:p>
            <w:pPr>
              <w:snapToGrid w:val="0"/>
              <w:spacing w:line="240" w:lineRule="auto"/>
              <w:jc w:val="center"/>
              <w:rPr>
                <w:rFonts w:ascii="宋体" w:hAnsi="宋体"/>
                <w:b/>
                <w:sz w:val="24"/>
              </w:rPr>
            </w:pPr>
            <w:r>
              <w:rPr>
                <w:rFonts w:hint="eastAsia" w:ascii="宋体" w:hAnsi="宋体"/>
                <w:b/>
                <w:sz w:val="24"/>
              </w:rPr>
              <w:t>三</w:t>
            </w:r>
          </w:p>
        </w:tc>
        <w:tc>
          <w:tcPr>
            <w:tcW w:w="4569" w:type="pct"/>
            <w:gridSpan w:val="3"/>
            <w:noWrap w:val="0"/>
            <w:vAlign w:val="center"/>
          </w:tcPr>
          <w:p>
            <w:pPr>
              <w:snapToGrid w:val="0"/>
              <w:spacing w:line="240" w:lineRule="auto"/>
              <w:ind w:left="-118" w:leftChars="-37" w:right="-112" w:rightChars="-35"/>
              <w:jc w:val="center"/>
              <w:rPr>
                <w:rFonts w:hint="eastAsia" w:ascii="宋体" w:hAnsi="宋体"/>
                <w:b/>
                <w:sz w:val="24"/>
              </w:rPr>
            </w:pPr>
            <w:r>
              <w:rPr>
                <w:rFonts w:hint="eastAsia" w:ascii="宋体" w:hAnsi="宋体"/>
                <w:b/>
                <w:sz w:val="24"/>
              </w:rPr>
              <w:t>价格部分（合计：</w:t>
            </w:r>
            <w:r>
              <w:rPr>
                <w:rFonts w:hint="eastAsia" w:ascii="宋体" w:hAnsi="宋体"/>
                <w:b/>
                <w:sz w:val="24"/>
                <w:lang w:val="en-US" w:eastAsia="zh-CN"/>
              </w:rPr>
              <w:t>3</w:t>
            </w:r>
            <w:r>
              <w:rPr>
                <w:rFonts w:hint="eastAsia" w:ascii="宋体" w:hAnsi="宋体"/>
                <w:b/>
                <w:sz w:val="24"/>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30" w:type="pct"/>
            <w:noWrap w:val="0"/>
            <w:vAlign w:val="center"/>
          </w:tcPr>
          <w:p>
            <w:pPr>
              <w:numPr>
                <w:ilvl w:val="0"/>
                <w:numId w:val="0"/>
              </w:numPr>
              <w:autoSpaceDE w:val="0"/>
              <w:autoSpaceDN w:val="0"/>
              <w:adjustRightInd w:val="0"/>
              <w:snapToGrid w:val="0"/>
              <w:spacing w:line="240" w:lineRule="auto"/>
              <w:ind w:leftChars="0"/>
              <w:jc w:val="both"/>
              <w:rPr>
                <w:rFonts w:hint="default" w:ascii="宋体" w:hAnsi="宋体" w:eastAsia="宋体"/>
                <w:sz w:val="24"/>
                <w:szCs w:val="24"/>
                <w:lang w:val="en-US" w:eastAsia="zh-CN"/>
              </w:rPr>
            </w:pPr>
            <w:r>
              <w:rPr>
                <w:rFonts w:hint="eastAsia" w:ascii="宋体" w:hAnsi="宋体"/>
                <w:sz w:val="24"/>
                <w:szCs w:val="24"/>
                <w:lang w:val="en-US" w:eastAsia="zh-CN"/>
              </w:rPr>
              <w:t>(一)</w:t>
            </w:r>
          </w:p>
        </w:tc>
        <w:tc>
          <w:tcPr>
            <w:tcW w:w="434" w:type="pct"/>
            <w:noWrap w:val="0"/>
            <w:vAlign w:val="center"/>
          </w:tcPr>
          <w:p>
            <w:pPr>
              <w:snapToGrid w:val="0"/>
              <w:spacing w:line="240" w:lineRule="auto"/>
              <w:jc w:val="center"/>
              <w:rPr>
                <w:rFonts w:ascii="宋体" w:hAnsi="宋体"/>
                <w:sz w:val="24"/>
              </w:rPr>
            </w:pPr>
            <w:r>
              <w:rPr>
                <w:rFonts w:hint="eastAsia" w:ascii="宋体" w:hAnsi="宋体"/>
                <w:sz w:val="24"/>
              </w:rPr>
              <w:t>报价</w:t>
            </w:r>
          </w:p>
        </w:tc>
        <w:tc>
          <w:tcPr>
            <w:tcW w:w="3713" w:type="pct"/>
            <w:noWrap w:val="0"/>
            <w:vAlign w:val="center"/>
          </w:tcPr>
          <w:p>
            <w:pPr>
              <w:snapToGrid w:val="0"/>
              <w:spacing w:line="240" w:lineRule="auto"/>
              <w:rPr>
                <w:rFonts w:ascii="宋体" w:hAnsi="宋体"/>
                <w:bCs/>
                <w:sz w:val="24"/>
              </w:rPr>
            </w:pPr>
            <w:r>
              <w:rPr>
                <w:rFonts w:hint="eastAsia" w:ascii="宋体" w:hAnsi="宋体" w:cs="宋体"/>
                <w:sz w:val="24"/>
              </w:rPr>
              <w:t>价格分统一采用低价优先法计算，即满足招标文件要求且投标价格最低的投标报价为评标基准价，其价格分为满分。</w:t>
            </w:r>
            <w:r>
              <w:rPr>
                <w:rFonts w:hint="eastAsia" w:ascii="宋体" w:hAnsi="宋体" w:cs="宋体"/>
                <w:sz w:val="24"/>
                <w:lang w:eastAsia="zh-CN"/>
              </w:rPr>
              <w:t>其他</w:t>
            </w:r>
            <w:r>
              <w:rPr>
                <w:rFonts w:hint="eastAsia" w:ascii="宋体" w:hAnsi="宋体" w:cs="宋体"/>
                <w:sz w:val="24"/>
              </w:rPr>
              <w:t>响应供应商的价格分统一按照下列公式计算：</w:t>
            </w:r>
            <w:r>
              <w:rPr>
                <w:rFonts w:hint="eastAsia" w:ascii="宋体" w:hAnsi="宋体"/>
                <w:bCs/>
                <w:sz w:val="24"/>
              </w:rPr>
              <w:t>投标报价得分=(评标基准价/投标报价)×</w:t>
            </w:r>
            <w:r>
              <w:rPr>
                <w:rFonts w:hint="eastAsia"/>
                <w:bCs/>
                <w:sz w:val="24"/>
                <w:lang w:val="en-US" w:eastAsia="zh-CN"/>
              </w:rPr>
              <w:t>30</w:t>
            </w:r>
          </w:p>
        </w:tc>
        <w:tc>
          <w:tcPr>
            <w:tcW w:w="420" w:type="pct"/>
            <w:noWrap w:val="0"/>
            <w:vAlign w:val="center"/>
          </w:tcPr>
          <w:p>
            <w:pPr>
              <w:snapToGrid w:val="0"/>
              <w:spacing w:line="240" w:lineRule="auto"/>
              <w:ind w:left="-118" w:leftChars="-37" w:right="-112" w:rightChars="-35"/>
              <w:jc w:val="center"/>
              <w:rPr>
                <w:rFonts w:hint="default" w:ascii="宋体" w:hAnsi="宋体" w:eastAsia="宋体" w:cs="宋体"/>
                <w:sz w:val="24"/>
                <w:lang w:val="en-US" w:eastAsia="zh-CN"/>
              </w:rPr>
            </w:pPr>
            <w:r>
              <w:rPr>
                <w:rFonts w:hint="eastAsia" w:ascii="宋体" w:hAnsi="宋体" w:cs="宋体"/>
                <w:sz w:val="24"/>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579" w:type="pct"/>
            <w:gridSpan w:val="3"/>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b/>
                <w:sz w:val="24"/>
              </w:rPr>
              <w:t>合计</w:t>
            </w:r>
          </w:p>
        </w:tc>
        <w:tc>
          <w:tcPr>
            <w:tcW w:w="420" w:type="pct"/>
            <w:noWrap w:val="0"/>
            <w:vAlign w:val="center"/>
          </w:tcPr>
          <w:p>
            <w:pPr>
              <w:snapToGrid w:val="0"/>
              <w:spacing w:line="240" w:lineRule="auto"/>
              <w:ind w:left="-118" w:leftChars="-37" w:right="-112" w:rightChars="-35"/>
              <w:jc w:val="center"/>
              <w:rPr>
                <w:rFonts w:ascii="宋体" w:hAnsi="宋体" w:cs="宋体"/>
                <w:b/>
                <w:sz w:val="24"/>
              </w:rPr>
            </w:pPr>
            <w:r>
              <w:rPr>
                <w:rFonts w:hint="eastAsia" w:ascii="宋体" w:hAnsi="宋体" w:cs="宋体"/>
                <w:b/>
                <w:sz w:val="24"/>
              </w:rPr>
              <w:t>100</w:t>
            </w:r>
            <w:r>
              <w:rPr>
                <w:rFonts w:ascii="宋体" w:hAnsi="宋体" w:cs="宋体"/>
                <w:b/>
                <w:sz w:val="24"/>
              </w:rPr>
              <w:t xml:space="preserve"> </w:t>
            </w:r>
          </w:p>
        </w:tc>
      </w:tr>
    </w:tbl>
    <w:p>
      <w:pPr>
        <w:keepNext w:val="0"/>
        <w:keepLines w:val="0"/>
        <w:pageBreakBefore w:val="0"/>
        <w:widowControl w:val="0"/>
        <w:tabs>
          <w:tab w:val="left" w:pos="1155"/>
        </w:tabs>
        <w:kinsoku/>
        <w:wordWrap/>
        <w:overflowPunct/>
        <w:topLinePunct w:val="0"/>
        <w:autoSpaceDE/>
        <w:autoSpaceDN/>
        <w:bidi w:val="0"/>
        <w:adjustRightInd/>
        <w:snapToGrid/>
        <w:spacing w:line="600" w:lineRule="exact"/>
        <w:textAlignment w:val="auto"/>
        <w:rPr>
          <w:rFonts w:hint="default" w:ascii="FangSong_GB2312" w:eastAsia="FangSong_GB2312" w:cs="FangSong_GB2312"/>
          <w:sz w:val="32"/>
          <w:szCs w:val="32"/>
          <w:lang w:val="en-US" w:eastAsia="zh-CN"/>
        </w:rPr>
      </w:pP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5D762B-75E9-456E-95F4-242DF7D128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57C2068D-F474-4F00-843E-DD22F9BE660F}"/>
  </w:font>
  <w:font w:name="FangSong_GB2312">
    <w:altName w:val="仿宋_GB2312"/>
    <w:panose1 w:val="02010609060101010101"/>
    <w:charset w:val="86"/>
    <w:family w:val="modern"/>
    <w:pitch w:val="default"/>
    <w:sig w:usb0="00000000" w:usb1="00000000" w:usb2="00000016" w:usb3="00000000" w:csb0="00040001" w:csb1="00000000"/>
    <w:embedRegular r:id="rId3" w:fontKey="{BD5578E6-C34B-499D-ABFF-BD6C06187D6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87A89"/>
    <w:multiLevelType w:val="singleLevel"/>
    <w:tmpl w:val="08787A89"/>
    <w:lvl w:ilvl="0" w:tentative="0">
      <w:start w:val="2"/>
      <w:numFmt w:val="decimal"/>
      <w:suff w:val="nothing"/>
      <w:lvlText w:val="%1、"/>
      <w:lvlJc w:val="left"/>
    </w:lvl>
  </w:abstractNum>
  <w:abstractNum w:abstractNumId="1">
    <w:nsid w:val="46A61FC5"/>
    <w:multiLevelType w:val="multilevel"/>
    <w:tmpl w:val="46A61FC5"/>
    <w:lvl w:ilvl="0" w:tentative="0">
      <w:start w:val="1"/>
      <w:numFmt w:val="chineseCountingThousand"/>
      <w:lvlText w:val="(%1)"/>
      <w:lvlJc w:val="left"/>
      <w:pPr>
        <w:ind w:left="420" w:hanging="4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369174"/>
    <w:multiLevelType w:val="singleLevel"/>
    <w:tmpl w:val="67369174"/>
    <w:lvl w:ilvl="0" w:tentative="0">
      <w:start w:val="1"/>
      <w:numFmt w:val="decimal"/>
      <w:suff w:val="nothing"/>
      <w:lvlText w:val="%1、"/>
      <w:lvlJc w:val="left"/>
    </w:lvl>
  </w:abstractNum>
  <w:abstractNum w:abstractNumId="3">
    <w:nsid w:val="6C73457C"/>
    <w:multiLevelType w:val="multilevel"/>
    <w:tmpl w:val="6C73457C"/>
    <w:lvl w:ilvl="0" w:tentative="0">
      <w:start w:val="1"/>
      <w:numFmt w:val="chineseCountingThousand"/>
      <w:lvlText w:val="(%1)"/>
      <w:lvlJc w:val="left"/>
      <w:pPr>
        <w:ind w:left="420" w:hanging="420"/>
      </w:pPr>
      <w:rPr>
        <w:rFonts w:hint="default" w:ascii="宋体" w:hAnsi="宋体" w:eastAsia="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mU4MGUxYjE0ZTI2ZDE0MDY1YWY0NDQzYTRkMTEifQ=="/>
  </w:docVars>
  <w:rsids>
    <w:rsidRoot w:val="00000000"/>
    <w:rsid w:val="002410F1"/>
    <w:rsid w:val="00A66F18"/>
    <w:rsid w:val="00A8087D"/>
    <w:rsid w:val="00FB7E71"/>
    <w:rsid w:val="011924CD"/>
    <w:rsid w:val="03DB0081"/>
    <w:rsid w:val="048C5B87"/>
    <w:rsid w:val="06E52997"/>
    <w:rsid w:val="06ED1CC6"/>
    <w:rsid w:val="076C043D"/>
    <w:rsid w:val="08667319"/>
    <w:rsid w:val="093F6F9B"/>
    <w:rsid w:val="0B683182"/>
    <w:rsid w:val="0BBD1BFE"/>
    <w:rsid w:val="0F165CB6"/>
    <w:rsid w:val="0F565E85"/>
    <w:rsid w:val="10D0497D"/>
    <w:rsid w:val="13233B5E"/>
    <w:rsid w:val="1833416F"/>
    <w:rsid w:val="18A27832"/>
    <w:rsid w:val="18B25700"/>
    <w:rsid w:val="19627E1A"/>
    <w:rsid w:val="1C28421C"/>
    <w:rsid w:val="1CE7157E"/>
    <w:rsid w:val="20D46566"/>
    <w:rsid w:val="24AC7783"/>
    <w:rsid w:val="26B0469C"/>
    <w:rsid w:val="26B66138"/>
    <w:rsid w:val="279B0D8E"/>
    <w:rsid w:val="28A602E4"/>
    <w:rsid w:val="383C6B2E"/>
    <w:rsid w:val="3AB67E2D"/>
    <w:rsid w:val="3D67558A"/>
    <w:rsid w:val="3D6F4728"/>
    <w:rsid w:val="431762B8"/>
    <w:rsid w:val="43601B0C"/>
    <w:rsid w:val="48AB2166"/>
    <w:rsid w:val="4AF24312"/>
    <w:rsid w:val="4B3A45EB"/>
    <w:rsid w:val="4CD40D75"/>
    <w:rsid w:val="5404674D"/>
    <w:rsid w:val="59235335"/>
    <w:rsid w:val="5BA16C3E"/>
    <w:rsid w:val="5C135779"/>
    <w:rsid w:val="5DF74D66"/>
    <w:rsid w:val="615B01E8"/>
    <w:rsid w:val="61B5304C"/>
    <w:rsid w:val="640058F4"/>
    <w:rsid w:val="66E07DB3"/>
    <w:rsid w:val="68167157"/>
    <w:rsid w:val="68210AB5"/>
    <w:rsid w:val="6A54060D"/>
    <w:rsid w:val="6B312E4F"/>
    <w:rsid w:val="6B7D4F9A"/>
    <w:rsid w:val="6BBA53B1"/>
    <w:rsid w:val="6D2B6AB5"/>
    <w:rsid w:val="6DDD3AD6"/>
    <w:rsid w:val="6F2250C0"/>
    <w:rsid w:val="6FFA7830"/>
    <w:rsid w:val="74131833"/>
    <w:rsid w:val="755D72AA"/>
    <w:rsid w:val="77140899"/>
    <w:rsid w:val="77316C41"/>
    <w:rsid w:val="77C6382D"/>
    <w:rsid w:val="7A1833CE"/>
    <w:rsid w:val="7B1E6840"/>
    <w:rsid w:val="7BBA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3">
    <w:name w:val="Body Text Indent 3"/>
    <w:basedOn w:val="1"/>
    <w:qFormat/>
    <w:uiPriority w:val="0"/>
    <w:pPr>
      <w:snapToGrid w:val="0"/>
      <w:ind w:firstLine="480" w:firstLineChars="200"/>
      <w:jc w:val="left"/>
    </w:pPr>
    <w:rPr>
      <w:rFonts w:ascii="仿宋_GB2312" w:hAnsi="宋体" w:eastAsia="仿宋_GB2312"/>
      <w:color w:val="000000"/>
      <w:sz w:val="24"/>
    </w:rPr>
  </w:style>
  <w:style w:type="table" w:styleId="5">
    <w:name w:val="Table Grid"/>
    <w:basedOn w:val="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rPr>
      <w:rFonts w:ascii="Calibri" w:hAnsi="Calibri" w:eastAsia="黑体" w:cs="Times New Roman"/>
      <w:bCs/>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1704</Words>
  <Characters>1749</Characters>
  <Lines>0</Lines>
  <Paragraphs>0</Paragraphs>
  <TotalTime>4</TotalTime>
  <ScaleCrop>false</ScaleCrop>
  <LinksUpToDate>false</LinksUpToDate>
  <CharactersWithSpaces>1752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Administrator</dc:creator>
  <cp:lastModifiedBy>Administrator</cp:lastModifiedBy>
  <cp:lastPrinted>2023-05-12T08:05:00Z</cp:lastPrinted>
  <dcterms:modified xsi:type="dcterms:W3CDTF">2023-06-25T08:03:50Z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119352D3326D4B619BF0BFD96DC0E218_13</vt:lpwstr>
  </property>
</Properties>
</file>