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8" w:line="219" w:lineRule="auto"/>
        <w:jc w:val="both"/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  <w:t>2</w:t>
      </w:r>
    </w:p>
    <w:p>
      <w:pPr>
        <w:spacing w:before="138" w:line="219" w:lineRule="auto"/>
        <w:jc w:val="both"/>
        <w:rPr>
          <w:rFonts w:hint="eastAsia" w:ascii="宋体" w:hAnsi="宋体" w:eastAsia="宋体" w:cs="宋体"/>
          <w:b/>
          <w:bCs/>
          <w:spacing w:val="-17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7"/>
          <w:sz w:val="36"/>
          <w:szCs w:val="36"/>
        </w:rPr>
        <w:t>承接</w:t>
      </w:r>
      <w:r>
        <w:rPr>
          <w:rFonts w:hint="eastAsia" w:ascii="宋体" w:hAnsi="宋体" w:eastAsia="宋体" w:cs="宋体"/>
          <w:b/>
          <w:bCs/>
          <w:spacing w:val="-17"/>
          <w:sz w:val="36"/>
          <w:szCs w:val="36"/>
          <w:lang w:eastAsia="zh-CN"/>
        </w:rPr>
        <w:t>江门市</w:t>
      </w:r>
      <w:r>
        <w:rPr>
          <w:rFonts w:hint="eastAsia" w:ascii="宋体" w:hAnsi="宋体" w:eastAsia="宋体" w:cs="宋体"/>
          <w:b/>
          <w:bCs/>
          <w:spacing w:val="-17"/>
          <w:sz w:val="36"/>
          <w:szCs w:val="36"/>
        </w:rPr>
        <w:t>企业三级安全生产标准化定级组织单位评分表</w:t>
      </w:r>
    </w:p>
    <w:tbl>
      <w:tblPr>
        <w:tblStyle w:val="4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2413"/>
        <w:gridCol w:w="858"/>
        <w:gridCol w:w="1680"/>
        <w:gridCol w:w="1141"/>
        <w:gridCol w:w="1282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6255" w:type="dxa"/>
            <w:gridSpan w:val="4"/>
            <w:vAlign w:val="center"/>
          </w:tcPr>
          <w:p>
            <w:pPr>
              <w:spacing w:before="101" w:line="220" w:lineRule="auto"/>
              <w:ind w:left="150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评审指标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spacing w:before="100" w:line="219" w:lineRule="auto"/>
              <w:ind w:left="66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申请单位名称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04" w:type="dxa"/>
            <w:vAlign w:val="center"/>
          </w:tcPr>
          <w:p>
            <w:pPr>
              <w:spacing w:before="94" w:line="220" w:lineRule="auto"/>
              <w:ind w:left="14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一级指标</w:t>
            </w:r>
          </w:p>
        </w:tc>
        <w:tc>
          <w:tcPr>
            <w:tcW w:w="2413" w:type="dxa"/>
            <w:vAlign w:val="center"/>
          </w:tcPr>
          <w:p>
            <w:pPr>
              <w:spacing w:before="74" w:line="220" w:lineRule="auto"/>
              <w:ind w:left="3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二级指标</w:t>
            </w:r>
          </w:p>
        </w:tc>
        <w:tc>
          <w:tcPr>
            <w:tcW w:w="858" w:type="dxa"/>
            <w:vAlign w:val="center"/>
          </w:tcPr>
          <w:p>
            <w:pPr>
              <w:spacing w:before="74" w:line="219" w:lineRule="auto"/>
              <w:ind w:left="7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满分值</w:t>
            </w:r>
          </w:p>
        </w:tc>
        <w:tc>
          <w:tcPr>
            <w:tcW w:w="1680" w:type="dxa"/>
            <w:vAlign w:val="center"/>
          </w:tcPr>
          <w:p>
            <w:pPr>
              <w:spacing w:before="74" w:line="220" w:lineRule="auto"/>
              <w:ind w:left="33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三级指标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278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68" w:lineRule="auto"/>
              <w:ind w:left="56" w:right="99" w:firstLine="2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一、组织机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构(任意单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项为否即视为否决条件，不得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</w:rPr>
              <w:t>通过评审)</w:t>
            </w:r>
          </w:p>
        </w:tc>
        <w:tc>
          <w:tcPr>
            <w:tcW w:w="2413" w:type="dxa"/>
            <w:vAlign w:val="center"/>
          </w:tcPr>
          <w:p>
            <w:pPr>
              <w:spacing w:before="76" w:line="251" w:lineRule="auto"/>
              <w:ind w:left="50" w:right="5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1.依法注册登记社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会组织</w:t>
            </w:r>
          </w:p>
        </w:tc>
        <w:tc>
          <w:tcPr>
            <w:tcW w:w="858" w:type="dxa"/>
            <w:vAlign w:val="center"/>
          </w:tcPr>
          <w:p>
            <w:pPr>
              <w:spacing w:before="15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78" w:line="222" w:lineRule="auto"/>
              <w:ind w:left="5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2.独立法人</w:t>
            </w:r>
          </w:p>
        </w:tc>
        <w:tc>
          <w:tcPr>
            <w:tcW w:w="858" w:type="dxa"/>
            <w:vAlign w:val="center"/>
          </w:tcPr>
          <w:p>
            <w:pPr>
              <w:spacing w:before="7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176" w:line="265" w:lineRule="auto"/>
              <w:ind w:left="50" w:right="2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3.法人治理结构健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全(办事机构设置)</w:t>
            </w:r>
          </w:p>
        </w:tc>
        <w:tc>
          <w:tcPr>
            <w:tcW w:w="858" w:type="dxa"/>
            <w:vAlign w:val="center"/>
          </w:tcPr>
          <w:p>
            <w:pPr>
              <w:spacing w:before="27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4.被人民法院列入失信被执行人、重大税收违法案件当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事人名单、政府采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购严重违法失信行为记录名单及相关行业3年内出现违法违规行为</w:t>
            </w:r>
          </w:p>
        </w:tc>
        <w:tc>
          <w:tcPr>
            <w:tcW w:w="858" w:type="dxa"/>
            <w:vAlign w:val="center"/>
          </w:tcPr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3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29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91" w:lineRule="auto"/>
              <w:ind w:left="56" w:right="94" w:firstLine="2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二、基本条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件(任意单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项得分在起点分以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下的即视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为否决条件，不得通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position w:val="7"/>
                <w:sz w:val="24"/>
                <w:szCs w:val="24"/>
              </w:rPr>
              <w:t>过评审)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分)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28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5.管理制度健全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47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3" w:line="273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8(4分为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起点)</w:t>
            </w:r>
          </w:p>
        </w:tc>
        <w:tc>
          <w:tcPr>
            <w:tcW w:w="1680" w:type="dxa"/>
            <w:vAlign w:val="center"/>
          </w:tcPr>
          <w:p>
            <w:pPr>
              <w:spacing w:before="78" w:line="263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制定内部管理制度 (4分)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50" w:line="269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制定信息公开制度 (2分)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82" w:line="254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制定民主监督制度 (2分)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6.财务管理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33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3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66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8(4分为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起点)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99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制定财务核算和资 产管理制度(4分)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76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配有专职财务人员 (2分)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9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23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依法缴纳税收(1分 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10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依法缴纳社会保险 (1分)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33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7.办公条件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before="275" w:line="273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8(4分为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起点)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3" w:right="111" w:hanging="1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具有承接职能的场所(4分)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101"/>
              <w:jc w:val="center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具有承接职能的设 备(4分)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91" w:tblpY="-28"/>
        <w:tblOverlap w:val="never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798"/>
        <w:gridCol w:w="919"/>
        <w:gridCol w:w="1874"/>
        <w:gridCol w:w="1273"/>
        <w:gridCol w:w="1366"/>
        <w:gridCol w:w="1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8.人员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 w:right="89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为起点)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4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配有3名以上(含3名)相关领域专职专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家(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分)</w:t>
            </w: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4" w:right="107" w:firstLine="9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配有专职工作人员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分)</w:t>
            </w: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4" w:right="130" w:firstLine="59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建有相关领域安全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生产专家库(4分)</w:t>
            </w: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2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9.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实现行业自律管理，具有很高的社会公信度。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7"/>
                <w:sz w:val="24"/>
                <w:szCs w:val="24"/>
              </w:rPr>
              <w:t>8(5分为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起点)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61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三、实施工作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方案可行性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(3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分)</w:t>
            </w: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21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11.承接工作方案可行性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1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12.开展工作标准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和程序及内部质量控制制度的初步方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4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13.可接受政府绩效评估的指标、标准和程序。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10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73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四、其他条件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分)</w:t>
            </w: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1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14.曾接受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府单位安全生产相关职能转移或购买服务的工作经验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4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9"/>
                <w:sz w:val="24"/>
                <w:szCs w:val="24"/>
              </w:rPr>
              <w:t>提供相关业绩证明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材料，每个业绩1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3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15.获得损赠税前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扣除资格和非营利组织免税资格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7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16.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曾获得部、省、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市等荣誉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2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123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五、报价(10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)</w:t>
            </w: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76" w:firstLine="9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17.综合评分。取所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有报价的算术平均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值为评标基准价，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价格接近基准价优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先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10</w:t>
            </w:r>
          </w:p>
        </w:tc>
        <w:tc>
          <w:tcPr>
            <w:tcW w:w="18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4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取所有报价的算术平均值为评标基准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价，价格得分=10×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(1-丨评标基准价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格-报价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|/评标基准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价格)</w:t>
            </w:r>
          </w:p>
        </w:tc>
        <w:tc>
          <w:tcPr>
            <w:tcW w:w="12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position w:val="-1"/>
                <w:sz w:val="24"/>
                <w:szCs w:val="24"/>
              </w:rPr>
              <w:t>100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评审时间：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jc3MjA3OGRkN2UxOTQyYzE4YmJlYjVhMWI5OWQifQ=="/>
  </w:docVars>
  <w:rsids>
    <w:rsidRoot w:val="EBFF87AC"/>
    <w:rsid w:val="57FD624F"/>
    <w:rsid w:val="6FDD4E06"/>
    <w:rsid w:val="74FF5EB4"/>
    <w:rsid w:val="7580770C"/>
    <w:rsid w:val="CFBFC311"/>
    <w:rsid w:val="CFBFDC3C"/>
    <w:rsid w:val="D1F7757D"/>
    <w:rsid w:val="DE7FDA4D"/>
    <w:rsid w:val="EBFF87AC"/>
    <w:rsid w:val="F7BE9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789</Characters>
  <Lines>0</Lines>
  <Paragraphs>0</Paragraphs>
  <TotalTime>22</TotalTime>
  <ScaleCrop>false</ScaleCrop>
  <LinksUpToDate>false</LinksUpToDate>
  <CharactersWithSpaces>881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2023-04-25T17:04:00Z</dcterms:created>
  <dc:creator>uos</dc:creator>
  <cp:lastModifiedBy>greatwall</cp:lastModifiedBy>
  <dcterms:modified xsi:type="dcterms:W3CDTF">2023-06-14T11:44:58Z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4AF31C35E3B64E8ABDB2086CB7A68963</vt:lpwstr>
  </property>
</Properties>
</file>