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highlight w:val="none"/>
        </w:rPr>
      </w:pPr>
    </w:p>
    <w:tbl>
      <w:tblPr>
        <w:tblStyle w:val="4"/>
        <w:tblpPr w:leftFromText="180" w:rightFromText="180" w:vertAnchor="text" w:tblpX="-1253" w:tblpY="1"/>
        <w:tblOverlap w:val="never"/>
        <w:tblW w:w="15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69"/>
        <w:gridCol w:w="2361"/>
        <w:gridCol w:w="8081"/>
        <w:gridCol w:w="1481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招租评审评分表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招标名称：江门市农业科技创新中心出租国有土地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8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权重（分）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项目规划书</w:t>
            </w:r>
          </w:p>
        </w:tc>
        <w:tc>
          <w:tcPr>
            <w:tcW w:w="2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规划项目优势介绍、项目定位、项目思路等;</w:t>
            </w:r>
          </w:p>
        </w:tc>
        <w:tc>
          <w:tcPr>
            <w:tcW w:w="8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1、投标人制定的项目规划书满足江门六大特色优势农业产业发展要求，完全满足的得5分；基本满足的得3分，不太满足的得1分，不满足的不得分。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2、项目规划书符合基地总体规划，完全符合的得5分；基本符合的得3分，不太符合的得1分，不符合的不得分。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3、投标人为完全具备新品种、新材料、新技术、新模式等科技含量高企业得5分，基本具备的得3分，科技含量一般的得2分，不具备科技含量的不得分。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专业化、标准化、规模化、集约化的农业产业化规划得5分；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规划</w:t>
            </w:r>
            <w:r>
              <w:rPr>
                <w:rFonts w:hint="eastAsia" w:ascii="宋体" w:hAnsi="宋体" w:eastAsia="宋体"/>
                <w:szCs w:val="21"/>
              </w:rPr>
              <w:t>书内容和思路清晰，对各项工作和要求规划到位，技术路线全面、合理，方法可行，得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规划</w:t>
            </w:r>
            <w:r>
              <w:rPr>
                <w:rFonts w:hint="eastAsia" w:ascii="宋体" w:hAnsi="宋体" w:eastAsia="宋体"/>
                <w:szCs w:val="21"/>
              </w:rPr>
              <w:t>书内容和思路基本清晰，对各项工作和要求基本规划到位，技术路线基本全面、合理，方法基本可行，得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规划</w:t>
            </w:r>
            <w:r>
              <w:rPr>
                <w:rFonts w:hint="eastAsia" w:ascii="宋体" w:hAnsi="宋体" w:eastAsia="宋体"/>
                <w:szCs w:val="21"/>
              </w:rPr>
              <w:t>书内容和思路不太清晰，对各项工作和要求规划不太到位，技术路线不太全面、合理，方法可行性不高，得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没有</w:t>
            </w:r>
            <w:r>
              <w:rPr>
                <w:rFonts w:hint="eastAsia" w:ascii="宋体" w:hAnsi="宋体" w:eastAsia="宋体"/>
                <w:szCs w:val="21"/>
              </w:rPr>
              <w:t>提供研究思路方法及技术路线说明的，不得分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项目建设年度任务与进度安排投资估算、运行机制、资金筹措与效益分析等;</w:t>
            </w:r>
          </w:p>
        </w:tc>
        <w:tc>
          <w:tcPr>
            <w:tcW w:w="8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1、实施计划安排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实施计划内容详尽，可操作性强，实施计划具有科学性、合理性和可行性，得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实施计划内容一般，可操作性一般，实施计划的科学性、合理性和可行性一般，得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实施计划内容简略，可操作性较差，实施计划的科学性、合理性和可行性较差，得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不提供实施计划的不得分。</w:t>
            </w:r>
          </w:p>
        </w:tc>
        <w:tc>
          <w:tcPr>
            <w:tcW w:w="14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、提供年度任务与进度安排：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任务进度计划与进度安排具体、合理、可行，得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任务进度计划与进度安排基本具体、合理、可行，得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任务进度计划与进度安排不完全具体、不太合理、可行性不高，得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没有提供任务和进度安排的，不得分。</w:t>
            </w:r>
          </w:p>
        </w:tc>
        <w:tc>
          <w:tcPr>
            <w:tcW w:w="14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3、投资估算及运行机制：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①对项目规划详细的投资计划和估算，内容合理，得2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.5</w:t>
            </w:r>
            <w:r>
              <w:rPr>
                <w:rFonts w:hint="eastAsia" w:ascii="宋体" w:hAnsi="宋体" w:eastAsia="宋体"/>
                <w:szCs w:val="21"/>
              </w:rPr>
              <w:t>分；内容不合理或不提供不得分。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②运行机制内容完整合理可操作，得2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.5</w:t>
            </w:r>
            <w:r>
              <w:rPr>
                <w:rFonts w:hint="eastAsia" w:ascii="宋体" w:hAnsi="宋体" w:eastAsia="宋体"/>
                <w:szCs w:val="21"/>
              </w:rPr>
              <w:t>分；内容不合理或不可操作或不提供不得分。</w:t>
            </w:r>
          </w:p>
        </w:tc>
        <w:tc>
          <w:tcPr>
            <w:tcW w:w="14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4、资金筹措与效益分析：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有具体的资金筹措和效益分析方案，内容具体，得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资金筹措和效益分析方案一般的，得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Cs w:val="21"/>
              </w:rPr>
              <w:t>分；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资金筹措和效益分析方案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不具体的，得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0.5分；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无资金筹措和效益分析方案的，不得分。</w:t>
            </w:r>
          </w:p>
        </w:tc>
        <w:tc>
          <w:tcPr>
            <w:tcW w:w="14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现有企业综合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能力评审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项目技术研发团队;</w:t>
            </w:r>
          </w:p>
        </w:tc>
        <w:tc>
          <w:tcPr>
            <w:tcW w:w="8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组建技术研发团队得3分；有博士或教授以上得4分；有两名博士或教授以上得5分；</w:t>
            </w:r>
            <w:r>
              <w:rPr>
                <w:rFonts w:hint="eastAsia" w:ascii="宋体" w:hAnsi="宋体" w:eastAsia="宋体"/>
                <w:szCs w:val="21"/>
              </w:rPr>
              <w:t>提供学历证书或职称证书复印件并加盖投标人公章。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企业注册资金；</w:t>
            </w:r>
          </w:p>
        </w:tc>
        <w:tc>
          <w:tcPr>
            <w:tcW w:w="8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1、注册资金不少于100万元得4分，少于100万元不得分。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企业业绩；</w:t>
            </w:r>
          </w:p>
        </w:tc>
        <w:tc>
          <w:tcPr>
            <w:tcW w:w="8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2、企业近二年业绩,包括运营水平、偿债能力、经营增长三个方面，每具备一方面得2分，最高6分；不具备的不得分。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企业发展规模和区域品牌影响力;</w:t>
            </w:r>
          </w:p>
        </w:tc>
        <w:tc>
          <w:tcPr>
            <w:tcW w:w="8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规模与影响力各占2.5分；不具备的不得分。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商务报价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评估价700元/亩</w:t>
            </w:r>
          </w:p>
        </w:tc>
        <w:tc>
          <w:tcPr>
            <w:tcW w:w="8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农用地每年每亩评估价700元/亩，（报价达每亩700元可获得基础分40分，每亩底价每增加100元可获加2分，总分不超过50分）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10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注：投标截止后，评标小组成员将按照以上评分标准酌情进行打分，满分为100分，以最终总分最高者中标。综合分相同的，在满足招标人基础件下，能提供更优的项目规划书的为候选中标商。</w:t>
            </w:r>
          </w:p>
        </w:tc>
      </w:tr>
      <w:bookmarkEnd w:id="0"/>
    </w:tbl>
    <w:p>
      <w:pPr>
        <w:rPr>
          <w:highlight w:val="none"/>
        </w:rPr>
        <w:sectPr>
          <w:pgSz w:w="16838" w:h="11906" w:orient="landscape"/>
          <w:pgMar w:top="0" w:right="2098" w:bottom="0" w:left="1984" w:header="851" w:footer="992" w:gutter="0"/>
          <w:cols w:space="0" w:num="1"/>
          <w:rtlGutter w:val="0"/>
          <w:docGrid w:type="lines" w:linePitch="3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268215"/>
    <w:multiLevelType w:val="singleLevel"/>
    <w:tmpl w:val="F926821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64E8B"/>
    <w:rsid w:val="11F40CA5"/>
    <w:rsid w:val="247E0035"/>
    <w:rsid w:val="33964E8B"/>
    <w:rsid w:val="7B14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2023-02-07T02:34:00Z</dcterms:created>
  <dc:creator>何敏瑶</dc:creator>
  <cp:lastModifiedBy>何敏瑶</cp:lastModifiedBy>
  <cp:lastPrinted>2023-03-09T02:34:29Z</cp:lastPrinted>
  <dcterms:modified xsi:type="dcterms:W3CDTF">2023-03-09T02:35:19Z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