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7F" w:rsidRDefault="003B497F" w:rsidP="003B497F">
      <w:pPr>
        <w:spacing w:line="360" w:lineRule="auto"/>
        <w:jc w:val="left"/>
        <w:rPr>
          <w:rFonts w:ascii="宋体" w:hAnsi="宋体" w:cs="Calibri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3B497F" w:rsidRDefault="003B497F" w:rsidP="003B497F">
      <w:pPr>
        <w:keepNext/>
        <w:keepLines/>
        <w:autoSpaceDE w:val="0"/>
        <w:autoSpaceDN w:val="0"/>
        <w:adjustRightInd w:val="0"/>
        <w:spacing w:line="480" w:lineRule="exact"/>
        <w:jc w:val="center"/>
        <w:textAlignment w:val="baseline"/>
        <w:outlineLvl w:val="1"/>
        <w:rPr>
          <w:rFonts w:ascii="宋体" w:hAnsi="宋体" w:hint="eastAsia"/>
          <w:spacing w:val="20"/>
          <w:kern w:val="44"/>
          <w:sz w:val="44"/>
          <w:szCs w:val="44"/>
        </w:rPr>
      </w:pPr>
      <w:r>
        <w:rPr>
          <w:rFonts w:ascii="宋体" w:hAnsi="宋体" w:hint="eastAsia"/>
          <w:spacing w:val="20"/>
          <w:kern w:val="44"/>
          <w:sz w:val="44"/>
          <w:szCs w:val="44"/>
        </w:rPr>
        <w:t xml:space="preserve"> </w:t>
      </w:r>
    </w:p>
    <w:p w:rsidR="003B497F" w:rsidRDefault="003B497F" w:rsidP="003B497F">
      <w:pPr>
        <w:keepNext/>
        <w:keepLines/>
        <w:autoSpaceDE w:val="0"/>
        <w:autoSpaceDN w:val="0"/>
        <w:adjustRightInd w:val="0"/>
        <w:spacing w:line="480" w:lineRule="exact"/>
        <w:jc w:val="center"/>
        <w:textAlignment w:val="baseline"/>
        <w:outlineLvl w:val="1"/>
        <w:rPr>
          <w:rFonts w:ascii="方正小标宋简体" w:eastAsia="方正小标宋简体" w:hAnsi="宋体" w:hint="eastAsia"/>
          <w:spacing w:val="20"/>
          <w:kern w:val="44"/>
          <w:sz w:val="44"/>
          <w:szCs w:val="44"/>
        </w:rPr>
      </w:pPr>
      <w:r>
        <w:rPr>
          <w:rFonts w:ascii="方正小标宋简体" w:eastAsia="方正小标宋简体" w:hAnsi="宋体" w:hint="eastAsia"/>
          <w:spacing w:val="20"/>
          <w:kern w:val="44"/>
          <w:sz w:val="44"/>
          <w:szCs w:val="44"/>
        </w:rPr>
        <w:t>授权委托书</w:t>
      </w:r>
    </w:p>
    <w:p w:rsidR="003B497F" w:rsidRDefault="003B497F" w:rsidP="003B497F">
      <w:p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本授权书声明：注册于</w:t>
      </w:r>
      <w:r>
        <w:rPr>
          <w:rFonts w:ascii="宋体" w:hAnsi="宋体" w:hint="eastAsia"/>
          <w:spacing w:val="20"/>
          <w:sz w:val="24"/>
          <w:u w:val="single"/>
        </w:rPr>
        <w:t xml:space="preserve">  （参选银行注册地）  </w:t>
      </w:r>
      <w:r>
        <w:rPr>
          <w:rFonts w:ascii="宋体" w:hAnsi="宋体" w:hint="eastAsia"/>
          <w:spacing w:val="20"/>
          <w:sz w:val="24"/>
        </w:rPr>
        <w:t xml:space="preserve"> 的（</w:t>
      </w:r>
      <w:r>
        <w:rPr>
          <w:rFonts w:ascii="宋体" w:hAnsi="宋体" w:hint="eastAsia"/>
          <w:spacing w:val="20"/>
          <w:sz w:val="24"/>
          <w:u w:val="single"/>
        </w:rPr>
        <w:t>参选银行名称）</w:t>
      </w:r>
      <w:r>
        <w:rPr>
          <w:rFonts w:ascii="宋体" w:hAnsi="宋体" w:hint="eastAsia"/>
          <w:spacing w:val="20"/>
          <w:sz w:val="24"/>
        </w:rPr>
        <w:t>的在下面签字（或盖私章）的</w:t>
      </w:r>
      <w:r>
        <w:rPr>
          <w:rFonts w:ascii="宋体" w:hAnsi="宋体" w:hint="eastAsia"/>
          <w:spacing w:val="20"/>
          <w:sz w:val="24"/>
          <w:u w:val="single"/>
        </w:rPr>
        <w:t>（法定代表人/负责人/投资人姓名、职务）</w:t>
      </w:r>
      <w:r>
        <w:rPr>
          <w:rFonts w:ascii="宋体" w:hAnsi="宋体" w:hint="eastAsia"/>
          <w:spacing w:val="20"/>
          <w:sz w:val="24"/>
        </w:rPr>
        <w:t>代表本单位授权在下面签字（或盖私章）的</w:t>
      </w:r>
      <w:r>
        <w:rPr>
          <w:rFonts w:ascii="宋体" w:hAnsi="宋体" w:hint="eastAsia"/>
          <w:spacing w:val="20"/>
          <w:sz w:val="24"/>
          <w:u w:val="single"/>
        </w:rPr>
        <w:t>（被授权人姓名）</w:t>
      </w:r>
      <w:r>
        <w:rPr>
          <w:rFonts w:ascii="宋体" w:hAnsi="宋体" w:hint="eastAsia"/>
          <w:spacing w:val="20"/>
          <w:sz w:val="24"/>
        </w:rPr>
        <w:t xml:space="preserve">为本单位的合法代理人，就 </w:t>
      </w:r>
      <w:r>
        <w:rPr>
          <w:rFonts w:ascii="宋体" w:hAnsi="宋体" w:hint="eastAsia"/>
          <w:spacing w:val="20"/>
          <w:sz w:val="24"/>
          <w:u w:val="single"/>
        </w:rPr>
        <w:t>江门市卫生健康</w:t>
      </w:r>
      <w:proofErr w:type="gramStart"/>
      <w:r>
        <w:rPr>
          <w:rFonts w:ascii="宋体" w:hAnsi="宋体" w:hint="eastAsia"/>
          <w:spacing w:val="20"/>
          <w:sz w:val="24"/>
          <w:u w:val="single"/>
        </w:rPr>
        <w:t>局基本</w:t>
      </w:r>
      <w:proofErr w:type="gramEnd"/>
      <w:r>
        <w:rPr>
          <w:rFonts w:ascii="宋体" w:hAnsi="宋体" w:hint="eastAsia"/>
          <w:spacing w:val="20"/>
          <w:sz w:val="24"/>
          <w:u w:val="single"/>
        </w:rPr>
        <w:t>账户和零余额户</w:t>
      </w:r>
      <w:r>
        <w:rPr>
          <w:rFonts w:ascii="宋体" w:hAnsi="宋体" w:hint="eastAsia"/>
          <w:spacing w:val="20"/>
          <w:sz w:val="24"/>
        </w:rPr>
        <w:t>的遴选合作银行，以本单位名义处理一切与之有关的事务。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本授权书于2023年  月   日签字（或盖私章）生效，特此声明。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 xml:space="preserve"> 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参选银行名称（盖公章）：</w:t>
      </w:r>
      <w:r>
        <w:rPr>
          <w:rFonts w:ascii="宋体" w:hAnsi="宋体" w:hint="eastAsia"/>
          <w:spacing w:val="20"/>
          <w:sz w:val="24"/>
          <w:u w:val="single"/>
        </w:rPr>
        <w:t xml:space="preserve">                       </w:t>
      </w:r>
      <w:r>
        <w:rPr>
          <w:rFonts w:ascii="宋体" w:hAnsi="宋体" w:hint="eastAsia"/>
          <w:spacing w:val="20"/>
          <w:sz w:val="24"/>
        </w:rPr>
        <w:t xml:space="preserve">                    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法定代表人/负责人/投资人签字（或盖私章）：</w:t>
      </w:r>
      <w:r>
        <w:rPr>
          <w:rFonts w:ascii="宋体" w:hAnsi="宋体" w:hint="eastAsia"/>
          <w:spacing w:val="20"/>
          <w:sz w:val="24"/>
          <w:u w:val="single"/>
        </w:rPr>
        <w:t xml:space="preserve">           </w:t>
      </w:r>
      <w:r>
        <w:rPr>
          <w:rFonts w:ascii="宋体" w:hAnsi="宋体" w:hint="eastAsia"/>
          <w:spacing w:val="20"/>
          <w:sz w:val="24"/>
        </w:rPr>
        <w:t xml:space="preserve">                   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被授权人签字（或盖私章）：</w:t>
      </w:r>
      <w:r>
        <w:rPr>
          <w:rFonts w:ascii="宋体" w:hAnsi="宋体" w:hint="eastAsia"/>
          <w:spacing w:val="20"/>
          <w:sz w:val="24"/>
          <w:u w:val="single"/>
        </w:rPr>
        <w:t xml:space="preserve">            </w:t>
      </w:r>
      <w:r>
        <w:rPr>
          <w:rFonts w:ascii="宋体" w:hAnsi="宋体" w:hint="eastAsia"/>
          <w:spacing w:val="20"/>
          <w:sz w:val="24"/>
        </w:rPr>
        <w:t xml:space="preserve">                                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 xml:space="preserve">被授权人联系电话： </w:t>
      </w:r>
      <w:r>
        <w:rPr>
          <w:rFonts w:ascii="宋体" w:hAnsi="宋体" w:hint="eastAsia"/>
          <w:spacing w:val="20"/>
          <w:sz w:val="24"/>
          <w:u w:val="single"/>
        </w:rPr>
        <w:t xml:space="preserve">               </w:t>
      </w:r>
      <w:r>
        <w:rPr>
          <w:rFonts w:ascii="宋体" w:hAnsi="宋体" w:hint="eastAsia"/>
          <w:spacing w:val="20"/>
          <w:sz w:val="24"/>
        </w:rPr>
        <w:t xml:space="preserve">                             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 xml:space="preserve"> 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要求：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1.如参选银行由法定代表人/负责人/投资人参加遴选及签署文件，则应当提交《法定代表人/负责人/投资人证明书》（参考工商行政管理局统一印制的法定代表人证明书格式，加盖单位公章）代替《授权委托书》。</w:t>
      </w:r>
    </w:p>
    <w:p w:rsidR="003B497F" w:rsidRDefault="003B497F" w:rsidP="003B497F">
      <w:pPr>
        <w:spacing w:line="360" w:lineRule="auto"/>
        <w:ind w:firstLineChars="200" w:firstLine="560"/>
        <w:rPr>
          <w:rFonts w:ascii="宋体" w:hAnsi="宋体" w:hint="eastAsia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2.参选银行应提供法定代表人/负责人/投资人、被授权人的有效身份证复印件以核实其身份。</w:t>
      </w:r>
    </w:p>
    <w:p w:rsidR="003B497F" w:rsidRDefault="003B497F" w:rsidP="003B497F">
      <w:pPr>
        <w:widowControl/>
        <w:spacing w:line="480" w:lineRule="auto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</w:p>
    <w:p w:rsidR="003B497F" w:rsidRDefault="003B497F" w:rsidP="003B497F">
      <w:pPr>
        <w:widowControl/>
        <w:spacing w:line="480" w:lineRule="auto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</w:t>
      </w:r>
    </w:p>
    <w:p w:rsidR="003B497F" w:rsidRDefault="003B497F" w:rsidP="003B497F">
      <w:pPr>
        <w:widowControl/>
        <w:spacing w:line="480" w:lineRule="auto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3B497F" w:rsidRDefault="003B497F" w:rsidP="003B497F">
      <w:pPr>
        <w:spacing w:line="360" w:lineRule="auto"/>
        <w:jc w:val="left"/>
        <w:rPr>
          <w:rFonts w:ascii="宋体" w:hAnsi="宋体" w:cs="Calibri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附件</w:t>
      </w:r>
      <w:r>
        <w:rPr>
          <w:sz w:val="32"/>
          <w:szCs w:val="32"/>
        </w:rPr>
        <w:t>2</w:t>
      </w:r>
    </w:p>
    <w:p w:rsidR="003B497F" w:rsidRDefault="003B497F" w:rsidP="003B497F">
      <w:pPr>
        <w:jc w:val="center"/>
        <w:rPr>
          <w:rFonts w:ascii="方正小标宋简体" w:eastAsia="方正小标宋简体" w:hAnsi="Times New Roman" w:hint="eastAsia"/>
          <w:sz w:val="32"/>
          <w:szCs w:val="32"/>
        </w:rPr>
      </w:pPr>
      <w:r>
        <w:rPr>
          <w:rFonts w:ascii="方正小标宋简体" w:eastAsia="方正小标宋简体" w:hAnsi="Times New Roman" w:hint="eastAsia"/>
          <w:bCs/>
          <w:sz w:val="32"/>
          <w:szCs w:val="32"/>
        </w:rPr>
        <w:t>评分表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"/>
        <w:gridCol w:w="2694"/>
        <w:gridCol w:w="4073"/>
        <w:gridCol w:w="567"/>
        <w:gridCol w:w="3000"/>
      </w:tblGrid>
      <w:tr w:rsidR="003B497F" w:rsidTr="007E5AC4">
        <w:trPr>
          <w:trHeight w:val="339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7F" w:rsidRDefault="003B497F" w:rsidP="007E5AC4">
            <w:pPr>
              <w:widowControl/>
              <w:jc w:val="left"/>
              <w:textAlignment w:val="center"/>
              <w:rPr>
                <w:rFonts w:ascii="宋体" w:hAnsi="宋体" w:cs="Calibri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评审内容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评分指标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评分说明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权重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备注</w:t>
            </w:r>
          </w:p>
        </w:tc>
      </w:tr>
      <w:tr w:rsidR="003B497F" w:rsidTr="007E5AC4">
        <w:trPr>
          <w:trHeight w:val="2088"/>
          <w:jc w:val="center"/>
        </w:trPr>
        <w:tc>
          <w:tcPr>
            <w:tcW w:w="10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经营状况及安全性指标</w:t>
            </w:r>
          </w:p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（25%）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1.存贷比指标，截止2022 年12 月31 日投标人的存贷比（各项贷款/各项存款）（%））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（以江门市全市数据为准）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满分为5 分。其中：（1）80%-100%及以上：得5 分；（2）60%-80%（不含80%）：得4分；（3）60%（不含60%）以下：得3分。存贷比指标（各项贷款/各项存款）（%）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5%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存贷比指标（各项贷款/各项存款）（%）以各投标人上报人行金融统计监测管理信息系统数据为准；投标人需在投标文件中提供报表系统数据截图，并加盖投标人单位公章，不提供不得分。</w:t>
            </w:r>
          </w:p>
        </w:tc>
      </w:tr>
      <w:tr w:rsidR="003B497F" w:rsidTr="007E5AC4">
        <w:trPr>
          <w:trHeight w:val="570"/>
          <w:jc w:val="center"/>
        </w:trPr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left"/>
              <w:rPr>
                <w:rFonts w:ascii="宋体" w:hAnsi="宋体" w:cs="Calibri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2.2021 年银行业机构综合评估情况：以人民银行江门市中心支行出具的对投标人2021 年度银行业机构综合评估结果为准。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满分为10 分。其中：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A+：10 分；A-：9 分；B+：8 分；B-：7 分；B-以下：0 分。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投标人需在投标文件中提供人民银行江门市中心支行对投标人2021 年的银行业机构综合评估评定文件复印件，并加盖投标人单位公章，不提供不得分。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10%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投标人需在投标文件中提供人民银行江门市中心支行对投标人2021 年的银行业机构综合评估评定文件复印件，并加盖投标人单位公章，不提供不得分。</w:t>
            </w:r>
          </w:p>
        </w:tc>
      </w:tr>
      <w:tr w:rsidR="003B497F" w:rsidTr="007E5AC4">
        <w:trPr>
          <w:trHeight w:val="570"/>
          <w:jc w:val="center"/>
        </w:trPr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left"/>
              <w:rPr>
                <w:rFonts w:ascii="宋体" w:hAnsi="宋体" w:cs="Calibri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3.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2021年银行业金融机构金融消费者权益保护评估情况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left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满分10分。所有投标人中评估结果为A+级的得分10分，评估结果为A级的得分8分，评估结果为B级的得分6分，评估结果C级的得分4分，评估结果低于C级或未参与评估的得0分。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以中国人民银行江门市中心支行对投标人2021年度银行业金融机构金融消费者权益保护评估情况的通报结果为准</w:t>
            </w:r>
          </w:p>
        </w:tc>
      </w:tr>
      <w:tr w:rsidR="003B497F" w:rsidTr="007E5AC4">
        <w:trPr>
          <w:trHeight w:val="577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社保卡业务指标（20%）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4.社保卡服务考评结果（截至2022年上半年（含）前6次考核）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满分为20分。按近六次江门市社会保障卡代理银行服务考核平均分分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档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计分。其中:平均分115分以上：得20分；110分-115分（不含115分）：得19分；105分-110分（不含110分）：得18分；100分-105分（不含105分）：得17分；95分-100分（不含100分）：得16分；90分-95分（不含95分）：得15分；85分-90分（不含90分）：得14分；85分（不含85分）以下：得12分。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考核平均分=投标方近6次考核得分总和/6。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</w:t>
            </w:r>
            <w:r>
              <w:rPr>
                <w:rFonts w:ascii="宋体" w:hAnsi="宋体" w:hint="eastAsia"/>
                <w:color w:val="000000"/>
              </w:rPr>
              <w:t>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以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人社部门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历年对社保卡发卡银行服务考评质量评分文件的评分为依据。</w:t>
            </w:r>
          </w:p>
        </w:tc>
      </w:tr>
      <w:tr w:rsidR="003B497F" w:rsidTr="007E5AC4">
        <w:trPr>
          <w:trHeight w:val="577"/>
          <w:jc w:val="center"/>
        </w:trPr>
        <w:tc>
          <w:tcPr>
            <w:tcW w:w="10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服务质量指标（45%）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5.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营业网点数量（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）：截止2022 年12 月31 日投标人江门市全市设立的营业网点机构数量。（以江门市全市数据为准）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1.服务网点合计数量＞40家，得分20分；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2.服务网点合计数量30-40家，得分15分；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3.服务网点合计数量20-30家，得分10分；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4.服务网点合计数量10-20家，得分5分；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5.服务网点合计数量＜10家，不得分。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20%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营业网点机构数量（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）以各投标人上报银保监局的非现场监管系统数据口径填报，以投标人提供报表系统数据截图作为依据；投标人需在投标文件中提供报表系统数据截图，并加盖投标人单</w:t>
            </w: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位公章，不提供不得分。</w:t>
            </w:r>
          </w:p>
        </w:tc>
      </w:tr>
      <w:tr w:rsidR="003B497F" w:rsidTr="007E5AC4">
        <w:trPr>
          <w:trHeight w:val="577"/>
          <w:jc w:val="center"/>
        </w:trPr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6.支付结算能力及服务水平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满分为5分。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考察投标人业务受理、转账到账、提取现金等业务办理及时性；对于单据处理、单据派发的响应速度；柜面人员的服务意识；业务办理客户满意度。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根据投标人日常服务水平评分。</w:t>
            </w:r>
          </w:p>
        </w:tc>
      </w:tr>
      <w:tr w:rsidR="003B497F" w:rsidTr="007E5AC4">
        <w:trPr>
          <w:trHeight w:val="577"/>
          <w:jc w:val="center"/>
        </w:trPr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7.是否可减免账户费用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满分为10分。可减免账户费用的得10分，不可减免账户费用的得0分。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按投标人提供承诺函为准</w:t>
            </w:r>
          </w:p>
        </w:tc>
      </w:tr>
      <w:tr w:rsidR="003B497F" w:rsidTr="007E5AC4">
        <w:trPr>
          <w:trHeight w:val="976"/>
          <w:jc w:val="center"/>
        </w:trPr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8.是否具备江门市国库集中支付业务资格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满分为5分。具备江门市国库集中支付业务资格的得5分，不具备江门市国库集中支付业务资格的得0分。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</w:t>
            </w:r>
            <w:r>
              <w:rPr>
                <w:rFonts w:ascii="宋体" w:hAnsi="宋体" w:hint="eastAsia"/>
                <w:color w:val="000000"/>
              </w:rPr>
              <w:t>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按投标人提供的相关代理业务资格证书/协议/合同</w:t>
            </w:r>
          </w:p>
        </w:tc>
      </w:tr>
      <w:tr w:rsidR="003B497F" w:rsidTr="007E5AC4">
        <w:trPr>
          <w:trHeight w:val="285"/>
          <w:jc w:val="center"/>
        </w:trPr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9.是否具备江门市财政统发工资资格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满分为5分，具备代理江门市财政统发工资资格的得5分，不具备代理江门市财政统发工资资格的得0分。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</w:t>
            </w:r>
            <w:r>
              <w:rPr>
                <w:rFonts w:ascii="宋体" w:hAnsi="宋体" w:hint="eastAsia"/>
                <w:color w:val="000000"/>
              </w:rPr>
              <w:t>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按投标人提供的相关代理业务资格证书/协议/合同</w:t>
            </w:r>
          </w:p>
        </w:tc>
      </w:tr>
      <w:tr w:rsidR="003B497F" w:rsidTr="007E5AC4">
        <w:trPr>
          <w:trHeight w:val="28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利率指标（10%）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10.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利率优惠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活期协定存款优惠利率：投标人给予的在人民银行活期协定存款挂牌利率基础上增加基点(BP)。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1.≥40BP（含），得分10分；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2.30BP（含）-40BP，得分6分；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3.＜30BP，得分0分。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按投标人提供承诺函为准</w:t>
            </w:r>
          </w:p>
        </w:tc>
      </w:tr>
      <w:tr w:rsidR="003B497F" w:rsidTr="007E5AC4">
        <w:trPr>
          <w:trHeight w:val="28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综合评价</w:t>
            </w:r>
          </w:p>
          <w:p w:rsidR="003B497F" w:rsidRPr="007E5AC4" w:rsidRDefault="003B497F" w:rsidP="007E5AC4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11.综合评价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根据参评银行的服务质量、客户满意度情况等进行综合评价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20%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</w:tr>
    </w:tbl>
    <w:p w:rsidR="003B497F" w:rsidRDefault="003B497F" w:rsidP="003B497F">
      <w:pPr>
        <w:jc w:val="center"/>
        <w:rPr>
          <w:rFonts w:ascii="仿宋_GB2312" w:eastAsia="仿宋_GB2312" w:hAnsi="Times New Roman" w:cs="Calibri" w:hint="eastAsia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 xml:space="preserve"> </w:t>
      </w:r>
    </w:p>
    <w:p w:rsidR="003B497F" w:rsidRDefault="003B497F" w:rsidP="003B497F">
      <w:pPr>
        <w:spacing w:line="480" w:lineRule="auto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3B497F" w:rsidRPr="003B497F" w:rsidRDefault="003B497F" w:rsidP="003B497F">
      <w:pPr>
        <w:pStyle w:val="a0"/>
        <w:rPr>
          <w:rFonts w:hint="eastAsia"/>
        </w:rPr>
      </w:pPr>
    </w:p>
    <w:p w:rsidR="003B497F" w:rsidRDefault="003B497F" w:rsidP="003B497F">
      <w:pPr>
        <w:spacing w:line="480" w:lineRule="auto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3B497F" w:rsidRPr="003B497F" w:rsidRDefault="003B497F" w:rsidP="003B497F">
      <w:pPr>
        <w:pStyle w:val="a0"/>
        <w:rPr>
          <w:rFonts w:hint="eastAsia"/>
        </w:rPr>
      </w:pPr>
      <w:bookmarkStart w:id="0" w:name="_GoBack"/>
      <w:bookmarkEnd w:id="0"/>
    </w:p>
    <w:p w:rsidR="003B497F" w:rsidRPr="003B497F" w:rsidRDefault="003B497F" w:rsidP="003B497F">
      <w:pPr>
        <w:pStyle w:val="a0"/>
        <w:rPr>
          <w:rFonts w:hint="eastAsia"/>
        </w:rPr>
      </w:pPr>
    </w:p>
    <w:p w:rsidR="003B497F" w:rsidRDefault="003B497F" w:rsidP="003B497F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3B497F" w:rsidRPr="003B497F" w:rsidRDefault="003B497F" w:rsidP="003B497F">
      <w:pPr>
        <w:pStyle w:val="a0"/>
        <w:rPr>
          <w:rFonts w:hint="eastAsia"/>
        </w:rPr>
      </w:pPr>
    </w:p>
    <w:p w:rsidR="003B497F" w:rsidRDefault="003B497F" w:rsidP="003B497F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3B497F" w:rsidRDefault="003B497F" w:rsidP="003B497F">
      <w:pPr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附件</w:t>
      </w:r>
      <w:r>
        <w:rPr>
          <w:sz w:val="32"/>
          <w:szCs w:val="32"/>
        </w:rPr>
        <w:t>3</w:t>
      </w:r>
    </w:p>
    <w:p w:rsidR="003B497F" w:rsidRDefault="003B497F" w:rsidP="003B497F">
      <w:pPr>
        <w:jc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bCs/>
          <w:sz w:val="28"/>
          <w:szCs w:val="28"/>
        </w:rPr>
        <w:t>数据采集表</w:t>
      </w:r>
    </w:p>
    <w:tbl>
      <w:tblPr>
        <w:tblW w:w="0" w:type="auto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2"/>
        <w:gridCol w:w="2268"/>
        <w:gridCol w:w="4678"/>
      </w:tblGrid>
      <w:tr w:rsidR="003B497F" w:rsidTr="007E5AC4">
        <w:trPr>
          <w:trHeight w:val="27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内容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3B497F" w:rsidTr="007E5AC4">
        <w:trPr>
          <w:trHeight w:val="57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1.存贷比指标，截止2022 年12 月31 日投标人的存贷比（各项贷款/各项存款）（%））</w:t>
            </w:r>
          </w:p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（以江门市全市数据为准）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填写</w:t>
            </w:r>
            <w:r>
              <w:rPr>
                <w:rFonts w:ascii="宋体" w:hAnsi="宋体" w:hint="eastAsia"/>
                <w:color w:val="000000"/>
              </w:rPr>
              <w:t>存贷比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存贷比指标（各项贷款/各项存款）（%）以各投标人上报人行金融统计监测管理信息系统数据为准；投标人需在投标文件中提供报表系统数据截图，并加盖投标人单位公章，不提供不得分。</w:t>
            </w:r>
          </w:p>
        </w:tc>
      </w:tr>
      <w:tr w:rsidR="003B497F" w:rsidTr="007E5AC4">
        <w:trPr>
          <w:trHeight w:val="57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2.2021 年银行业机构综合评估情况：以人民银行江门市中心支行出具的对投标人2021 年度银行业机构综合评估结果为准。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填写2021 年度银行业机构综合评估结果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投标人需在投标文件中提供人民银行江门市中心支行对投标人2021 年的银行业机构综合评估评定文件复印件，并加盖投标人单位公章，不提供不得分。</w:t>
            </w:r>
          </w:p>
        </w:tc>
      </w:tr>
      <w:tr w:rsidR="003B497F" w:rsidTr="007E5AC4">
        <w:trPr>
          <w:trHeight w:val="57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3.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2021年银行业金融机构金融消费者权益保护评估情况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填写2021年银行业金融机构金融消费者权益保护评估结果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以中国人民银行江门市中心支行对投标人2021年度银行业金融机构金融消费者权益保护评估情况的通报结果为准</w:t>
            </w:r>
          </w:p>
        </w:tc>
      </w:tr>
      <w:tr w:rsidR="003B497F" w:rsidTr="007E5AC4">
        <w:trPr>
          <w:trHeight w:val="57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4. 社保卡服务考评结果（截至2022年上半年（含）前6次考核）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填写近 6 次社保卡服务考核得分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以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人社部门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历年对社保卡发卡银行服务考评质量评分文件的评分为依据。</w:t>
            </w:r>
          </w:p>
        </w:tc>
      </w:tr>
      <w:tr w:rsidR="003B497F" w:rsidTr="007E5AC4">
        <w:trPr>
          <w:trHeight w:val="57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5.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营业网点数量（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）：截止2022 年12 月31 日投标人江门市全市设立的营业网点机构数量。（以江门市全市数据为准）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填写营业网点数量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营业网点机构数量（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）以各投标人上报银保监局的非现场监管系统数据口径填报，以投标人提供报表系统数据截图作为依据；投标人需在投标文件中提供报表系统数据截图，并加盖投标人单位公章，不提供不得分。</w:t>
            </w:r>
          </w:p>
        </w:tc>
      </w:tr>
      <w:tr w:rsidR="003B497F" w:rsidTr="007E5AC4">
        <w:trPr>
          <w:trHeight w:val="28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6.支付结算能力及服务水平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/</w:t>
            </w:r>
          </w:p>
        </w:tc>
      </w:tr>
      <w:tr w:rsidR="003B497F" w:rsidTr="007E5AC4">
        <w:trPr>
          <w:trHeight w:val="28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7.是否可减免账户费用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是/否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请提供相关承诺函</w:t>
            </w:r>
          </w:p>
        </w:tc>
      </w:tr>
      <w:tr w:rsidR="003B497F" w:rsidTr="007E5AC4">
        <w:trPr>
          <w:trHeight w:val="28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8.是否具备江门市国库集中支付业务资格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是/否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请提供相关代理业务资格证书/协议/合同</w:t>
            </w:r>
          </w:p>
        </w:tc>
      </w:tr>
      <w:tr w:rsidR="003B497F" w:rsidTr="007E5AC4">
        <w:trPr>
          <w:trHeight w:val="57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9.是否具备江门市财政统发工资资格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是/否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</w:tr>
      <w:tr w:rsidR="003B497F" w:rsidTr="007E5AC4">
        <w:trPr>
          <w:trHeight w:val="57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7F" w:rsidRDefault="003B497F" w:rsidP="007E5AC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10.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利率优惠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活期协定存款优惠利率：投标人给予的在人民银行活期协定存款挂牌利率基础上增加基点(BP)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97F" w:rsidRDefault="003B497F" w:rsidP="007E5AC4">
            <w:pPr>
              <w:widowControl/>
              <w:jc w:val="left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请提供相关承诺函</w:t>
            </w:r>
          </w:p>
        </w:tc>
      </w:tr>
    </w:tbl>
    <w:p w:rsidR="003B497F" w:rsidRDefault="003B497F" w:rsidP="003B497F">
      <w:pPr>
        <w:rPr>
          <w:rFonts w:ascii="仿宋_GB2312" w:eastAsia="仿宋_GB2312" w:hAnsi="Times New Roman" w:cs="Calibri" w:hint="eastAsia"/>
          <w:sz w:val="24"/>
        </w:rPr>
      </w:pPr>
      <w:r>
        <w:rPr>
          <w:rFonts w:ascii="仿宋_GB2312" w:eastAsia="仿宋_GB2312" w:hAnsi="Times New Roman" w:hint="eastAsia"/>
          <w:sz w:val="24"/>
        </w:rPr>
        <w:t>以</w:t>
      </w:r>
      <w:r>
        <w:rPr>
          <w:rFonts w:ascii="宋体" w:hAnsi="宋体" w:hint="eastAsia"/>
        </w:rPr>
        <w:t>上提供的数据和情况必须真实，否则我局有权取消贵行相关业务资格。</w:t>
      </w:r>
    </w:p>
    <w:p w:rsidR="003B497F" w:rsidRDefault="003B497F" w:rsidP="003B497F">
      <w:pPr>
        <w:rPr>
          <w:rFonts w:ascii="仿宋_GB2312" w:eastAsia="仿宋_GB2312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                                       </w:t>
      </w:r>
      <w:r>
        <w:rPr>
          <w:rFonts w:ascii="仿宋_GB2312" w:eastAsia="仿宋_GB2312" w:hAnsi="Times New Roman" w:hint="eastAsia"/>
          <w:sz w:val="24"/>
        </w:rPr>
        <w:t xml:space="preserve"> </w:t>
      </w:r>
    </w:p>
    <w:p w:rsidR="003B497F" w:rsidRDefault="003B497F" w:rsidP="003B497F">
      <w:pPr>
        <w:jc w:val="left"/>
        <w:rPr>
          <w:rFonts w:ascii="宋体" w:hAnsi="宋体" w:hint="eastAsia"/>
          <w:sz w:val="24"/>
        </w:rPr>
      </w:pPr>
      <w:r>
        <w:rPr>
          <w:rFonts w:ascii="仿宋_GB2312" w:eastAsia="仿宋_GB2312" w:hAnsi="Times New Roman" w:hint="eastAsia"/>
          <w:sz w:val="24"/>
        </w:rPr>
        <w:t xml:space="preserve">                                  </w:t>
      </w:r>
      <w:r>
        <w:rPr>
          <w:rFonts w:ascii="宋体" w:hAnsi="宋体" w:hint="eastAsia"/>
          <w:sz w:val="24"/>
        </w:rPr>
        <w:t xml:space="preserve">         银行（公章）</w:t>
      </w:r>
    </w:p>
    <w:p w:rsidR="003B497F" w:rsidRDefault="003B497F" w:rsidP="003B497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日期：   年    月    日</w:t>
      </w:r>
    </w:p>
    <w:p w:rsidR="003B497F" w:rsidRDefault="003B497F" w:rsidP="003B497F">
      <w:pPr>
        <w:pStyle w:val="a0"/>
        <w:spacing w:after="0"/>
      </w:pPr>
    </w:p>
    <w:p w:rsidR="002A5563" w:rsidRPr="003B497F" w:rsidRDefault="002A5563"/>
    <w:sectPr w:rsidR="002A5563" w:rsidRPr="003B497F">
      <w:pgSz w:w="11906" w:h="16838"/>
      <w:pgMar w:top="2041" w:right="1474" w:bottom="2041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7F"/>
    <w:rsid w:val="002A5563"/>
    <w:rsid w:val="003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49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  <w:rsid w:val="003B497F"/>
    <w:pPr>
      <w:spacing w:after="120"/>
    </w:pPr>
  </w:style>
  <w:style w:type="character" w:customStyle="1" w:styleId="Char">
    <w:name w:val="正文文本 Char"/>
    <w:basedOn w:val="a1"/>
    <w:link w:val="a0"/>
    <w:rsid w:val="003B497F"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B4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3B497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49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  <w:rsid w:val="003B497F"/>
    <w:pPr>
      <w:spacing w:after="120"/>
    </w:pPr>
  </w:style>
  <w:style w:type="character" w:customStyle="1" w:styleId="Char">
    <w:name w:val="正文文本 Char"/>
    <w:basedOn w:val="a1"/>
    <w:link w:val="a0"/>
    <w:rsid w:val="003B497F"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B4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3B49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2978</Characters>
  <Application>Microsoft Office Word</Application>
  <DocSecurity>0</DocSecurity>
  <Lines>24</Lines>
  <Paragraphs>6</Paragraphs>
  <ScaleCrop>false</ScaleCrop>
  <Company>Microsoft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吴峰号</dc:creator>
  <cp:lastModifiedBy>吴峰号</cp:lastModifiedBy>
  <cp:revision>1</cp:revision>
  <dcterms:created xsi:type="dcterms:W3CDTF">2023-04-12T02:15:00Z</dcterms:created>
  <dcterms:modified xsi:type="dcterms:W3CDTF">2023-04-12T02:16:00Z</dcterms:modified>
</cp:coreProperties>
</file>