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bCs/>
          <w:sz w:val="32"/>
          <w:szCs w:val="32"/>
          <w:lang w:bidi="ar"/>
        </w:rPr>
      </w:pPr>
    </w:p>
    <w:p>
      <w:pPr>
        <w:spacing w:line="600" w:lineRule="exact"/>
        <w:jc w:val="center"/>
        <w:rPr>
          <w:sz w:val="52"/>
          <w:szCs w:val="52"/>
        </w:rPr>
      </w:pPr>
    </w:p>
    <w:p>
      <w:pPr>
        <w:spacing w:line="600" w:lineRule="exact"/>
        <w:jc w:val="center"/>
        <w:rPr>
          <w:rFonts w:eastAsia="方正小标宋简体"/>
          <w:sz w:val="40"/>
          <w:szCs w:val="40"/>
        </w:rPr>
      </w:pPr>
      <w:r>
        <w:rPr>
          <w:rFonts w:eastAsia="方正小标宋简体"/>
          <w:sz w:val="40"/>
          <w:szCs w:val="40"/>
        </w:rPr>
        <w:t>20</w:t>
      </w:r>
      <w:r>
        <w:rPr>
          <w:rFonts w:hint="eastAsia" w:eastAsia="方正小标宋简体"/>
          <w:sz w:val="40"/>
          <w:szCs w:val="40"/>
        </w:rPr>
        <w:t>21</w:t>
      </w:r>
      <w:r>
        <w:rPr>
          <w:rFonts w:eastAsia="方正小标宋简体"/>
          <w:sz w:val="40"/>
          <w:szCs w:val="40"/>
        </w:rPr>
        <w:t>年</w:t>
      </w:r>
      <w:r>
        <w:rPr>
          <w:rFonts w:hint="eastAsia" w:eastAsia="方正小标宋简体"/>
          <w:sz w:val="40"/>
          <w:szCs w:val="40"/>
        </w:rPr>
        <w:t>促进经济高质量发展专项资金</w:t>
      </w:r>
    </w:p>
    <w:p>
      <w:pPr>
        <w:spacing w:line="600" w:lineRule="exact"/>
        <w:jc w:val="center"/>
        <w:rPr>
          <w:rFonts w:eastAsia="方正小标宋简体"/>
          <w:sz w:val="40"/>
          <w:szCs w:val="40"/>
        </w:rPr>
      </w:pPr>
      <w:r>
        <w:rPr>
          <w:rFonts w:hint="eastAsia" w:eastAsia="方正小标宋简体"/>
          <w:sz w:val="40"/>
          <w:szCs w:val="40"/>
        </w:rPr>
        <w:t>（市场监督管理-药品监督管理）</w:t>
      </w:r>
    </w:p>
    <w:p>
      <w:pPr>
        <w:spacing w:line="600" w:lineRule="exact"/>
        <w:jc w:val="center"/>
        <w:rPr>
          <w:rFonts w:eastAsia="方正小标宋简体"/>
          <w:sz w:val="44"/>
          <w:szCs w:val="44"/>
        </w:rPr>
      </w:pPr>
      <w:r>
        <w:rPr>
          <w:rFonts w:eastAsia="方正小标宋简体"/>
          <w:sz w:val="40"/>
          <w:szCs w:val="40"/>
        </w:rPr>
        <w:t>绩效自评报告</w:t>
      </w: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ind w:firstLine="315" w:firstLineChars="150"/>
        <w:rPr>
          <w:szCs w:val="30"/>
        </w:rPr>
      </w:pPr>
    </w:p>
    <w:p>
      <w:pPr>
        <w:spacing w:line="600" w:lineRule="exact"/>
        <w:jc w:val="center"/>
        <w:rPr>
          <w:rFonts w:ascii="仿宋_GB2312" w:eastAsia="仿宋_GB2312"/>
          <w:sz w:val="28"/>
          <w:szCs w:val="28"/>
        </w:rPr>
      </w:pPr>
      <w:r>
        <w:rPr>
          <w:rFonts w:eastAsia="仿宋_GB2312"/>
          <w:sz w:val="32"/>
          <w:szCs w:val="32"/>
        </w:rPr>
        <w:t>填报日期：20</w:t>
      </w:r>
      <w:r>
        <w:rPr>
          <w:rFonts w:hint="eastAsia" w:eastAsia="仿宋_GB2312"/>
          <w:sz w:val="32"/>
          <w:szCs w:val="32"/>
        </w:rPr>
        <w:t>22</w:t>
      </w:r>
      <w:r>
        <w:rPr>
          <w:rFonts w:eastAsia="仿宋_GB2312"/>
          <w:sz w:val="32"/>
          <w:szCs w:val="32"/>
        </w:rPr>
        <w:t>年</w:t>
      </w:r>
      <w:r>
        <w:rPr>
          <w:rFonts w:hint="eastAsia" w:eastAsia="仿宋_GB2312"/>
          <w:sz w:val="32"/>
          <w:szCs w:val="32"/>
        </w:rPr>
        <w:t>4</w:t>
      </w:r>
      <w:r>
        <w:rPr>
          <w:rFonts w:eastAsia="仿宋_GB2312"/>
          <w:sz w:val="32"/>
          <w:szCs w:val="32"/>
        </w:rPr>
        <w:t>月</w:t>
      </w:r>
    </w:p>
    <w:p>
      <w:pPr>
        <w:spacing w:line="600" w:lineRule="exact"/>
        <w:jc w:val="center"/>
        <w:rPr>
          <w:rFonts w:eastAsia="方正小标宋简体"/>
          <w:sz w:val="52"/>
          <w:szCs w:val="52"/>
        </w:rPr>
        <w:sectPr>
          <w:headerReference r:id="rId3" w:type="default"/>
          <w:pgSz w:w="11906" w:h="16838"/>
          <w:pgMar w:top="1440" w:right="1800" w:bottom="1440" w:left="1800" w:header="851" w:footer="992" w:gutter="0"/>
          <w:pgNumType w:start="1"/>
          <w:cols w:space="425" w:num="1"/>
          <w:docGrid w:type="lines" w:linePitch="312" w:charSpace="0"/>
        </w:sectPr>
      </w:pPr>
    </w:p>
    <w:p>
      <w:pPr>
        <w:spacing w:line="600" w:lineRule="exact"/>
        <w:ind w:firstLine="640" w:firstLineChars="200"/>
        <w:outlineLvl w:val="0"/>
        <w:rPr>
          <w:rFonts w:ascii="黑体" w:hAnsi="黑体" w:eastAsia="黑体" w:cs="黑体"/>
          <w:bCs/>
          <w:sz w:val="32"/>
          <w:szCs w:val="32"/>
        </w:rPr>
      </w:pPr>
      <w:bookmarkStart w:id="0" w:name="_Toc2157_WPSOffice_Level1"/>
      <w:r>
        <w:rPr>
          <w:rFonts w:hint="eastAsia" w:ascii="黑体" w:hAnsi="黑体" w:eastAsia="黑体" w:cs="黑体"/>
          <w:bCs/>
          <w:sz w:val="32"/>
          <w:szCs w:val="32"/>
          <w:lang w:bidi="ar"/>
        </w:rPr>
        <w:t>一、项目基本情况</w:t>
      </w:r>
      <w:bookmarkEnd w:id="0"/>
    </w:p>
    <w:p>
      <w:pPr>
        <w:spacing w:line="600" w:lineRule="exact"/>
        <w:ind w:firstLine="642" w:firstLineChars="200"/>
        <w:outlineLvl w:val="1"/>
        <w:rPr>
          <w:rFonts w:ascii="楷体_GB2312" w:hAnsi="楷体_GB2312" w:eastAsia="楷体_GB2312" w:cs="楷体_GB2312"/>
          <w:sz w:val="32"/>
          <w:szCs w:val="32"/>
        </w:rPr>
      </w:pPr>
      <w:bookmarkStart w:id="1" w:name="_Toc23639_WPSOffice_Level2"/>
      <w:r>
        <w:rPr>
          <w:rFonts w:hint="eastAsia" w:ascii="楷体_GB2312" w:hAnsi="楷体_GB2312" w:eastAsia="楷体_GB2312" w:cs="楷体_GB2312"/>
          <w:b/>
          <w:sz w:val="32"/>
          <w:szCs w:val="32"/>
        </w:rPr>
        <w:t>（一）</w:t>
      </w:r>
      <w:bookmarkEnd w:id="1"/>
      <w:bookmarkStart w:id="2" w:name="_Toc32519_WPSOffice_Level2"/>
      <w:r>
        <w:rPr>
          <w:rFonts w:hint="eastAsia" w:ascii="楷体_GB2312" w:hAnsi="楷体_GB2312" w:eastAsia="楷体_GB2312" w:cs="楷体_GB2312"/>
          <w:b/>
          <w:sz w:val="32"/>
          <w:szCs w:val="32"/>
        </w:rPr>
        <w:t>专项资金基本情况</w:t>
      </w:r>
      <w:bookmarkEnd w:id="2"/>
    </w:p>
    <w:p>
      <w:pPr>
        <w:spacing w:line="600" w:lineRule="exact"/>
        <w:ind w:firstLine="640" w:firstLineChars="200"/>
        <w:rPr>
          <w:rFonts w:eastAsia="仿宋_GB2312"/>
          <w:sz w:val="32"/>
          <w:szCs w:val="32"/>
        </w:rPr>
      </w:pPr>
      <w:r>
        <w:rPr>
          <w:rFonts w:hint="eastAsia" w:eastAsia="仿宋_GB2312"/>
          <w:sz w:val="32"/>
          <w:szCs w:val="32"/>
        </w:rPr>
        <w:t>江门市2021年促进经济高质量发展专项资金（市场监督管理-药品监督管理）为372.09万元，支出372.09万元，支出率100%。该补助资金重点用于支持稽查执法及综合管理、地方队伍能力建设、药品医疗器械化妆品抽检和药品监管能</w:t>
      </w:r>
      <w:bookmarkStart w:id="11" w:name="_GoBack"/>
      <w:bookmarkEnd w:id="11"/>
      <w:r>
        <w:rPr>
          <w:rFonts w:hint="eastAsia" w:eastAsia="仿宋_GB2312"/>
          <w:sz w:val="32"/>
          <w:szCs w:val="32"/>
        </w:rPr>
        <w:t>力建设工作。</w:t>
      </w:r>
    </w:p>
    <w:p>
      <w:pPr>
        <w:spacing w:line="600" w:lineRule="exact"/>
        <w:ind w:firstLine="642" w:firstLineChars="200"/>
        <w:outlineLvl w:val="1"/>
        <w:rPr>
          <w:rFonts w:ascii="楷体_GB2312" w:hAnsi="楷体_GB2312" w:eastAsia="楷体_GB2312" w:cs="楷体_GB2312"/>
          <w:b/>
          <w:sz w:val="32"/>
          <w:szCs w:val="32"/>
        </w:rPr>
      </w:pPr>
      <w:bookmarkStart w:id="3" w:name="_Toc20219_WPSOffice_Level2"/>
      <w:r>
        <w:rPr>
          <w:rFonts w:hint="eastAsia" w:ascii="楷体_GB2312" w:hAnsi="楷体_GB2312" w:eastAsia="楷体_GB2312" w:cs="楷体_GB2312"/>
          <w:b/>
          <w:sz w:val="32"/>
          <w:szCs w:val="32"/>
        </w:rPr>
        <w:t>（二）专项资金绩效目标</w:t>
      </w:r>
      <w:bookmarkEnd w:id="3"/>
    </w:p>
    <w:p>
      <w:pPr>
        <w:spacing w:line="600" w:lineRule="exact"/>
        <w:ind w:firstLine="640" w:firstLineChars="200"/>
        <w:outlineLvl w:val="0"/>
        <w:rPr>
          <w:rFonts w:eastAsia="仿宋_GB2312"/>
          <w:sz w:val="32"/>
          <w:szCs w:val="32"/>
        </w:rPr>
      </w:pPr>
      <w:r>
        <w:rPr>
          <w:rFonts w:hint="eastAsia" w:eastAsia="仿宋_GB2312"/>
          <w:sz w:val="32"/>
          <w:szCs w:val="32"/>
        </w:rPr>
        <w:t>1.根据省局年度省抽计划制定科学合理的抽检方案，按时按质量完成本市省抽计划批次；通过开展药品、化妆品、医疗器械（以下统称药品）质量抽验，发现、降低和消除不合格药品导致的安全风险。</w:t>
      </w:r>
    </w:p>
    <w:p>
      <w:pPr>
        <w:spacing w:line="600" w:lineRule="exact"/>
        <w:ind w:firstLine="640" w:firstLineChars="200"/>
        <w:outlineLvl w:val="0"/>
        <w:rPr>
          <w:rFonts w:eastAsia="仿宋_GB2312"/>
          <w:sz w:val="32"/>
          <w:szCs w:val="32"/>
        </w:rPr>
      </w:pPr>
      <w:r>
        <w:rPr>
          <w:rFonts w:hint="eastAsia" w:eastAsia="仿宋_GB2312"/>
          <w:sz w:val="32"/>
          <w:szCs w:val="32"/>
        </w:rPr>
        <w:t>2.提升基层药品执法检查装备水平，对标《全国药品监督管理系统执法检查基本装备配备指导标准》，按照轻重缓急，分步开展地市级、县级标准化配置，</w:t>
      </w:r>
      <w:r>
        <w:rPr>
          <w:rFonts w:hint="eastAsia" w:eastAsia="仿宋_GB2312"/>
          <w:sz w:val="32"/>
          <w:szCs w:val="32"/>
        </w:rPr>
        <w:t>2021年台山、开平、恩平药品执法检查基本装备类装备品种覆盖率达到70%，</w:t>
      </w:r>
      <w:r>
        <w:rPr>
          <w:rFonts w:hint="eastAsia" w:eastAsia="仿宋_GB2312"/>
          <w:sz w:val="32"/>
          <w:szCs w:val="32"/>
        </w:rPr>
        <w:t>装备数量满足监管工作基本需要。</w:t>
      </w:r>
    </w:p>
    <w:p>
      <w:pPr>
        <w:spacing w:line="600" w:lineRule="exact"/>
        <w:ind w:firstLine="640" w:firstLineChars="200"/>
        <w:outlineLvl w:val="0"/>
        <w:rPr>
          <w:rFonts w:eastAsia="仿宋_GB2312"/>
          <w:sz w:val="32"/>
          <w:szCs w:val="32"/>
        </w:rPr>
      </w:pPr>
      <w:r>
        <w:rPr>
          <w:rFonts w:hint="eastAsia" w:eastAsia="仿宋_GB2312"/>
          <w:sz w:val="32"/>
          <w:szCs w:val="32"/>
        </w:rPr>
        <w:t>3.严查一批违法违规行为，彻查一批大案要案、移送一批刑事案件，形成高压态势和震慑作用，严厉打击药品安全违法犯罪，</w:t>
      </w:r>
      <w:r>
        <w:rPr>
          <w:rFonts w:hint="eastAsia" w:eastAsia="仿宋_GB2312"/>
          <w:sz w:val="32"/>
          <w:szCs w:val="32"/>
        </w:rPr>
        <w:t>台山、开平、恩平大要案查办率达100%。</w:t>
      </w:r>
    </w:p>
    <w:p>
      <w:pPr>
        <w:spacing w:line="600" w:lineRule="exact"/>
        <w:ind w:firstLine="640" w:firstLineChars="200"/>
        <w:outlineLvl w:val="0"/>
        <w:rPr>
          <w:rFonts w:eastAsia="仿宋_GB2312"/>
          <w:sz w:val="32"/>
          <w:szCs w:val="32"/>
        </w:rPr>
      </w:pPr>
      <w:r>
        <w:rPr>
          <w:rFonts w:hint="eastAsia" w:eastAsia="仿宋_GB2312"/>
          <w:sz w:val="32"/>
          <w:szCs w:val="32"/>
        </w:rPr>
        <w:t>4.组织开展各类药品监管干部培训，着力培养造就一支高素质、专业化的药品监管队伍，</w:t>
      </w:r>
      <w:r>
        <w:rPr>
          <w:rFonts w:hint="eastAsia" w:eastAsia="仿宋_GB2312"/>
          <w:sz w:val="32"/>
          <w:szCs w:val="32"/>
        </w:rPr>
        <w:t>台山、开平、恩平药品监管在职干部参加培训率达到70%。</w:t>
      </w:r>
    </w:p>
    <w:p>
      <w:pPr>
        <w:spacing w:line="600" w:lineRule="exact"/>
        <w:ind w:firstLine="640" w:firstLineChars="200"/>
        <w:outlineLvl w:val="0"/>
        <w:rPr>
          <w:rFonts w:ascii="黑体" w:hAnsi="黑体" w:eastAsia="黑体" w:cs="黑体"/>
          <w:bCs/>
          <w:sz w:val="32"/>
        </w:rPr>
      </w:pPr>
      <w:bookmarkStart w:id="4" w:name="_Toc11860_WPSOffice_Level1"/>
      <w:r>
        <w:rPr>
          <w:rFonts w:hint="eastAsia" w:ascii="黑体" w:hAnsi="黑体" w:eastAsia="黑体" w:cs="黑体"/>
          <w:bCs/>
          <w:sz w:val="32"/>
        </w:rPr>
        <w:t>二、</w:t>
      </w:r>
      <w:bookmarkEnd w:id="4"/>
      <w:bookmarkStart w:id="5" w:name="_Toc23639_WPSOffice_Level1"/>
      <w:r>
        <w:rPr>
          <w:rFonts w:hint="eastAsia" w:ascii="黑体" w:hAnsi="黑体" w:eastAsia="黑体" w:cs="黑体"/>
          <w:bCs/>
          <w:sz w:val="32"/>
        </w:rPr>
        <w:t>项目绩效情况</w:t>
      </w:r>
      <w:bookmarkEnd w:id="5"/>
    </w:p>
    <w:p>
      <w:pPr>
        <w:spacing w:line="600" w:lineRule="exact"/>
        <w:ind w:firstLine="642" w:firstLineChars="200"/>
        <w:outlineLvl w:val="1"/>
        <w:rPr>
          <w:rFonts w:ascii="楷体_GB2312" w:hAnsi="楷体_GB2312" w:eastAsia="楷体_GB2312" w:cs="楷体_GB2312"/>
          <w:b/>
          <w:sz w:val="32"/>
          <w:szCs w:val="32"/>
          <w:lang w:bidi="ar"/>
        </w:rPr>
      </w:pPr>
      <w:bookmarkStart w:id="6" w:name="_Toc9183_WPSOffice_Level2"/>
      <w:r>
        <w:rPr>
          <w:rFonts w:hint="eastAsia" w:ascii="楷体_GB2312" w:hAnsi="楷体_GB2312" w:eastAsia="楷体_GB2312" w:cs="楷体_GB2312"/>
          <w:b/>
          <w:sz w:val="32"/>
          <w:szCs w:val="32"/>
          <w:lang w:bidi="ar"/>
        </w:rPr>
        <w:t>（一）</w:t>
      </w:r>
      <w:bookmarkEnd w:id="6"/>
      <w:r>
        <w:rPr>
          <w:rFonts w:hint="eastAsia" w:ascii="楷体_GB2312" w:hAnsi="楷体_GB2312" w:eastAsia="楷体_GB2312" w:cs="楷体_GB2312"/>
          <w:b/>
          <w:sz w:val="32"/>
          <w:szCs w:val="32"/>
          <w:lang w:bidi="ar"/>
        </w:rPr>
        <w:t>自评分数</w:t>
      </w:r>
    </w:p>
    <w:p>
      <w:pPr>
        <w:spacing w:line="600" w:lineRule="exact"/>
        <w:ind w:firstLine="640" w:firstLineChars="200"/>
        <w:outlineLvl w:val="0"/>
        <w:rPr>
          <w:rFonts w:eastAsia="仿宋_GB2312"/>
          <w:sz w:val="32"/>
          <w:szCs w:val="32"/>
          <w:lang w:bidi="ar"/>
        </w:rPr>
      </w:pPr>
      <w:r>
        <w:rPr>
          <w:rFonts w:eastAsia="仿宋_GB2312"/>
          <w:sz w:val="32"/>
          <w:szCs w:val="32"/>
          <w:lang w:bidi="ar"/>
        </w:rPr>
        <w:t>按照《</w:t>
      </w:r>
      <w:r>
        <w:rPr>
          <w:rFonts w:hint="eastAsia" w:eastAsia="仿宋_GB2312"/>
          <w:sz w:val="32"/>
          <w:szCs w:val="32"/>
          <w:lang w:bidi="ar"/>
        </w:rPr>
        <w:t>广东省药品监督管理局办公室关于开展2022年省级财政资金项目支出绩效自评工作的通知</w:t>
      </w:r>
      <w:r>
        <w:rPr>
          <w:rFonts w:eastAsia="仿宋_GB2312"/>
          <w:sz w:val="32"/>
          <w:szCs w:val="32"/>
          <w:lang w:bidi="ar"/>
        </w:rPr>
        <w:t>》（</w:t>
      </w:r>
      <w:r>
        <w:rPr>
          <w:rFonts w:hint="eastAsia" w:eastAsia="仿宋_GB2312"/>
          <w:sz w:val="32"/>
          <w:szCs w:val="32"/>
          <w:lang w:bidi="ar"/>
        </w:rPr>
        <w:t>粤药监办〔2022〕142号</w:t>
      </w:r>
      <w:r>
        <w:rPr>
          <w:rFonts w:eastAsia="仿宋_GB2312"/>
          <w:sz w:val="32"/>
          <w:szCs w:val="32"/>
          <w:lang w:bidi="ar"/>
        </w:rPr>
        <w:t>）相关要求，</w:t>
      </w:r>
      <w:r>
        <w:rPr>
          <w:rFonts w:hint="eastAsia" w:eastAsia="仿宋_GB2312"/>
          <w:sz w:val="32"/>
          <w:szCs w:val="32"/>
          <w:lang w:bidi="ar"/>
        </w:rPr>
        <w:t>2021年促进经济高质量发展专项资金（市场监督管理-药品监督管理）</w:t>
      </w:r>
      <w:r>
        <w:rPr>
          <w:rFonts w:eastAsia="仿宋_GB2312"/>
          <w:sz w:val="32"/>
          <w:szCs w:val="32"/>
          <w:lang w:bidi="ar"/>
        </w:rPr>
        <w:t>的实施取得良好的效益。综合考量，本专项</w:t>
      </w:r>
      <w:r>
        <w:rPr>
          <w:rFonts w:hint="eastAsia" w:eastAsia="仿宋_GB2312"/>
          <w:sz w:val="32"/>
          <w:szCs w:val="32"/>
          <w:lang w:bidi="ar"/>
        </w:rPr>
        <w:t>资金</w:t>
      </w:r>
      <w:r>
        <w:rPr>
          <w:rFonts w:eastAsia="仿宋_GB2312"/>
          <w:sz w:val="32"/>
          <w:szCs w:val="32"/>
          <w:lang w:bidi="ar"/>
        </w:rPr>
        <w:t>的自评得分为100分，绩效等级为优。</w:t>
      </w:r>
    </w:p>
    <w:p>
      <w:pPr>
        <w:spacing w:line="600" w:lineRule="exact"/>
        <w:ind w:firstLine="642" w:firstLineChars="200"/>
        <w:outlineLvl w:val="1"/>
        <w:rPr>
          <w:rFonts w:ascii="楷体_GB2312" w:hAnsi="楷体_GB2312" w:eastAsia="楷体_GB2312" w:cs="楷体_GB2312"/>
          <w:sz w:val="32"/>
          <w:szCs w:val="32"/>
          <w:lang w:bidi="ar"/>
        </w:rPr>
      </w:pPr>
      <w:bookmarkStart w:id="7" w:name="_Toc20901_WPSOffice_Level2"/>
      <w:r>
        <w:rPr>
          <w:rFonts w:hint="eastAsia" w:ascii="楷体_GB2312" w:hAnsi="楷体_GB2312" w:eastAsia="楷体_GB2312" w:cs="楷体_GB2312"/>
          <w:b/>
          <w:sz w:val="32"/>
          <w:szCs w:val="32"/>
          <w:lang w:bidi="ar"/>
        </w:rPr>
        <w:t>（二）绩效目标完成情况</w:t>
      </w:r>
      <w:bookmarkEnd w:id="7"/>
    </w:p>
    <w:p>
      <w:pPr>
        <w:spacing w:line="600" w:lineRule="exact"/>
        <w:ind w:firstLine="640" w:firstLineChars="200"/>
        <w:outlineLvl w:val="0"/>
        <w:rPr>
          <w:rFonts w:eastAsia="仿宋_GB2312"/>
          <w:sz w:val="32"/>
          <w:szCs w:val="32"/>
          <w:lang w:bidi="ar"/>
        </w:rPr>
      </w:pPr>
      <w:r>
        <w:rPr>
          <w:rFonts w:hint="eastAsia" w:eastAsia="仿宋_GB2312"/>
          <w:sz w:val="32"/>
          <w:szCs w:val="32"/>
          <w:lang w:bidi="ar"/>
        </w:rPr>
        <w:t>1.</w:t>
      </w:r>
      <w:r>
        <w:rPr>
          <w:rFonts w:hint="eastAsia"/>
        </w:rPr>
        <w:t xml:space="preserve"> </w:t>
      </w:r>
      <w:r>
        <w:rPr>
          <w:rFonts w:hint="eastAsia" w:eastAsia="仿宋_GB2312"/>
          <w:sz w:val="32"/>
          <w:szCs w:val="32"/>
          <w:lang w:bidi="ar"/>
        </w:rPr>
        <w:t>根据省局年度省抽计划制定科学合理的抽检方案，按时按质量完成本市药品抽检550批次，药包材抽检（抽样）9批次，化妆品抽检30批次，医疗器械抽检55批次，发现、降低和消除不合格药品导致的安全风险。</w:t>
      </w:r>
    </w:p>
    <w:p>
      <w:pPr>
        <w:spacing w:line="600" w:lineRule="exact"/>
        <w:ind w:firstLine="640" w:firstLineChars="200"/>
        <w:outlineLvl w:val="0"/>
        <w:rPr>
          <w:rFonts w:eastAsia="仿宋_GB2312"/>
          <w:sz w:val="32"/>
          <w:szCs w:val="32"/>
          <w:lang w:bidi="ar"/>
        </w:rPr>
      </w:pPr>
      <w:r>
        <w:rPr>
          <w:rFonts w:hint="eastAsia" w:eastAsia="仿宋_GB2312"/>
          <w:sz w:val="32"/>
          <w:szCs w:val="32"/>
          <w:lang w:bidi="ar"/>
        </w:rPr>
        <w:t>2.提升基层药品执法检查装备水平，对标《全国药品监督管理系统执法检查基本装备配备指导标准》，2021年台山市市场监管局、开平市场监管局、恩平市场监管局的药品执法检查基本装备类装备品种覆盖率达到70%，装备数量满足监管工作基本需要。</w:t>
      </w:r>
    </w:p>
    <w:p>
      <w:pPr>
        <w:spacing w:line="600" w:lineRule="exact"/>
        <w:ind w:firstLine="640" w:firstLineChars="200"/>
        <w:outlineLvl w:val="0"/>
        <w:rPr>
          <w:rFonts w:eastAsia="仿宋_GB2312"/>
          <w:sz w:val="32"/>
          <w:szCs w:val="32"/>
          <w:lang w:bidi="ar"/>
        </w:rPr>
      </w:pPr>
      <w:r>
        <w:rPr>
          <w:rFonts w:hint="eastAsia" w:eastAsia="仿宋_GB2312"/>
          <w:sz w:val="32"/>
          <w:szCs w:val="32"/>
          <w:lang w:bidi="ar"/>
        </w:rPr>
        <w:t>3.</w:t>
      </w:r>
      <w:r>
        <w:rPr>
          <w:rFonts w:hint="eastAsia"/>
        </w:rPr>
        <w:t xml:space="preserve"> </w:t>
      </w:r>
      <w:r>
        <w:rPr>
          <w:rFonts w:hint="eastAsia" w:eastAsia="仿宋_GB2312"/>
          <w:sz w:val="32"/>
          <w:szCs w:val="32"/>
          <w:lang w:bidi="ar"/>
        </w:rPr>
        <w:t>台山市场监管局、开平市场监管局、恩平市场监管局严格贯彻落实《广东省药品监督管理局办公室关于印发2021年度全省药品稽查执法及综合监管项目实施方案的通知》和《2021年江门市市场监督管理局执法监督工作要点》，严查一批违法违规行为，彻查一批大案要案、达到刑事标准的案件及时移送公安部门，形成高压态势和震慑作用，严厉打击药品安全违法犯罪，进一步规范药品生产和流通秩序，净化市场，确保人民群众用药安全，台山、开平、恩平大要案查办率达100%。</w:t>
      </w:r>
    </w:p>
    <w:p>
      <w:pPr>
        <w:spacing w:line="600" w:lineRule="exact"/>
        <w:ind w:firstLine="640" w:firstLineChars="200"/>
        <w:outlineLvl w:val="0"/>
        <w:rPr>
          <w:rFonts w:eastAsia="仿宋_GB2312"/>
          <w:sz w:val="32"/>
          <w:szCs w:val="32"/>
          <w:lang w:bidi="ar"/>
        </w:rPr>
      </w:pPr>
      <w:r>
        <w:rPr>
          <w:rFonts w:hint="eastAsia" w:eastAsia="仿宋_GB2312"/>
          <w:sz w:val="32"/>
          <w:szCs w:val="32"/>
          <w:lang w:bidi="ar"/>
        </w:rPr>
        <w:t>4.</w:t>
      </w:r>
      <w:r>
        <w:rPr>
          <w:rFonts w:hint="eastAsia"/>
        </w:rPr>
        <w:t xml:space="preserve"> </w:t>
      </w:r>
      <w:r>
        <w:rPr>
          <w:rFonts w:hint="eastAsia" w:eastAsia="仿宋_GB2312"/>
          <w:sz w:val="32"/>
          <w:szCs w:val="32"/>
          <w:lang w:bidi="ar"/>
        </w:rPr>
        <w:t>台山市场监管局、开平市场监管局、恩平市场监管局组织开展药品监管干部参加1天以上脱产培训372人次，着力培养造就一支高素质、专业化的药品监管队伍，台山、开平、恩平药品监管在职干部参加培训率达到70%。</w:t>
      </w:r>
    </w:p>
    <w:p>
      <w:pPr>
        <w:spacing w:line="600" w:lineRule="exact"/>
        <w:ind w:firstLine="642" w:firstLineChars="200"/>
        <w:outlineLvl w:val="1"/>
        <w:rPr>
          <w:rFonts w:ascii="楷体_GB2312" w:hAnsi="楷体_GB2312" w:eastAsia="楷体_GB2312" w:cs="楷体_GB2312"/>
          <w:b/>
          <w:sz w:val="32"/>
          <w:szCs w:val="32"/>
          <w:lang w:bidi="ar"/>
        </w:rPr>
      </w:pPr>
      <w:bookmarkStart w:id="8" w:name="_Toc1240_WPSOffice_Level2"/>
      <w:r>
        <w:rPr>
          <w:rFonts w:hint="eastAsia" w:ascii="楷体_GB2312" w:hAnsi="楷体_GB2312" w:eastAsia="楷体_GB2312" w:cs="楷体_GB2312"/>
          <w:b/>
          <w:sz w:val="32"/>
          <w:szCs w:val="32"/>
          <w:lang w:bidi="ar"/>
        </w:rPr>
        <w:t>（三）存在问题</w:t>
      </w:r>
      <w:bookmarkEnd w:id="8"/>
    </w:p>
    <w:p>
      <w:pPr>
        <w:spacing w:line="600" w:lineRule="exact"/>
        <w:ind w:firstLine="640" w:firstLineChars="200"/>
        <w:outlineLvl w:val="0"/>
        <w:rPr>
          <w:rFonts w:eastAsia="仿宋_GB2312"/>
          <w:sz w:val="32"/>
          <w:szCs w:val="32"/>
          <w:lang w:bidi="ar"/>
        </w:rPr>
      </w:pPr>
      <w:r>
        <w:rPr>
          <w:rFonts w:eastAsia="仿宋_GB2312"/>
          <w:sz w:val="32"/>
          <w:szCs w:val="32"/>
          <w:lang w:bidi="ar"/>
        </w:rPr>
        <w:t>第二季度</w:t>
      </w:r>
      <w:r>
        <w:rPr>
          <w:rFonts w:hint="eastAsia" w:eastAsia="仿宋_GB2312"/>
          <w:sz w:val="32"/>
          <w:szCs w:val="32"/>
          <w:lang w:bidi="ar"/>
        </w:rPr>
        <w:t>和第三季度</w:t>
      </w:r>
      <w:r>
        <w:rPr>
          <w:rFonts w:eastAsia="仿宋_GB2312"/>
          <w:sz w:val="32"/>
          <w:szCs w:val="32"/>
          <w:lang w:bidi="ar"/>
        </w:rPr>
        <w:t>支出进度不达序时进度。部分项目启动较晚导致第二季度支出进度不达序时进度。</w:t>
      </w:r>
    </w:p>
    <w:p>
      <w:pPr>
        <w:spacing w:line="600" w:lineRule="exact"/>
        <w:ind w:firstLine="640" w:firstLineChars="200"/>
        <w:outlineLvl w:val="0"/>
        <w:rPr>
          <w:rFonts w:ascii="黑体" w:hAnsi="黑体" w:eastAsia="黑体" w:cs="黑体"/>
          <w:bCs/>
          <w:sz w:val="32"/>
          <w:szCs w:val="32"/>
        </w:rPr>
      </w:pPr>
      <w:bookmarkStart w:id="9" w:name="_Toc23216_WPSOffice_Level1"/>
      <w:bookmarkStart w:id="10" w:name="_Toc10710_WPSOffice_Level2"/>
      <w:r>
        <w:rPr>
          <w:rFonts w:hint="eastAsia" w:ascii="黑体" w:hAnsi="黑体" w:eastAsia="黑体" w:cs="黑体"/>
          <w:bCs/>
          <w:sz w:val="32"/>
          <w:szCs w:val="32"/>
          <w:lang w:bidi="ar"/>
        </w:rPr>
        <w:t>三、改进</w:t>
      </w:r>
      <w:bookmarkEnd w:id="9"/>
      <w:r>
        <w:rPr>
          <w:rFonts w:hint="eastAsia" w:ascii="黑体" w:hAnsi="黑体" w:eastAsia="黑体" w:cs="黑体"/>
          <w:bCs/>
          <w:sz w:val="32"/>
          <w:szCs w:val="32"/>
          <w:lang w:bidi="ar"/>
        </w:rPr>
        <w:t>意见</w:t>
      </w:r>
    </w:p>
    <w:bookmarkEnd w:id="10"/>
    <w:p>
      <w:pPr>
        <w:spacing w:line="600" w:lineRule="exact"/>
        <w:ind w:firstLine="640" w:firstLineChars="200"/>
        <w:outlineLvl w:val="2"/>
        <w:rPr>
          <w:rFonts w:ascii="仿宋_GB2312" w:eastAsia="仿宋_GB2312"/>
          <w:sz w:val="32"/>
          <w:szCs w:val="32"/>
        </w:rPr>
      </w:pPr>
      <w:r>
        <w:rPr>
          <w:rFonts w:eastAsia="仿宋_GB2312"/>
          <w:sz w:val="32"/>
          <w:szCs w:val="32"/>
          <w:lang w:bidi="ar"/>
        </w:rPr>
        <w:t>加强工作规划，提高资金执行进度。</w:t>
      </w:r>
      <w:r>
        <w:rPr>
          <w:rFonts w:hint="eastAsia" w:eastAsia="仿宋_GB2312"/>
          <w:b/>
          <w:bCs/>
          <w:sz w:val="32"/>
          <w:szCs w:val="32"/>
        </w:rPr>
        <w:t>一是</w:t>
      </w:r>
      <w:r>
        <w:rPr>
          <w:rFonts w:eastAsia="仿宋_GB2312"/>
          <w:bCs/>
          <w:sz w:val="32"/>
          <w:szCs w:val="32"/>
        </w:rPr>
        <w:t>充分考虑各方面因素，进一步提高年度工作计划制定的科学性、合理性。</w:t>
      </w:r>
      <w:r>
        <w:rPr>
          <w:rFonts w:hint="eastAsia" w:eastAsia="仿宋_GB2312"/>
          <w:b/>
          <w:bCs/>
          <w:sz w:val="32"/>
          <w:szCs w:val="32"/>
        </w:rPr>
        <w:t>二是</w:t>
      </w:r>
      <w:r>
        <w:rPr>
          <w:rFonts w:eastAsia="仿宋_GB2312"/>
          <w:bCs/>
          <w:sz w:val="32"/>
          <w:szCs w:val="32"/>
        </w:rPr>
        <w:t>加强协调沟通，最大限度加快内部审批流程，加快支出进度。</w:t>
      </w:r>
      <w:r>
        <w:rPr>
          <w:rFonts w:hint="eastAsia" w:eastAsia="仿宋_GB2312"/>
          <w:b/>
          <w:bCs/>
          <w:sz w:val="32"/>
          <w:szCs w:val="32"/>
        </w:rPr>
        <w:t>三是</w:t>
      </w:r>
      <w:r>
        <w:rPr>
          <w:rFonts w:eastAsia="仿宋_GB2312"/>
          <w:bCs/>
          <w:sz w:val="32"/>
          <w:szCs w:val="32"/>
        </w:rPr>
        <w:t>建立支出进度定期分析机制，及时发现存在问题和风险，提高资金执行进度。</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药品监督管理                                                            江门市市场监督管理局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58BB"/>
    <w:rsid w:val="00010D73"/>
    <w:rsid w:val="000122CB"/>
    <w:rsid w:val="00012A65"/>
    <w:rsid w:val="000138DC"/>
    <w:rsid w:val="00033749"/>
    <w:rsid w:val="00037BD2"/>
    <w:rsid w:val="000433BB"/>
    <w:rsid w:val="00045658"/>
    <w:rsid w:val="00052ED8"/>
    <w:rsid w:val="000541A9"/>
    <w:rsid w:val="0005485C"/>
    <w:rsid w:val="00054B83"/>
    <w:rsid w:val="00060788"/>
    <w:rsid w:val="00060D4E"/>
    <w:rsid w:val="00060E3C"/>
    <w:rsid w:val="000664A7"/>
    <w:rsid w:val="00075727"/>
    <w:rsid w:val="00086337"/>
    <w:rsid w:val="00087FF2"/>
    <w:rsid w:val="00091F62"/>
    <w:rsid w:val="00092B36"/>
    <w:rsid w:val="00096772"/>
    <w:rsid w:val="000A109F"/>
    <w:rsid w:val="000A6931"/>
    <w:rsid w:val="000B63D6"/>
    <w:rsid w:val="000E1267"/>
    <w:rsid w:val="000E1D9D"/>
    <w:rsid w:val="000E6AB9"/>
    <w:rsid w:val="000F6E32"/>
    <w:rsid w:val="00102DA3"/>
    <w:rsid w:val="001071D7"/>
    <w:rsid w:val="0011096D"/>
    <w:rsid w:val="001113BF"/>
    <w:rsid w:val="00112D37"/>
    <w:rsid w:val="0011703B"/>
    <w:rsid w:val="00127051"/>
    <w:rsid w:val="00132A43"/>
    <w:rsid w:val="00162826"/>
    <w:rsid w:val="00166A51"/>
    <w:rsid w:val="00170082"/>
    <w:rsid w:val="001719F4"/>
    <w:rsid w:val="00172A27"/>
    <w:rsid w:val="00175678"/>
    <w:rsid w:val="00193AF6"/>
    <w:rsid w:val="00195C26"/>
    <w:rsid w:val="0019741B"/>
    <w:rsid w:val="001A19F4"/>
    <w:rsid w:val="001A618B"/>
    <w:rsid w:val="001A6AA9"/>
    <w:rsid w:val="001B20DC"/>
    <w:rsid w:val="001C12FE"/>
    <w:rsid w:val="001C390D"/>
    <w:rsid w:val="001C56FF"/>
    <w:rsid w:val="001C7829"/>
    <w:rsid w:val="001D189D"/>
    <w:rsid w:val="001D1B07"/>
    <w:rsid w:val="001D2377"/>
    <w:rsid w:val="001E2CF4"/>
    <w:rsid w:val="001E3AB6"/>
    <w:rsid w:val="00203CF8"/>
    <w:rsid w:val="00220185"/>
    <w:rsid w:val="002249B3"/>
    <w:rsid w:val="00237623"/>
    <w:rsid w:val="002407A6"/>
    <w:rsid w:val="00240D4D"/>
    <w:rsid w:val="00244448"/>
    <w:rsid w:val="00251A31"/>
    <w:rsid w:val="00261178"/>
    <w:rsid w:val="00277FCB"/>
    <w:rsid w:val="002816D0"/>
    <w:rsid w:val="00290A83"/>
    <w:rsid w:val="002956BE"/>
    <w:rsid w:val="002B3136"/>
    <w:rsid w:val="002D31BA"/>
    <w:rsid w:val="002F00D1"/>
    <w:rsid w:val="0030138B"/>
    <w:rsid w:val="00304010"/>
    <w:rsid w:val="00310E5B"/>
    <w:rsid w:val="00316659"/>
    <w:rsid w:val="00350351"/>
    <w:rsid w:val="003523F4"/>
    <w:rsid w:val="00353D4D"/>
    <w:rsid w:val="003573EA"/>
    <w:rsid w:val="00373842"/>
    <w:rsid w:val="00382071"/>
    <w:rsid w:val="00384218"/>
    <w:rsid w:val="00387EC5"/>
    <w:rsid w:val="003A5834"/>
    <w:rsid w:val="003A7980"/>
    <w:rsid w:val="003C012A"/>
    <w:rsid w:val="003E2150"/>
    <w:rsid w:val="003F1DF0"/>
    <w:rsid w:val="0040495F"/>
    <w:rsid w:val="00405FE5"/>
    <w:rsid w:val="004174F9"/>
    <w:rsid w:val="00426B0F"/>
    <w:rsid w:val="0043559D"/>
    <w:rsid w:val="00442EFA"/>
    <w:rsid w:val="004438BC"/>
    <w:rsid w:val="00451CE8"/>
    <w:rsid w:val="00452FA5"/>
    <w:rsid w:val="00460381"/>
    <w:rsid w:val="00472196"/>
    <w:rsid w:val="004819F6"/>
    <w:rsid w:val="00492104"/>
    <w:rsid w:val="00495173"/>
    <w:rsid w:val="004951EE"/>
    <w:rsid w:val="004A7D9F"/>
    <w:rsid w:val="004B0964"/>
    <w:rsid w:val="004B183C"/>
    <w:rsid w:val="004C3DFE"/>
    <w:rsid w:val="004C7196"/>
    <w:rsid w:val="004D28AC"/>
    <w:rsid w:val="004D3518"/>
    <w:rsid w:val="004D5808"/>
    <w:rsid w:val="004D7747"/>
    <w:rsid w:val="004E02A4"/>
    <w:rsid w:val="004E552A"/>
    <w:rsid w:val="004E6898"/>
    <w:rsid w:val="004F2F68"/>
    <w:rsid w:val="004F3895"/>
    <w:rsid w:val="004F4647"/>
    <w:rsid w:val="004F6996"/>
    <w:rsid w:val="0050144A"/>
    <w:rsid w:val="005031F0"/>
    <w:rsid w:val="00510DBE"/>
    <w:rsid w:val="00520A10"/>
    <w:rsid w:val="005241ED"/>
    <w:rsid w:val="005353AE"/>
    <w:rsid w:val="0053612F"/>
    <w:rsid w:val="005423B0"/>
    <w:rsid w:val="00545056"/>
    <w:rsid w:val="00546EB5"/>
    <w:rsid w:val="00561BFF"/>
    <w:rsid w:val="0056220B"/>
    <w:rsid w:val="0056607F"/>
    <w:rsid w:val="005762CF"/>
    <w:rsid w:val="00592AA0"/>
    <w:rsid w:val="00592F33"/>
    <w:rsid w:val="00597BCA"/>
    <w:rsid w:val="005A1013"/>
    <w:rsid w:val="005B27DC"/>
    <w:rsid w:val="005C2E99"/>
    <w:rsid w:val="005C4104"/>
    <w:rsid w:val="005C453A"/>
    <w:rsid w:val="005D3DAA"/>
    <w:rsid w:val="005E1146"/>
    <w:rsid w:val="005E6329"/>
    <w:rsid w:val="005E6698"/>
    <w:rsid w:val="005F2364"/>
    <w:rsid w:val="005F3649"/>
    <w:rsid w:val="005F3727"/>
    <w:rsid w:val="00607725"/>
    <w:rsid w:val="00607AD5"/>
    <w:rsid w:val="00611CD3"/>
    <w:rsid w:val="006146FC"/>
    <w:rsid w:val="00621E28"/>
    <w:rsid w:val="00627207"/>
    <w:rsid w:val="00631C8C"/>
    <w:rsid w:val="006430B9"/>
    <w:rsid w:val="00646386"/>
    <w:rsid w:val="00650E37"/>
    <w:rsid w:val="0066269C"/>
    <w:rsid w:val="00666EF2"/>
    <w:rsid w:val="00672306"/>
    <w:rsid w:val="006746D0"/>
    <w:rsid w:val="006804FB"/>
    <w:rsid w:val="00683518"/>
    <w:rsid w:val="00685E96"/>
    <w:rsid w:val="0069177C"/>
    <w:rsid w:val="00692AB1"/>
    <w:rsid w:val="00693271"/>
    <w:rsid w:val="006979F6"/>
    <w:rsid w:val="006A214E"/>
    <w:rsid w:val="006B45FF"/>
    <w:rsid w:val="006C433F"/>
    <w:rsid w:val="006C67E1"/>
    <w:rsid w:val="006F275E"/>
    <w:rsid w:val="00703D09"/>
    <w:rsid w:val="00714282"/>
    <w:rsid w:val="00730663"/>
    <w:rsid w:val="00743875"/>
    <w:rsid w:val="007449B3"/>
    <w:rsid w:val="00762918"/>
    <w:rsid w:val="0076436A"/>
    <w:rsid w:val="00771D8F"/>
    <w:rsid w:val="00785CC9"/>
    <w:rsid w:val="007A132A"/>
    <w:rsid w:val="007B01E0"/>
    <w:rsid w:val="007C1790"/>
    <w:rsid w:val="007E1978"/>
    <w:rsid w:val="007E4AA7"/>
    <w:rsid w:val="00804666"/>
    <w:rsid w:val="0081077D"/>
    <w:rsid w:val="00813033"/>
    <w:rsid w:val="00815CC3"/>
    <w:rsid w:val="00825B9B"/>
    <w:rsid w:val="00826B8F"/>
    <w:rsid w:val="00833C18"/>
    <w:rsid w:val="008404DA"/>
    <w:rsid w:val="008417CF"/>
    <w:rsid w:val="008420B9"/>
    <w:rsid w:val="0084550D"/>
    <w:rsid w:val="00854D5A"/>
    <w:rsid w:val="00854D74"/>
    <w:rsid w:val="00857747"/>
    <w:rsid w:val="0086119A"/>
    <w:rsid w:val="00873E61"/>
    <w:rsid w:val="00885150"/>
    <w:rsid w:val="00893052"/>
    <w:rsid w:val="00893106"/>
    <w:rsid w:val="00895E1C"/>
    <w:rsid w:val="008A1489"/>
    <w:rsid w:val="008A1A20"/>
    <w:rsid w:val="008A4C48"/>
    <w:rsid w:val="008B251F"/>
    <w:rsid w:val="008B4BCD"/>
    <w:rsid w:val="008C7BFF"/>
    <w:rsid w:val="008D664A"/>
    <w:rsid w:val="008E3979"/>
    <w:rsid w:val="008E575C"/>
    <w:rsid w:val="008E6C48"/>
    <w:rsid w:val="008F0A52"/>
    <w:rsid w:val="008F1748"/>
    <w:rsid w:val="008F7920"/>
    <w:rsid w:val="00913035"/>
    <w:rsid w:val="00915FA7"/>
    <w:rsid w:val="00922F65"/>
    <w:rsid w:val="00933B82"/>
    <w:rsid w:val="00934F09"/>
    <w:rsid w:val="00943305"/>
    <w:rsid w:val="0094769F"/>
    <w:rsid w:val="00961CF1"/>
    <w:rsid w:val="00994EDF"/>
    <w:rsid w:val="00995287"/>
    <w:rsid w:val="009B5655"/>
    <w:rsid w:val="009C1904"/>
    <w:rsid w:val="009C1B08"/>
    <w:rsid w:val="009D3926"/>
    <w:rsid w:val="009D44D5"/>
    <w:rsid w:val="009E2EE4"/>
    <w:rsid w:val="009E457F"/>
    <w:rsid w:val="009E7159"/>
    <w:rsid w:val="00A03AE8"/>
    <w:rsid w:val="00A0518B"/>
    <w:rsid w:val="00A10918"/>
    <w:rsid w:val="00A1239A"/>
    <w:rsid w:val="00A1510D"/>
    <w:rsid w:val="00A24D54"/>
    <w:rsid w:val="00A26905"/>
    <w:rsid w:val="00A41B98"/>
    <w:rsid w:val="00A5010B"/>
    <w:rsid w:val="00A56CF6"/>
    <w:rsid w:val="00A6379D"/>
    <w:rsid w:val="00A641BF"/>
    <w:rsid w:val="00A674A8"/>
    <w:rsid w:val="00A75EF9"/>
    <w:rsid w:val="00A83B7B"/>
    <w:rsid w:val="00A90099"/>
    <w:rsid w:val="00A90DAE"/>
    <w:rsid w:val="00AA0853"/>
    <w:rsid w:val="00AA14CF"/>
    <w:rsid w:val="00AA7A48"/>
    <w:rsid w:val="00AB20B1"/>
    <w:rsid w:val="00AB6E68"/>
    <w:rsid w:val="00AC7BED"/>
    <w:rsid w:val="00AD3714"/>
    <w:rsid w:val="00AD4D20"/>
    <w:rsid w:val="00AF153A"/>
    <w:rsid w:val="00AF307E"/>
    <w:rsid w:val="00B17FD6"/>
    <w:rsid w:val="00B36F07"/>
    <w:rsid w:val="00B3780F"/>
    <w:rsid w:val="00B56E93"/>
    <w:rsid w:val="00B66939"/>
    <w:rsid w:val="00B863E2"/>
    <w:rsid w:val="00B90C89"/>
    <w:rsid w:val="00B92F01"/>
    <w:rsid w:val="00B94635"/>
    <w:rsid w:val="00BA307B"/>
    <w:rsid w:val="00BA5187"/>
    <w:rsid w:val="00BA564D"/>
    <w:rsid w:val="00BC5FBA"/>
    <w:rsid w:val="00BD31D7"/>
    <w:rsid w:val="00BE7B39"/>
    <w:rsid w:val="00BF1DC4"/>
    <w:rsid w:val="00C06443"/>
    <w:rsid w:val="00C07B5F"/>
    <w:rsid w:val="00C1758A"/>
    <w:rsid w:val="00C175DC"/>
    <w:rsid w:val="00C21AE0"/>
    <w:rsid w:val="00C2683C"/>
    <w:rsid w:val="00C361C9"/>
    <w:rsid w:val="00C36335"/>
    <w:rsid w:val="00C3768E"/>
    <w:rsid w:val="00C4224C"/>
    <w:rsid w:val="00C43A9F"/>
    <w:rsid w:val="00C52039"/>
    <w:rsid w:val="00C65B66"/>
    <w:rsid w:val="00C777CD"/>
    <w:rsid w:val="00C830D8"/>
    <w:rsid w:val="00C8474C"/>
    <w:rsid w:val="00CA38B9"/>
    <w:rsid w:val="00CA5B46"/>
    <w:rsid w:val="00CA79F0"/>
    <w:rsid w:val="00CB4DB7"/>
    <w:rsid w:val="00CE3677"/>
    <w:rsid w:val="00CF1EF6"/>
    <w:rsid w:val="00D04DAA"/>
    <w:rsid w:val="00D2575C"/>
    <w:rsid w:val="00D42E78"/>
    <w:rsid w:val="00D4364B"/>
    <w:rsid w:val="00D674A7"/>
    <w:rsid w:val="00D71430"/>
    <w:rsid w:val="00D73776"/>
    <w:rsid w:val="00D74858"/>
    <w:rsid w:val="00D7542F"/>
    <w:rsid w:val="00D8050E"/>
    <w:rsid w:val="00D83F6D"/>
    <w:rsid w:val="00D91800"/>
    <w:rsid w:val="00DB4283"/>
    <w:rsid w:val="00DB57C1"/>
    <w:rsid w:val="00DC1664"/>
    <w:rsid w:val="00DC1D60"/>
    <w:rsid w:val="00DC77E9"/>
    <w:rsid w:val="00DC7C84"/>
    <w:rsid w:val="00DE47C2"/>
    <w:rsid w:val="00DF25F4"/>
    <w:rsid w:val="00E07A79"/>
    <w:rsid w:val="00E32FE3"/>
    <w:rsid w:val="00E37A82"/>
    <w:rsid w:val="00E558A0"/>
    <w:rsid w:val="00E57BE8"/>
    <w:rsid w:val="00E743F0"/>
    <w:rsid w:val="00E74F4C"/>
    <w:rsid w:val="00EA49F5"/>
    <w:rsid w:val="00EC0FBA"/>
    <w:rsid w:val="00EC4161"/>
    <w:rsid w:val="00EC4EFA"/>
    <w:rsid w:val="00ED660A"/>
    <w:rsid w:val="00EE4F76"/>
    <w:rsid w:val="00EE532F"/>
    <w:rsid w:val="00EE5845"/>
    <w:rsid w:val="00F0156A"/>
    <w:rsid w:val="00F0176C"/>
    <w:rsid w:val="00F3315D"/>
    <w:rsid w:val="00F44D25"/>
    <w:rsid w:val="00F512F0"/>
    <w:rsid w:val="00F5242C"/>
    <w:rsid w:val="00F56B22"/>
    <w:rsid w:val="00F63497"/>
    <w:rsid w:val="00F66DF7"/>
    <w:rsid w:val="00F82E8D"/>
    <w:rsid w:val="00F852EF"/>
    <w:rsid w:val="00FA6517"/>
    <w:rsid w:val="00FC3B65"/>
    <w:rsid w:val="00FC6575"/>
    <w:rsid w:val="00FD4144"/>
    <w:rsid w:val="00FE7D9E"/>
    <w:rsid w:val="0B8F2F42"/>
    <w:rsid w:val="0C472E98"/>
    <w:rsid w:val="0C820FF0"/>
    <w:rsid w:val="11F35E10"/>
    <w:rsid w:val="146D6357"/>
    <w:rsid w:val="14C46E3D"/>
    <w:rsid w:val="17400D76"/>
    <w:rsid w:val="1A2C0451"/>
    <w:rsid w:val="1B4805B9"/>
    <w:rsid w:val="1B7117D4"/>
    <w:rsid w:val="35AE3512"/>
    <w:rsid w:val="499066B9"/>
    <w:rsid w:val="4CD008F6"/>
    <w:rsid w:val="50A47F51"/>
    <w:rsid w:val="51461E04"/>
    <w:rsid w:val="536E7F1B"/>
    <w:rsid w:val="5A05185D"/>
    <w:rsid w:val="5F115A43"/>
    <w:rsid w:val="63B9A4D0"/>
    <w:rsid w:val="67027E25"/>
    <w:rsid w:val="6FCA4CF5"/>
    <w:rsid w:val="75B10FB4"/>
    <w:rsid w:val="79983BC4"/>
    <w:rsid w:val="E3730448"/>
    <w:rsid w:val="EFCEB9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locked/>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4">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5">
    <w:name w:val="toc 3"/>
    <w:basedOn w:val="1"/>
    <w:next w:val="1"/>
    <w:qFormat/>
    <w:locked/>
    <w:uiPriority w:val="39"/>
    <w:pPr>
      <w:ind w:left="840" w:leftChars="400"/>
    </w:pPr>
  </w:style>
  <w:style w:type="paragraph" w:styleId="6">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11">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2">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3">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4">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5">
    <w:name w:val="Normal (Web)"/>
    <w:basedOn w:val="1"/>
    <w:semiHidden/>
    <w:unhideWhenUsed/>
    <w:qFormat/>
    <w:uiPriority w:val="99"/>
    <w:rPr>
      <w:sz w:val="24"/>
    </w:rPr>
  </w:style>
  <w:style w:type="character" w:styleId="18">
    <w:name w:val="FollowedHyperlink"/>
    <w:basedOn w:val="17"/>
    <w:semiHidden/>
    <w:unhideWhenUsed/>
    <w:qFormat/>
    <w:uiPriority w:val="99"/>
    <w:rPr>
      <w:color w:val="800080"/>
      <w:u w:val="single"/>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9"/>
    <w:qFormat/>
    <w:uiPriority w:val="99"/>
    <w:rPr>
      <w:sz w:val="18"/>
      <w:szCs w:val="18"/>
    </w:rPr>
  </w:style>
  <w:style w:type="character" w:customStyle="1" w:styleId="21">
    <w:name w:val="页脚 Char"/>
    <w:basedOn w:val="17"/>
    <w:link w:val="8"/>
    <w:qFormat/>
    <w:uiPriority w:val="99"/>
    <w:rPr>
      <w:sz w:val="18"/>
      <w:szCs w:val="18"/>
    </w:rPr>
  </w:style>
  <w:style w:type="character" w:customStyle="1" w:styleId="22">
    <w:name w:val="批注框文本 Char"/>
    <w:basedOn w:val="17"/>
    <w:link w:val="7"/>
    <w:semiHidden/>
    <w:qFormat/>
    <w:uiPriority w:val="99"/>
    <w:rPr>
      <w:sz w:val="18"/>
      <w:szCs w:val="18"/>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7">
    <w:name w:val="标题 1 Char"/>
    <w:basedOn w:val="17"/>
    <w:link w:val="2"/>
    <w:qFormat/>
    <w:uiPriority w:val="0"/>
    <w:rPr>
      <w:b/>
      <w:bCs/>
      <w:kern w:val="44"/>
      <w:sz w:val="44"/>
      <w:szCs w:val="44"/>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219</Words>
  <Characters>1250</Characters>
  <Lines>10</Lines>
  <Paragraphs>2</Paragraphs>
  <TotalTime>63</TotalTime>
  <ScaleCrop>false</ScaleCrop>
  <LinksUpToDate>false</LinksUpToDate>
  <CharactersWithSpaces>1467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2019-04-03T07:39:00Z</dcterms:created>
  <dc:creator>CJ</dc:creator>
  <cp:lastModifiedBy>uos</cp:lastModifiedBy>
  <dcterms:modified xsi:type="dcterms:W3CDTF">2023-03-06T09:39:41Z</dcterms:modified>
  <dc:title>2021年江门市市场监督管理局财政专项资金</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3120DB26AC3C4E0D96BDCFE947019ACA</vt:lpwstr>
  </property>
</Properties>
</file>