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6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2022年江门市第二批绿色社区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1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蓬江区（19个）</w:t>
            </w:r>
          </w:p>
        </w:tc>
        <w:tc>
          <w:tcPr>
            <w:tcW w:w="645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花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园社区、兴盛社区、白沙社区、胜利社区、会龙社区、双龙社区、群众社区、群星社区、篁边社区、富冈社区、江边社区、华东社区、启华社区、明文社区、东仓社区、天龙社区、里村社区、怡康社区、豸冈社区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1" w:type="dxa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江海区（4个）</w:t>
            </w:r>
          </w:p>
        </w:tc>
        <w:tc>
          <w:tcPr>
            <w:tcW w:w="6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墟镇社区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桥南社区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蓬苑社区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永明社区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71" w:type="dxa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新会区（4个）</w:t>
            </w:r>
          </w:p>
        </w:tc>
        <w:tc>
          <w:tcPr>
            <w:tcW w:w="6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中心社区、城东社区、菱东社区、南宁社区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1" w:type="dxa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台山市（2个）</w:t>
            </w:r>
          </w:p>
        </w:tc>
        <w:tc>
          <w:tcPr>
            <w:tcW w:w="6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上朗社区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桥湖社区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71" w:type="dxa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开平市（5个）</w:t>
            </w:r>
          </w:p>
        </w:tc>
        <w:tc>
          <w:tcPr>
            <w:tcW w:w="6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港口社区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慕沙社区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祥龙社区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荻海社区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楼冈墟社区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1" w:type="dxa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鹤山市（3个）</w:t>
            </w:r>
          </w:p>
        </w:tc>
        <w:tc>
          <w:tcPr>
            <w:tcW w:w="6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新业社区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、祥盛社区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、兴业社区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1" w:type="dxa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恩平市（2个）</w:t>
            </w:r>
          </w:p>
        </w:tc>
        <w:tc>
          <w:tcPr>
            <w:tcW w:w="6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河南社区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东门社区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15544"/>
    <w:rsid w:val="0C015544"/>
    <w:rsid w:val="111B1830"/>
    <w:rsid w:val="130F309B"/>
    <w:rsid w:val="25CA37DE"/>
    <w:rsid w:val="296E6A8C"/>
    <w:rsid w:val="33EF7D27"/>
    <w:rsid w:val="36D50568"/>
    <w:rsid w:val="3A944A4B"/>
    <w:rsid w:val="439D0F76"/>
    <w:rsid w:val="5BA516BD"/>
    <w:rsid w:val="777E438C"/>
    <w:rsid w:val="7C5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2021-12-02T00:50:00Z</dcterms:created>
  <dc:creator>高伟明</dc:creator>
  <cp:lastModifiedBy>何嘉伟</cp:lastModifiedBy>
  <dcterms:modified xsi:type="dcterms:W3CDTF">2022-11-25T02:37:41Z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