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heme="majorEastAsia" w:hAnsiTheme="majorEastAsia" w:eastAsiaTheme="majorEastAsia" w:cstheme="majorEastAsia"/>
          <w:sz w:val="32"/>
        </w:rPr>
      </w:pPr>
      <w:r>
        <w:rPr>
          <w:rFonts w:hint="default" w:asciiTheme="majorEastAsia" w:hAnsiTheme="majorEastAsia" w:eastAsiaTheme="majorEastAsia" w:cstheme="majorEastAsia"/>
          <w:sz w:val="32"/>
        </w:rPr>
        <w:t>附件2</w:t>
      </w:r>
    </w:p>
    <w:p>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方正小标宋简体" w:cs="Times New Roman"/>
          <w:b w:val="0"/>
          <w:bCs/>
          <w:color w:val="000000" w:themeColor="text1"/>
          <w:spacing w:val="0"/>
          <w:sz w:val="44"/>
          <w:szCs w:val="44"/>
          <w14:textFill>
            <w14:solidFill>
              <w14:schemeClr w14:val="tx1"/>
            </w14:solidFill>
          </w14:textFill>
        </w:rPr>
      </w:pPr>
      <w:r>
        <w:rPr>
          <w:rFonts w:hint="default" w:ascii="Times New Roman" w:hAnsi="Times New Roman" w:eastAsia="方正小标宋简体" w:cs="Times New Roman"/>
          <w:b w:val="0"/>
          <w:bCs/>
          <w:color w:val="000000" w:themeColor="text1"/>
          <w:spacing w:val="0"/>
          <w:sz w:val="44"/>
          <w:szCs w:val="44"/>
          <w14:textFill>
            <w14:solidFill>
              <w14:schemeClr w14:val="tx1"/>
            </w14:solidFill>
          </w14:textFill>
        </w:rPr>
        <w:t>关于部分检验项目的说明</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default" w:ascii="Times New Roman" w:hAnsi="Times New Roman" w:eastAsia="黑体" w:cs="Times New Roman"/>
          <w:b w:val="0"/>
          <w:bCs w:val="0"/>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pacing w:val="0"/>
          <w:kern w:val="0"/>
          <w:sz w:val="32"/>
          <w:szCs w:val="32"/>
          <w:lang w:val="en-US" w:eastAsia="zh-CN"/>
          <w14:textFill>
            <w14:solidFill>
              <w14:schemeClr w14:val="tx1"/>
            </w14:solidFill>
          </w14:textFill>
        </w:rPr>
        <w:t>镉</w:t>
      </w:r>
      <w:r>
        <w:rPr>
          <w:rFonts w:hint="default" w:eastAsia="黑体" w:cs="Times New Roman"/>
          <w:b w:val="0"/>
          <w:bCs w:val="0"/>
          <w:color w:val="000000" w:themeColor="text1"/>
          <w:spacing w:val="0"/>
          <w:kern w:val="0"/>
          <w:sz w:val="32"/>
          <w:szCs w:val="32"/>
          <w:lang w:eastAsia="zh-CN"/>
          <w14:textFill>
            <w14:solidFill>
              <w14:schemeClr w14:val="tx1"/>
            </w14:solidFill>
          </w14:textFill>
        </w:rPr>
        <w:t>（以Cd计）</w:t>
      </w:r>
    </w:p>
    <w:p>
      <w:pPr>
        <w:numPr>
          <w:ilvl w:val="0"/>
          <w:numId w:val="0"/>
        </w:numPr>
        <w:spacing w:line="360" w:lineRule="auto"/>
        <w:ind w:firstLine="640"/>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镉是一种常见的环境污染物，对人体的危害主要是慢性蓄积性，长期大量摄入镉含量超标的食品可能导致肾和骨骼损伤等。《食品安全国家标准 食品中污染物限量》（2762—2017）中规定，镉在姜中最大限量为0.1mg/kg。生姜中镉超标的原因可能是种植过程对环境中镉元素的富集。</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default" w:ascii="Times New Roman" w:hAnsi="Times New Roman" w:eastAsia="黑体" w:cs="Times New Roman"/>
          <w:b w:val="0"/>
          <w:bCs w:val="0"/>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pacing w:val="0"/>
          <w:kern w:val="0"/>
          <w:sz w:val="32"/>
          <w:szCs w:val="32"/>
          <w:lang w:val="en-US" w:eastAsia="zh-CN"/>
          <w14:textFill>
            <w14:solidFill>
              <w14:schemeClr w14:val="tx1"/>
            </w14:solidFill>
          </w14:textFill>
        </w:rPr>
        <w:t>铅</w:t>
      </w:r>
      <w:r>
        <w:rPr>
          <w:rFonts w:hint="default" w:eastAsia="黑体" w:cs="Times New Roman"/>
          <w:b w:val="0"/>
          <w:bCs w:val="0"/>
          <w:color w:val="000000" w:themeColor="text1"/>
          <w:spacing w:val="0"/>
          <w:kern w:val="0"/>
          <w:sz w:val="32"/>
          <w:szCs w:val="32"/>
          <w:lang w:eastAsia="zh-CN"/>
          <w14:textFill>
            <w14:solidFill>
              <w14:schemeClr w14:val="tx1"/>
            </w14:solidFill>
          </w14:textFill>
        </w:rPr>
        <w:t>（以Pb计）</w:t>
      </w:r>
    </w:p>
    <w:p>
      <w:pPr>
        <w:numPr>
          <w:ilvl w:val="0"/>
          <w:numId w:val="0"/>
        </w:numPr>
        <w:spacing w:line="360" w:lineRule="auto"/>
        <w:ind w:firstLine="640"/>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铅是一种慢性毒物，具有蓄积性，少部分会随着身体代谢排出体外，大部分会在体内沉积，危害人体健康。根据《食品安全国家标准 食品中污染物限量》（GB 2762—2017）中规定，铅在姜中最大限量值为0.1mg/kg。生姜中铅超标的原因可能是生姜生长过程中富集环境中的铅元素有关。</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default" w:ascii="Times New Roman" w:hAnsi="Times New Roman" w:eastAsia="黑体" w:cs="Times New Roman"/>
          <w:b w:val="0"/>
          <w:bCs w:val="0"/>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pacing w:val="0"/>
          <w:kern w:val="0"/>
          <w:sz w:val="32"/>
          <w:szCs w:val="32"/>
          <w:lang w:val="en-US" w:eastAsia="zh-CN"/>
          <w14:textFill>
            <w14:solidFill>
              <w14:schemeClr w14:val="tx1"/>
            </w14:solidFill>
          </w14:textFill>
        </w:rPr>
        <w:t>恩诺沙星</w:t>
      </w:r>
    </w:p>
    <w:p>
      <w:pPr>
        <w:numPr>
          <w:ilvl w:val="0"/>
          <w:numId w:val="0"/>
        </w:numPr>
        <w:spacing w:line="360" w:lineRule="auto"/>
        <w:ind w:firstLine="640"/>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恩诺沙星属第三代喹诺酮类药物，是一类人工合成的广谱抗菌药，用于治疗动物的皮肤感染、呼吸道感染等，是动物专属用药。《食品安全国家标准 食品中兽药最大残留限量》（GB 31650—2019）中规定，恩诺沙星在鱼中残留限量为100μg/kg，动物源性食品中恩诺沙星超标的原因，可能是在养殖过程中为快速控制疫病，养殖户违规加大用药量或不遵守休药期规定，致使产品上市销售时药物残留超标。</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default" w:ascii="Times New Roman" w:hAnsi="Times New Roman" w:eastAsia="黑体" w:cs="Times New Roman"/>
          <w:b w:val="0"/>
          <w:bCs w:val="0"/>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pacing w:val="0"/>
          <w:kern w:val="0"/>
          <w:sz w:val="32"/>
          <w:szCs w:val="32"/>
          <w:lang w:val="en-US" w:eastAsia="zh-CN"/>
          <w14:textFill>
            <w14:solidFill>
              <w14:schemeClr w14:val="tx1"/>
            </w14:solidFill>
          </w14:textFill>
        </w:rPr>
        <w:t>吡虫啉</w:t>
      </w:r>
    </w:p>
    <w:p>
      <w:pPr>
        <w:numPr>
          <w:ilvl w:val="0"/>
          <w:numId w:val="0"/>
        </w:numPr>
        <w:spacing w:line="360" w:lineRule="auto"/>
        <w:ind w:firstLine="640"/>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吡虫啉属内吸性杀虫剂，具有触杀和胃毒作用。少量的残留不会引起人体急性中毒，但长期食用吡虫啉超标的食品，对人体健康可能有一定影响。《食品安全国家标准 食品中农药最大残留限量》（GB 2763—2021）中规定，吡虫啉在根茎类蔬菜中的最大残留限量值为</w:t>
      </w:r>
      <w:r>
        <w:rPr>
          <w:rFonts w:hint="eastAsia" w:eastAsia="宋体" w:cs="Times New Roman"/>
          <w:bCs/>
          <w:color w:val="000000" w:themeColor="text1"/>
          <w:spacing w:val="0"/>
          <w:kern w:val="0"/>
          <w:sz w:val="32"/>
          <w:szCs w:val="32"/>
          <w:lang w:val="en-US" w:eastAsia="zh-CN"/>
          <w14:textFill>
            <w14:solidFill>
              <w14:schemeClr w14:val="tx1"/>
            </w14:solidFill>
          </w14:textFill>
        </w:rPr>
        <w:t>0.5mg/kg，在</w:t>
      </w:r>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香蕉中的最大残留限量值为0.05mg/kg。</w:t>
      </w:r>
      <w:r>
        <w:rPr>
          <w:rFonts w:hint="eastAsia" w:eastAsia="宋体" w:cs="Times New Roman"/>
          <w:bCs/>
          <w:color w:val="000000" w:themeColor="text1"/>
          <w:spacing w:val="0"/>
          <w:kern w:val="0"/>
          <w:sz w:val="32"/>
          <w:szCs w:val="32"/>
          <w:lang w:val="en-US" w:eastAsia="zh-CN"/>
          <w14:textFill>
            <w14:solidFill>
              <w14:schemeClr w14:val="tx1"/>
            </w14:solidFill>
          </w14:textFill>
        </w:rPr>
        <w:t>姜和</w:t>
      </w:r>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香蕉中吡虫啉残留量超标的原因，可能是为快速控制虫害，加大用药量或未遵守采摘间隔期规定，致使上市销售的产品中残留量超标。</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default" w:ascii="Times New Roman" w:hAnsi="Times New Roman" w:eastAsia="黑体" w:cs="Times New Roman"/>
          <w:b w:val="0"/>
          <w:bCs w:val="0"/>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pacing w:val="0"/>
          <w:kern w:val="0"/>
          <w:sz w:val="32"/>
          <w:szCs w:val="32"/>
          <w:lang w:val="en-US" w:eastAsia="zh-CN"/>
          <w14:textFill>
            <w14:solidFill>
              <w14:schemeClr w14:val="tx1"/>
            </w14:solidFill>
          </w14:textFill>
        </w:rPr>
        <w:t>噻虫胺</w:t>
      </w:r>
    </w:p>
    <w:p>
      <w:pPr>
        <w:numPr>
          <w:ilvl w:val="0"/>
          <w:numId w:val="0"/>
        </w:numPr>
        <w:spacing w:line="360" w:lineRule="auto"/>
        <w:ind w:firstLine="640"/>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噻虫胺属新烟碱类杀虫剂，具有内吸性、触杀和胃毒作用，对姜蛆等有较好防效。《食品安全国家标准 食品中农药最大残留限量》GB 2763—2021中规定，噻虫胺在根茎类蔬菜中的最大残留限量值为0.2mg/kg</w:t>
      </w:r>
      <w:r>
        <w:rPr>
          <w:rFonts w:hint="eastAsia" w:eastAsia="宋体" w:cs="Times New Roman"/>
          <w:bCs/>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噻虫胺在</w:t>
      </w:r>
      <w:r>
        <w:rPr>
          <w:rFonts w:hint="eastAsia" w:eastAsia="宋体" w:cs="Times New Roman"/>
          <w:bCs/>
          <w:color w:val="000000" w:themeColor="text1"/>
          <w:spacing w:val="0"/>
          <w:kern w:val="0"/>
          <w:sz w:val="32"/>
          <w:szCs w:val="32"/>
          <w:lang w:val="en-US" w:eastAsia="zh-CN"/>
          <w14:textFill>
            <w14:solidFill>
              <w14:schemeClr w14:val="tx1"/>
            </w14:solidFill>
          </w14:textFill>
        </w:rPr>
        <w:t>香蕉中的最大残留限量值为0.02mg/kg</w:t>
      </w:r>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。姜</w:t>
      </w:r>
      <w:r>
        <w:rPr>
          <w:rFonts w:hint="eastAsia" w:eastAsia="宋体" w:cs="Times New Roman"/>
          <w:bCs/>
          <w:color w:val="000000" w:themeColor="text1"/>
          <w:spacing w:val="0"/>
          <w:kern w:val="0"/>
          <w:sz w:val="32"/>
          <w:szCs w:val="32"/>
          <w:lang w:val="en-US" w:eastAsia="zh-CN"/>
          <w14:textFill>
            <w14:solidFill>
              <w14:schemeClr w14:val="tx1"/>
            </w14:solidFill>
          </w14:textFill>
        </w:rPr>
        <w:t>和香蕉</w:t>
      </w:r>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中噻虫胺残留量超标的原因，可能是为快速控制虫害，加大用药量或未遵守采摘间隔期规定，致使上市销售的产品中残留量超标。</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default" w:ascii="Times New Roman" w:hAnsi="Times New Roman" w:eastAsia="黑体" w:cs="Times New Roman"/>
          <w:b w:val="0"/>
          <w:bCs w:val="0"/>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pacing w:val="0"/>
          <w:kern w:val="0"/>
          <w:sz w:val="32"/>
          <w:szCs w:val="32"/>
          <w:lang w:val="en-US" w:eastAsia="zh-CN"/>
          <w14:textFill>
            <w14:solidFill>
              <w14:schemeClr w14:val="tx1"/>
            </w14:solidFill>
          </w14:textFill>
        </w:rPr>
        <w:t>酸价（以脂肪计）</w:t>
      </w:r>
    </w:p>
    <w:p>
      <w:pPr>
        <w:bidi w:val="0"/>
        <w:ind w:firstLine="640" w:firstLineChars="200"/>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酸价主要反映食品中油脂的酸败程度。酸价超标会导致食品有哈喇味，超标严重时所产生的醛、酮、酸会破坏脂溶性维生素，导致肠胃不适。《食品安全国家标准 坚果与籽类食品》</w:t>
      </w:r>
      <w:r>
        <w:rPr>
          <w:rFonts w:hint="eastAsia" w:eastAsia="宋体" w:cs="Times New Roman"/>
          <w:bCs/>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GB 19300</w:t>
      </w:r>
      <w:r>
        <w:rPr>
          <w:rFonts w:hint="eastAsia" w:eastAsia="宋体" w:cs="Times New Roman"/>
          <w:bCs/>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2014</w:t>
      </w:r>
      <w:r>
        <w:rPr>
          <w:rFonts w:hint="eastAsia" w:eastAsia="宋体" w:cs="Times New Roman"/>
          <w:bCs/>
          <w:color w:val="000000" w:themeColor="text1"/>
          <w:spacing w:val="0"/>
          <w:kern w:val="0"/>
          <w:sz w:val="32"/>
          <w:szCs w:val="32"/>
          <w:lang w:val="en-US" w:eastAsia="zh-CN"/>
          <w14:textFill>
            <w14:solidFill>
              <w14:schemeClr w14:val="tx1"/>
            </w14:solidFill>
          </w14:textFill>
        </w:rPr>
        <w:t>）中规定，生干籽类的酸价最大限量值为3mg/g。</w:t>
      </w:r>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造成酸价不合格的原因，可能是产品储藏条件不当，特别是存贮温度较高时易导致食品中的脂肪氧化酸败。</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default" w:eastAsia="黑体" w:cs="Times New Roman"/>
          <w:b w:val="0"/>
          <w:bCs w:val="0"/>
          <w:color w:val="000000" w:themeColor="text1"/>
          <w:spacing w:val="0"/>
          <w:kern w:val="0"/>
          <w:sz w:val="32"/>
          <w:szCs w:val="32"/>
          <w:lang w:eastAsia="zh-CN"/>
          <w14:textFill>
            <w14:solidFill>
              <w14:schemeClr w14:val="tx1"/>
            </w14:solidFill>
          </w14:textFill>
        </w:rPr>
      </w:pPr>
      <w:r>
        <w:rPr>
          <w:rFonts w:hint="default" w:eastAsia="黑体" w:cs="Times New Roman"/>
          <w:b w:val="0"/>
          <w:bCs w:val="0"/>
          <w:color w:val="000000" w:themeColor="text1"/>
          <w:spacing w:val="0"/>
          <w:kern w:val="0"/>
          <w:sz w:val="32"/>
          <w:szCs w:val="32"/>
          <w:lang w:eastAsia="zh-CN"/>
          <w14:textFill>
            <w14:solidFill>
              <w14:schemeClr w14:val="tx1"/>
            </w14:solidFill>
          </w14:textFill>
        </w:rPr>
        <w:t>钠</w:t>
      </w:r>
      <w:bookmarkStart w:id="0" w:name="_GoBack"/>
      <w:bookmarkEnd w:id="0"/>
    </w:p>
    <w:p>
      <w:pPr>
        <w:numPr>
          <w:ilvl w:val="0"/>
          <w:numId w:val="0"/>
        </w:numPr>
        <w:spacing w:line="360" w:lineRule="auto"/>
        <w:ind w:firstLine="640"/>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钠是人体必需的营养元素。钠元素不合格原因可能是原辅料质量控制不严，包括食品营养强化剂不满足质量规格要求、食品原料本底含量不清等；生产加工环节控制不严，包括生产加工过程中搅拌不均匀、企业未按标签明示值或企业标准的要求进行添加。</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eastAsia" w:eastAsia="黑体" w:cs="Times New Roman"/>
          <w:b w:val="0"/>
          <w:bCs w:val="0"/>
          <w:color w:val="000000" w:themeColor="text1"/>
          <w:spacing w:val="0"/>
          <w:kern w:val="0"/>
          <w:sz w:val="32"/>
          <w:szCs w:val="32"/>
          <w:lang w:val="en-US" w:eastAsia="zh-CN"/>
          <w14:textFill>
            <w14:solidFill>
              <w14:schemeClr w14:val="tx1"/>
            </w14:solidFill>
          </w14:textFill>
        </w:rPr>
      </w:pPr>
      <w:r>
        <w:rPr>
          <w:rFonts w:hint="eastAsia" w:eastAsia="黑体" w:cs="Times New Roman"/>
          <w:b w:val="0"/>
          <w:bCs w:val="0"/>
          <w:color w:val="000000" w:themeColor="text1"/>
          <w:spacing w:val="0"/>
          <w:kern w:val="0"/>
          <w:sz w:val="32"/>
          <w:szCs w:val="32"/>
          <w:lang w:val="en-US" w:eastAsia="zh-CN"/>
          <w14:textFill>
            <w14:solidFill>
              <w14:schemeClr w14:val="tx1"/>
            </w14:solidFill>
          </w14:textFill>
        </w:rPr>
        <w:t>草甘膦</w:t>
      </w:r>
    </w:p>
    <w:p>
      <w:pPr>
        <w:numPr>
          <w:ilvl w:val="0"/>
          <w:numId w:val="0"/>
        </w:numPr>
        <w:spacing w:line="360" w:lineRule="auto"/>
        <w:ind w:firstLine="640"/>
        <w:rPr>
          <w:rFonts w:hint="eastAsia" w:ascii="Times New Roman" w:hAnsi="Times New Roman" w:eastAsia="宋体" w:cs="Times New Roman"/>
          <w:bCs/>
          <w:color w:val="000000" w:themeColor="text1"/>
          <w:spacing w:val="0"/>
          <w:kern w:val="0"/>
          <w:sz w:val="32"/>
          <w:szCs w:val="32"/>
          <w:lang w:val="en-US" w:eastAsia="zh-CN"/>
          <w14:textFill>
            <w14:solidFill>
              <w14:schemeClr w14:val="tx1"/>
            </w14:solidFill>
          </w14:textFill>
        </w:rPr>
      </w:pPr>
      <w:r>
        <w:rPr>
          <w:rFonts w:hint="eastAsia"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草甘膦是一种非选择性、无残留灭生性除草剂，对多年生根杂草非常有效，广泛用于橡胶、桑、茶、果园及甘蔗地。低毒，一般不会引起中毒。超标原因：种植过程违规使用，或者不按农药合理使用准则正确使用农药。</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eastAsia" w:eastAsia="黑体" w:cs="Times New Roman"/>
          <w:b w:val="0"/>
          <w:bCs w:val="0"/>
          <w:color w:val="000000" w:themeColor="text1"/>
          <w:spacing w:val="0"/>
          <w:kern w:val="0"/>
          <w:sz w:val="32"/>
          <w:szCs w:val="32"/>
          <w:lang w:val="en-US" w:eastAsia="zh-CN"/>
          <w14:textFill>
            <w14:solidFill>
              <w14:schemeClr w14:val="tx1"/>
            </w14:solidFill>
          </w14:textFill>
        </w:rPr>
      </w:pPr>
      <w:r>
        <w:rPr>
          <w:rFonts w:hint="eastAsia" w:eastAsia="黑体" w:cs="Times New Roman"/>
          <w:b w:val="0"/>
          <w:bCs w:val="0"/>
          <w:color w:val="000000" w:themeColor="text1"/>
          <w:spacing w:val="0"/>
          <w:kern w:val="0"/>
          <w:sz w:val="32"/>
          <w:szCs w:val="32"/>
          <w:lang w:val="en-US" w:eastAsia="zh-CN"/>
          <w14:textFill>
            <w14:solidFill>
              <w14:schemeClr w14:val="tx1"/>
            </w14:solidFill>
          </w14:textFill>
        </w:rPr>
        <w:t>脂肪</w:t>
      </w:r>
    </w:p>
    <w:p>
      <w:pPr>
        <w:numPr>
          <w:ilvl w:val="0"/>
          <w:numId w:val="0"/>
        </w:numPr>
        <w:spacing w:line="360" w:lineRule="auto"/>
        <w:ind w:firstLine="640"/>
        <w:rPr>
          <w:rFonts w:hint="eastAsia" w:ascii="Times New Roman" w:hAnsi="Times New Roman" w:eastAsia="宋体" w:cs="Times New Roman"/>
          <w:bCs/>
          <w:color w:val="000000" w:themeColor="text1"/>
          <w:spacing w:val="0"/>
          <w:kern w:val="0"/>
          <w:sz w:val="32"/>
          <w:szCs w:val="32"/>
          <w:lang w:val="en-US" w:eastAsia="zh-CN"/>
          <w14:textFill>
            <w14:solidFill>
              <w14:schemeClr w14:val="tx1"/>
            </w14:solidFill>
          </w14:textFill>
        </w:rPr>
      </w:pPr>
      <w:r>
        <w:rPr>
          <w:rFonts w:hint="eastAsia"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脂肪是营养成分表里强制标示的核心营养要素之一，系食品营养标签的组成部分。脂肪不合格原因可能是原辅料质量控制不严，不满足质量规定要求；生产加工环节控制不严，企业未按标签明示值或企业标准的要求进行添加等。</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default" w:eastAsia="黑体" w:cs="Times New Roman"/>
          <w:b w:val="0"/>
          <w:bCs w:val="0"/>
          <w:color w:val="000000" w:themeColor="text1"/>
          <w:spacing w:val="0"/>
          <w:kern w:val="0"/>
          <w:sz w:val="32"/>
          <w:szCs w:val="32"/>
          <w:lang w:val="en-US" w:eastAsia="zh-CN"/>
          <w14:textFill>
            <w14:solidFill>
              <w14:schemeClr w14:val="tx1"/>
            </w14:solidFill>
          </w14:textFill>
        </w:rPr>
      </w:pPr>
      <w:r>
        <w:rPr>
          <w:rFonts w:hint="eastAsia" w:eastAsia="黑体" w:cs="Times New Roman"/>
          <w:b w:val="0"/>
          <w:bCs w:val="0"/>
          <w:color w:val="000000" w:themeColor="text1"/>
          <w:spacing w:val="0"/>
          <w:kern w:val="0"/>
          <w:sz w:val="32"/>
          <w:szCs w:val="32"/>
          <w:lang w:val="en-US" w:eastAsia="zh-CN"/>
          <w14:textFill>
            <w14:solidFill>
              <w14:schemeClr w14:val="tx1"/>
            </w14:solidFill>
          </w14:textFill>
        </w:rPr>
        <w:t>蛋白质</w:t>
      </w:r>
    </w:p>
    <w:p>
      <w:pPr>
        <w:numPr>
          <w:ilvl w:val="0"/>
          <w:numId w:val="0"/>
        </w:numPr>
        <w:spacing w:line="360" w:lineRule="auto"/>
        <w:ind w:firstLine="640"/>
        <w:rPr>
          <w:rFonts w:hint="eastAsia" w:ascii="Times New Roman" w:hAnsi="Times New Roman" w:eastAsia="宋体" w:cs="Times New Roman"/>
          <w:bCs/>
          <w:color w:val="000000" w:themeColor="text1"/>
          <w:spacing w:val="0"/>
          <w:kern w:val="0"/>
          <w:sz w:val="32"/>
          <w:szCs w:val="32"/>
          <w:lang w:val="en-US" w:eastAsia="zh-CN"/>
          <w14:textFill>
            <w14:solidFill>
              <w14:schemeClr w14:val="tx1"/>
            </w14:solidFill>
          </w14:textFill>
        </w:rPr>
      </w:pPr>
      <w:r>
        <w:rPr>
          <w:rFonts w:hint="eastAsia"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蛋白质是由氨基酸以肽键连接在一起，并形成一定空间结构的高分子有机化合物，是构成机体组织、器官和多种重要生理活性物质的成分，且能提供能量。蛋白质含量不达标的原因，可能是原料把关不严，也可能是生产过程配料控制不规范，还可能是未进行严格的出厂检验保证产品质量。</w:t>
      </w:r>
    </w:p>
    <w:p>
      <w:pPr>
        <w:numPr>
          <w:ilvl w:val="0"/>
          <w:numId w:val="0"/>
        </w:numPr>
        <w:spacing w:line="360" w:lineRule="auto"/>
        <w:ind w:leftChars="200"/>
        <w:rPr>
          <w:rFonts w:hint="default" w:eastAsia="宋体" w:cs="Times New Roman"/>
          <w:bCs/>
          <w:color w:val="000000" w:themeColor="text1"/>
          <w:spacing w:val="0"/>
          <w:kern w:val="0"/>
          <w:sz w:val="32"/>
          <w:szCs w:val="32"/>
          <w:lang w:eastAsia="zh-CN"/>
          <w14:textFill>
            <w14:solidFill>
              <w14:schemeClr w14:val="tx1"/>
            </w14:solidFill>
          </w14:textFill>
        </w:rPr>
      </w:pPr>
    </w:p>
    <w:p>
      <w:pPr>
        <w:numPr>
          <w:ilvl w:val="0"/>
          <w:numId w:val="0"/>
        </w:numPr>
        <w:spacing w:line="360" w:lineRule="auto"/>
        <w:ind w:firstLine="640"/>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pPr>
    </w:p>
    <w:p>
      <w:pPr>
        <w:numPr>
          <w:ilvl w:val="0"/>
          <w:numId w:val="0"/>
        </w:numPr>
        <w:spacing w:line="360" w:lineRule="auto"/>
        <w:ind w:firstLine="640"/>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pPr>
    </w:p>
    <w:p>
      <w:pPr>
        <w:numPr>
          <w:ilvl w:val="0"/>
          <w:numId w:val="0"/>
        </w:numPr>
        <w:spacing w:line="360" w:lineRule="auto"/>
        <w:ind w:firstLine="640"/>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pPr>
    </w:p>
    <w:p>
      <w:pPr>
        <w:numPr>
          <w:ilvl w:val="0"/>
          <w:numId w:val="0"/>
        </w:numPr>
        <w:spacing w:line="360" w:lineRule="auto"/>
        <w:ind w:firstLine="640"/>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pPr>
    </w:p>
    <w:p>
      <w:pPr>
        <w:numPr>
          <w:ilvl w:val="0"/>
          <w:numId w:val="0"/>
        </w:numPr>
        <w:spacing w:line="360" w:lineRule="auto"/>
        <w:ind w:firstLine="640"/>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pPr>
    </w:p>
    <w:p>
      <w:pPr>
        <w:numPr>
          <w:ilvl w:val="0"/>
          <w:numId w:val="0"/>
        </w:numPr>
        <w:spacing w:line="360" w:lineRule="auto"/>
        <w:ind w:firstLine="640"/>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pPr>
    </w:p>
    <w:p>
      <w:pPr>
        <w:spacing w:line="360" w:lineRule="auto"/>
        <w:rPr>
          <w:rFonts w:hint="default" w:ascii="Times New Roman" w:hAnsi="Times New Roman" w:eastAsia="黑体" w:cs="Times New Roman"/>
          <w:b w:val="0"/>
          <w:bCs w:val="0"/>
          <w:color w:val="000000" w:themeColor="text1"/>
          <w:spacing w:val="0"/>
          <w:kern w:val="0"/>
          <w:sz w:val="32"/>
          <w:szCs w:val="32"/>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0BDD63"/>
    <w:multiLevelType w:val="singleLevel"/>
    <w:tmpl w:val="CE0BDD63"/>
    <w:lvl w:ilvl="0" w:tentative="0">
      <w:start w:val="1"/>
      <w:numFmt w:val="chineseCounting"/>
      <w:suff w:val="nothing"/>
      <w:lvlText w:val="%1、"/>
      <w:lvlJc w:val="left"/>
      <w:pPr>
        <w:ind w:left="0" w:firstLine="420"/>
      </w:pPr>
      <w:rPr>
        <w:rFonts w:hint="eastAsia"/>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jZWQ0MGFlYTFiMmE3ZmUyNGVjOWYwYjY1MTdlZDUifQ=="/>
  </w:docVars>
  <w:rsids>
    <w:rsidRoot w:val="1FD731CE"/>
    <w:rsid w:val="000139BE"/>
    <w:rsid w:val="000A275E"/>
    <w:rsid w:val="000D1112"/>
    <w:rsid w:val="000F722E"/>
    <w:rsid w:val="001031D6"/>
    <w:rsid w:val="0017756D"/>
    <w:rsid w:val="00196D2C"/>
    <w:rsid w:val="00240E0F"/>
    <w:rsid w:val="00245222"/>
    <w:rsid w:val="00267925"/>
    <w:rsid w:val="00270C9D"/>
    <w:rsid w:val="003A65A7"/>
    <w:rsid w:val="003B5D49"/>
    <w:rsid w:val="003D5E39"/>
    <w:rsid w:val="00462342"/>
    <w:rsid w:val="00465E74"/>
    <w:rsid w:val="00484A0A"/>
    <w:rsid w:val="004F1C34"/>
    <w:rsid w:val="00516819"/>
    <w:rsid w:val="00550C03"/>
    <w:rsid w:val="00576379"/>
    <w:rsid w:val="005C06F3"/>
    <w:rsid w:val="005C33CB"/>
    <w:rsid w:val="005D78D5"/>
    <w:rsid w:val="00616936"/>
    <w:rsid w:val="006645F3"/>
    <w:rsid w:val="0067473C"/>
    <w:rsid w:val="00676922"/>
    <w:rsid w:val="006C4888"/>
    <w:rsid w:val="00726A4B"/>
    <w:rsid w:val="00736DB5"/>
    <w:rsid w:val="00737C50"/>
    <w:rsid w:val="007724F1"/>
    <w:rsid w:val="007A6B3B"/>
    <w:rsid w:val="007B1FCC"/>
    <w:rsid w:val="007D198D"/>
    <w:rsid w:val="007F20D5"/>
    <w:rsid w:val="00813729"/>
    <w:rsid w:val="00830BF8"/>
    <w:rsid w:val="008528EA"/>
    <w:rsid w:val="00867EE4"/>
    <w:rsid w:val="008906C1"/>
    <w:rsid w:val="008941A5"/>
    <w:rsid w:val="008A2321"/>
    <w:rsid w:val="008E463F"/>
    <w:rsid w:val="009B7057"/>
    <w:rsid w:val="00A27ED0"/>
    <w:rsid w:val="00A3433C"/>
    <w:rsid w:val="00A376C0"/>
    <w:rsid w:val="00AC08C5"/>
    <w:rsid w:val="00AE2924"/>
    <w:rsid w:val="00B26C49"/>
    <w:rsid w:val="00B45E45"/>
    <w:rsid w:val="00B803BC"/>
    <w:rsid w:val="00B83C3E"/>
    <w:rsid w:val="00BD254B"/>
    <w:rsid w:val="00C934ED"/>
    <w:rsid w:val="00C96BD5"/>
    <w:rsid w:val="00CA0E2D"/>
    <w:rsid w:val="00CD4164"/>
    <w:rsid w:val="00CE2A92"/>
    <w:rsid w:val="00D2099E"/>
    <w:rsid w:val="00D37A4B"/>
    <w:rsid w:val="00D56071"/>
    <w:rsid w:val="00D67D8A"/>
    <w:rsid w:val="00D91A35"/>
    <w:rsid w:val="00D91A6D"/>
    <w:rsid w:val="00DA0273"/>
    <w:rsid w:val="00DA0A14"/>
    <w:rsid w:val="00DA5C44"/>
    <w:rsid w:val="00E73D1F"/>
    <w:rsid w:val="00E81F8E"/>
    <w:rsid w:val="00E840AE"/>
    <w:rsid w:val="00ED485F"/>
    <w:rsid w:val="00EE11C5"/>
    <w:rsid w:val="00F04423"/>
    <w:rsid w:val="00F523AE"/>
    <w:rsid w:val="00F90182"/>
    <w:rsid w:val="00FE0934"/>
    <w:rsid w:val="05413254"/>
    <w:rsid w:val="05E1109D"/>
    <w:rsid w:val="0D084B45"/>
    <w:rsid w:val="0DA9532B"/>
    <w:rsid w:val="149E726C"/>
    <w:rsid w:val="15DC0E84"/>
    <w:rsid w:val="1994269A"/>
    <w:rsid w:val="1FD731CE"/>
    <w:rsid w:val="20417810"/>
    <w:rsid w:val="21080928"/>
    <w:rsid w:val="22F64197"/>
    <w:rsid w:val="25981AB5"/>
    <w:rsid w:val="27286FB2"/>
    <w:rsid w:val="2A52692D"/>
    <w:rsid w:val="2AAD0908"/>
    <w:rsid w:val="2C602C01"/>
    <w:rsid w:val="2D163F80"/>
    <w:rsid w:val="2E7555D3"/>
    <w:rsid w:val="2E7720BF"/>
    <w:rsid w:val="2F2E698C"/>
    <w:rsid w:val="347C45E6"/>
    <w:rsid w:val="34AC10D9"/>
    <w:rsid w:val="37272367"/>
    <w:rsid w:val="378F216D"/>
    <w:rsid w:val="385B0E4C"/>
    <w:rsid w:val="38C14C44"/>
    <w:rsid w:val="39206CC4"/>
    <w:rsid w:val="39985013"/>
    <w:rsid w:val="3AFA0F0C"/>
    <w:rsid w:val="3DF82A4E"/>
    <w:rsid w:val="424C3CC7"/>
    <w:rsid w:val="467E22D3"/>
    <w:rsid w:val="474E6020"/>
    <w:rsid w:val="4D1F45CA"/>
    <w:rsid w:val="4EA56E6D"/>
    <w:rsid w:val="53605111"/>
    <w:rsid w:val="56742890"/>
    <w:rsid w:val="57EA0B70"/>
    <w:rsid w:val="5E169BE2"/>
    <w:rsid w:val="60824919"/>
    <w:rsid w:val="610E0B87"/>
    <w:rsid w:val="615E58FB"/>
    <w:rsid w:val="62C54CCE"/>
    <w:rsid w:val="6AFC09F6"/>
    <w:rsid w:val="6C1A634D"/>
    <w:rsid w:val="6CF21078"/>
    <w:rsid w:val="6E511637"/>
    <w:rsid w:val="70667F46"/>
    <w:rsid w:val="741F6808"/>
    <w:rsid w:val="74EB6AD9"/>
    <w:rsid w:val="75FE4EF5"/>
    <w:rsid w:val="7BFD9915"/>
    <w:rsid w:val="7BFFBF06"/>
    <w:rsid w:val="7BFFF2A3"/>
    <w:rsid w:val="7EC70513"/>
    <w:rsid w:val="7FD0428A"/>
    <w:rsid w:val="7FE942B4"/>
    <w:rsid w:val="B7CB441F"/>
    <w:rsid w:val="BDFF689C"/>
    <w:rsid w:val="EB59C26A"/>
    <w:rsid w:val="EBF62C34"/>
    <w:rsid w:val="EDBF4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11">
    <w:name w:val="Strong"/>
    <w:basedOn w:val="10"/>
    <w:qFormat/>
    <w:uiPriority w:val="22"/>
    <w:rPr>
      <w:b/>
      <w:bCs/>
    </w:rPr>
  </w:style>
  <w:style w:type="character" w:styleId="12">
    <w:name w:val="Hyperlink"/>
    <w:basedOn w:val="10"/>
    <w:qFormat/>
    <w:uiPriority w:val="0"/>
    <w:rPr>
      <w:color w:val="0000FF"/>
      <w:u w:val="single"/>
    </w:rPr>
  </w:style>
  <w:style w:type="paragraph" w:styleId="13">
    <w:name w:val="List Paragraph"/>
    <w:basedOn w:val="1"/>
    <w:unhideWhenUsed/>
    <w:qFormat/>
    <w:uiPriority w:val="99"/>
    <w:pPr>
      <w:ind w:firstLine="420" w:firstLineChars="200"/>
    </w:pPr>
  </w:style>
  <w:style w:type="character" w:customStyle="1" w:styleId="14">
    <w:name w:val="页眉 Char"/>
    <w:basedOn w:val="10"/>
    <w:link w:val="6"/>
    <w:qFormat/>
    <w:uiPriority w:val="0"/>
    <w:rPr>
      <w:rFonts w:eastAsiaTheme="minorEastAsia" w:cstheme="minorBidi"/>
      <w:kern w:val="2"/>
      <w:sz w:val="18"/>
      <w:szCs w:val="18"/>
    </w:rPr>
  </w:style>
  <w:style w:type="character" w:customStyle="1" w:styleId="15">
    <w:name w:val="页脚 Char"/>
    <w:basedOn w:val="10"/>
    <w:link w:val="5"/>
    <w:qFormat/>
    <w:uiPriority w:val="0"/>
    <w:rPr>
      <w:rFonts w:eastAsiaTheme="minorEastAsia" w:cstheme="minorBidi"/>
      <w:kern w:val="2"/>
      <w:sz w:val="18"/>
      <w:szCs w:val="18"/>
    </w:rPr>
  </w:style>
  <w:style w:type="character" w:customStyle="1" w:styleId="16">
    <w:name w:val="标题 2 Char"/>
    <w:basedOn w:val="10"/>
    <w:link w:val="3"/>
    <w:qFormat/>
    <w:uiPriority w:val="9"/>
    <w:rPr>
      <w:rFonts w:ascii="宋体" w:hAnsi="宋体" w:cs="宋体"/>
      <w:b/>
      <w:bCs/>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1216</Words>
  <Characters>1341</Characters>
  <Lines>1</Lines>
  <Paragraphs>1</Paragraphs>
  <TotalTime>2</TotalTime>
  <ScaleCrop>false</ScaleCrop>
  <LinksUpToDate>false</LinksUpToDate>
  <CharactersWithSpaces>1354</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2017-08-14T06:45:00Z</dcterms:created>
  <dc:creator>PC</dc:creator>
  <cp:lastModifiedBy>Healer_%EE%80%83</cp:lastModifiedBy>
  <dcterms:modified xsi:type="dcterms:W3CDTF">2022-11-09T15:29:15Z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88D058FE756C42418FC83CDE2858B206</vt:lpwstr>
  </property>
</Properties>
</file>