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0"/>
          <w:szCs w:val="40"/>
        </w:rPr>
      </w:pPr>
      <w:bookmarkStart w:id="0" w:name="_GoBack"/>
      <w:bookmarkEnd w:id="0"/>
      <w:r>
        <w:rPr>
          <w:rFonts w:hint="eastAsia"/>
          <w:b/>
          <w:bCs/>
          <w:sz w:val="40"/>
          <w:szCs w:val="40"/>
        </w:rPr>
        <w:t>采购需求书</w:t>
      </w:r>
    </w:p>
    <w:p>
      <w:pPr>
        <w:rPr>
          <w:rFonts w:ascii="仿宋_GB2312" w:hAnsi="仿宋_GB2312" w:eastAsia="仿宋_GB2312" w:cs="仿宋_GB2312"/>
          <w:sz w:val="32"/>
          <w:szCs w:val="32"/>
        </w:rPr>
      </w:pPr>
      <w:r>
        <w:rPr>
          <w:rFonts w:hint="eastAsia" w:ascii="黑体" w:hAnsi="黑体" w:eastAsia="黑体" w:cs="黑体"/>
          <w:sz w:val="32"/>
          <w:szCs w:val="32"/>
        </w:rPr>
        <w:t>一、项目名称：</w:t>
      </w:r>
      <w:r>
        <w:rPr>
          <w:rFonts w:hint="eastAsia" w:ascii="仿宋_GB2312" w:hAnsi="仿宋_GB2312" w:eastAsia="仿宋_GB2312" w:cs="仿宋_GB2312"/>
          <w:sz w:val="32"/>
          <w:szCs w:val="32"/>
        </w:rPr>
        <w:t>2022年中国侨都（江门）国际人力资本产业高峰论坛系列活动</w:t>
      </w:r>
    </w:p>
    <w:p>
      <w:pPr>
        <w:rPr>
          <w:rFonts w:ascii="黑体" w:hAnsi="黑体" w:eastAsia="黑体" w:cs="黑体"/>
          <w:sz w:val="32"/>
          <w:szCs w:val="32"/>
        </w:rPr>
      </w:pPr>
      <w:r>
        <w:rPr>
          <w:rFonts w:hint="eastAsia" w:ascii="黑体" w:hAnsi="黑体" w:eastAsia="黑体" w:cs="黑体"/>
          <w:sz w:val="32"/>
          <w:szCs w:val="32"/>
        </w:rPr>
        <w:t>二、控制价：</w:t>
      </w:r>
      <w:r>
        <w:rPr>
          <w:rFonts w:hint="eastAsia" w:ascii="仿宋_GB2312" w:hAnsi="仿宋_GB2312" w:eastAsia="仿宋_GB2312" w:cs="仿宋_GB2312"/>
          <w:sz w:val="32"/>
          <w:szCs w:val="32"/>
        </w:rPr>
        <w:t>650,000元</w:t>
      </w:r>
    </w:p>
    <w:p>
      <w:pPr>
        <w:rPr>
          <w:rFonts w:ascii="黑体" w:hAnsi="黑体" w:eastAsia="黑体" w:cs="黑体"/>
          <w:sz w:val="32"/>
          <w:szCs w:val="32"/>
        </w:rPr>
      </w:pPr>
      <w:r>
        <w:rPr>
          <w:rFonts w:hint="eastAsia" w:ascii="黑体" w:hAnsi="黑体" w:eastAsia="黑体" w:cs="黑体"/>
          <w:sz w:val="32"/>
          <w:szCs w:val="32"/>
        </w:rPr>
        <w:t>三、项目概况：</w:t>
      </w:r>
      <w:r>
        <w:rPr>
          <w:rFonts w:hint="eastAsia" w:eastAsia="仿宋_GB2312"/>
          <w:color w:val="000000"/>
          <w:sz w:val="32"/>
          <w:szCs w:val="32"/>
        </w:rPr>
        <w:t>为</w:t>
      </w:r>
      <w:r>
        <w:rPr>
          <w:rFonts w:hint="eastAsia" w:eastAsia="仿宋_GB2312"/>
          <w:sz w:val="32"/>
          <w:szCs w:val="32"/>
        </w:rPr>
        <w:t>全面贯彻落实党的十九大和十九届历次全会精神，认真落实省委十二届十五次全会和市第十四届三次全会精神</w:t>
      </w:r>
      <w:r>
        <w:rPr>
          <w:rFonts w:ascii="Times New Roman" w:hAnsi="Times New Roman" w:eastAsia="仿宋_GB2312" w:cs="Times New Roman"/>
          <w:sz w:val="32"/>
          <w:szCs w:val="32"/>
        </w:rPr>
        <w:t>部署要求，深入推进</w:t>
      </w:r>
      <w:r>
        <w:rPr>
          <w:rFonts w:hint="eastAsia" w:ascii="Times New Roman" w:hAnsi="Times New Roman" w:eastAsia="仿宋_GB2312" w:cs="Times New Roman"/>
          <w:sz w:val="32"/>
          <w:szCs w:val="32"/>
        </w:rPr>
        <w:t>“科技引领”“</w:t>
      </w:r>
      <w:r>
        <w:rPr>
          <w:rFonts w:ascii="Times New Roman" w:hAnsi="Times New Roman" w:eastAsia="仿宋_GB2312" w:cs="Times New Roman"/>
          <w:sz w:val="32"/>
          <w:szCs w:val="32"/>
        </w:rPr>
        <w:t>人才倍增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工程，</w:t>
      </w:r>
      <w:r>
        <w:rPr>
          <w:rFonts w:eastAsia="仿宋_GB2312"/>
          <w:color w:val="000000"/>
          <w:sz w:val="32"/>
          <w:szCs w:val="32"/>
        </w:rPr>
        <w:t>聚焦</w:t>
      </w:r>
      <w:r>
        <w:rPr>
          <w:rFonts w:hint="eastAsia" w:eastAsia="仿宋_GB2312"/>
          <w:color w:val="000000"/>
          <w:sz w:val="32"/>
          <w:szCs w:val="32"/>
        </w:rPr>
        <w:t>“港澳融合，侨都赋能”，</w:t>
      </w:r>
      <w:r>
        <w:rPr>
          <w:rFonts w:eastAsia="仿宋_GB2312"/>
          <w:color w:val="000000"/>
          <w:sz w:val="32"/>
          <w:szCs w:val="32"/>
        </w:rPr>
        <w:t>坚定不移实施创新驱动发展和人才引领发展战略，打造粤港澳大湾区人才高地，提升人才</w:t>
      </w:r>
      <w:r>
        <w:rPr>
          <w:rFonts w:hint="eastAsia" w:eastAsia="仿宋_GB2312"/>
          <w:color w:val="000000"/>
          <w:sz w:val="32"/>
          <w:szCs w:val="32"/>
        </w:rPr>
        <w:t>引育</w:t>
      </w:r>
      <w:r>
        <w:rPr>
          <w:rFonts w:eastAsia="仿宋_GB2312"/>
          <w:color w:val="000000"/>
          <w:sz w:val="32"/>
          <w:szCs w:val="32"/>
        </w:rPr>
        <w:t>质量，增强服务发展能力，</w:t>
      </w:r>
      <w:r>
        <w:rPr>
          <w:rFonts w:hint="eastAsia" w:eastAsia="仿宋_GB2312"/>
          <w:color w:val="000000"/>
          <w:sz w:val="32"/>
          <w:szCs w:val="32"/>
        </w:rPr>
        <w:t>搭建我市人力资源服务机构提供相互合作交流、信息共享、资源整合的平台，强化我市人力资源服务业从业人员能力，促进我市人力资源行业高质量发展，为我市社会经济发展提供强有力的人力资源支撑，</w:t>
      </w:r>
      <w:r>
        <w:rPr>
          <w:rFonts w:hint="eastAsia" w:ascii="仿宋_GB2312" w:hAnsi="仿宋_GB2312" w:eastAsia="仿宋_GB2312" w:cs="仿宋_GB2312"/>
          <w:sz w:val="32"/>
          <w:szCs w:val="32"/>
        </w:rPr>
        <w:t>定于2022</w:t>
      </w:r>
      <w:r>
        <w:rPr>
          <w:rFonts w:hint="eastAsia" w:eastAsia="仿宋_GB2312"/>
          <w:color w:val="000000"/>
          <w:sz w:val="32"/>
          <w:szCs w:val="32"/>
        </w:rPr>
        <w:t>年9月-12月举办</w:t>
      </w:r>
      <w:r>
        <w:rPr>
          <w:rFonts w:hint="eastAsia" w:ascii="仿宋_GB2312" w:hAnsi="仿宋_GB2312" w:eastAsia="仿宋_GB2312" w:cs="仿宋_GB2312"/>
          <w:sz w:val="32"/>
          <w:szCs w:val="32"/>
        </w:rPr>
        <w:t>2022年中国侨都（江门）国际人力资本产业高峰论坛系列活动。</w:t>
      </w:r>
    </w:p>
    <w:p>
      <w:pPr>
        <w:rPr>
          <w:rFonts w:ascii="黑体" w:hAnsi="黑体" w:eastAsia="黑体" w:cs="黑体"/>
          <w:sz w:val="32"/>
          <w:szCs w:val="32"/>
        </w:rPr>
      </w:pPr>
      <w:r>
        <w:rPr>
          <w:rFonts w:hint="eastAsia" w:ascii="黑体" w:hAnsi="黑体" w:eastAsia="黑体" w:cs="黑体"/>
          <w:sz w:val="32"/>
          <w:szCs w:val="32"/>
        </w:rPr>
        <w:t>四、项目清单（含项目内容、项目说明）</w:t>
      </w:r>
    </w:p>
    <w:tbl>
      <w:tblPr>
        <w:tblStyle w:val="9"/>
        <w:tblW w:w="94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1585"/>
        <w:gridCol w:w="6"/>
        <w:gridCol w:w="1359"/>
        <w:gridCol w:w="5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60" w:type="dxa"/>
            <w:tcBorders>
              <w:tl2br w:val="nil"/>
              <w:tr2bl w:val="nil"/>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序号</w:t>
            </w:r>
          </w:p>
        </w:tc>
        <w:tc>
          <w:tcPr>
            <w:tcW w:w="2950" w:type="dxa"/>
            <w:gridSpan w:val="3"/>
            <w:tcBorders>
              <w:tl2br w:val="nil"/>
              <w:tr2bl w:val="nil"/>
            </w:tcBorders>
            <w:shd w:val="clear" w:color="auto" w:fill="D9D9D9"/>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项目内容</w:t>
            </w:r>
          </w:p>
        </w:tc>
        <w:tc>
          <w:tcPr>
            <w:tcW w:w="5610" w:type="dxa"/>
            <w:tcBorders>
              <w:tl2br w:val="nil"/>
              <w:tr2bl w:val="nil"/>
            </w:tcBorders>
            <w:shd w:val="clear" w:color="auto" w:fill="D9D9D9"/>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585"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宣传发动</w:t>
            </w:r>
          </w:p>
        </w:tc>
        <w:tc>
          <w:tcPr>
            <w:tcW w:w="1365" w:type="dxa"/>
            <w:gridSpan w:val="2"/>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FF0000"/>
                <w:kern w:val="0"/>
                <w:sz w:val="24"/>
              </w:rPr>
              <w:t>活动邀约</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配合市人社局联络联系各地级市人社局代表、省内外人力资源服务机构、产业园和企业、参会嘉宾、行业专家、培训讲师等参会代表，会前做好预对接工作，联络进行宣传发动。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585" w:type="dxa"/>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65"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活动期间邀请2家以上省级媒体、3家以上新媒体对活动进行宣传报道，并在微信、微博等渠道开展宣传。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585" w:type="dxa"/>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65"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稿件撰写</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活动期间对外发布各类新闻稿、消息稿、通讯稿、公示与通知、讲话稿、主持词的撰写一定数量相关稿件；会务材料、培训资料或教材、知识竞赛题库等内部活动相关资料撰写编辑，并按活动时间安排整理成册。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585" w:type="dxa"/>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65"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FF0000"/>
                <w:kern w:val="0"/>
                <w:sz w:val="24"/>
              </w:rPr>
              <w:t>媒体发布</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新媒体内容采编:</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1.高峰论坛活动期间制作一段120秒宣传短视频，其中，需在论坛举办前先行发布一段20秒</w:t>
            </w:r>
            <w:r>
              <w:rPr>
                <w:rFonts w:ascii="仿宋" w:hAnsi="仿宋" w:eastAsia="仿宋" w:cs="仿宋"/>
                <w:color w:val="000000"/>
                <w:kern w:val="0"/>
                <w:sz w:val="24"/>
              </w:rPr>
              <w:t>宣传发动视频</w:t>
            </w:r>
            <w:r>
              <w:rPr>
                <w:rFonts w:hint="eastAsia" w:ascii="仿宋" w:hAnsi="仿宋" w:eastAsia="仿宋" w:cs="仿宋"/>
                <w:color w:val="000000"/>
                <w:kern w:val="0"/>
                <w:sz w:val="24"/>
              </w:rPr>
              <w:t>，在国内主流网站发布3篇以上活动相关内容；</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2.“人力资源菁英培训班”、强基赋能培训活动期间在国内主流网站发布15篇以上活动相关内容；</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3.人力资源知识竞赛期间制作一段30秒宣传短视频，在国内主流网站发布3篇以上活动相关内容。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1591" w:type="dxa"/>
            <w:gridSpan w:val="2"/>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项目安排</w:t>
            </w:r>
          </w:p>
        </w:tc>
        <w:tc>
          <w:tcPr>
            <w:tcW w:w="1359"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项目安排</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1.负责组织实施2022年中国侨都（江门）国际人力资本产业高峰论坛有关事宜；</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负责邀请国内人力资源领域研究专家、演讲嘉宾（副部级以上）、省内外知名人力资源服务机构代表、重点企业代表、企业人力资源管理者代表、省内人力资源服务产业园参加活动，其中，要邀请2位国内人力资源领域研究专家或副部级领导以上作主旨演讲和3-4位行业专家（其中1-2名国际、港澳、侨资人力资源机构总监或相关协会领导）专题发言并参与活动当天举办的圆桌论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7"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负责组织举办“人力资源菁英培训班”和举办不少于7期强基赋能培训，并负责制定紧紧围绕企业人力资源管理实际需求，设置宏观形势与政策、人力资源规划、人力资源市场拓展、招聘与人才配置管理等基础课程作为培训内容；</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人力资源菁英培训班”邀请高校知名教授、实战专家、人力资源服务行业精英等面授基础理论、实战操作技能等课程（授课地点应分别安排在江门市内和市外），强基赋能培训活动要结合需求实际安排相应专家授课；</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3.“人力资源菁英培训班”需要进行外出考察与培训，选择知名企业、人力资源服务机构或学员企业进行参访交流与实地案例学习，组织游学、拓展训练；</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4.“人力资源菁英培训班”需通过举办圆桌会议、论坛、讲座、沙龙等活动形式，邀请知名企业家、人力资源服务机构负责人等参加，交流分享经验，拓宽信息和资源渠道，搭建对接合作平台；</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5.“人力资源菁英培训班”需邀请我市重点企业负责企业人力资源方面的副总或总监，我市人力资源服务行业重点机构总经理参加，旨在加强我市人力资源服务业人员“菁英”培训。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负责筹备举办第二届江门市人力资源知识竞赛，包含初赛、</w:t>
            </w:r>
            <w:r>
              <w:rPr>
                <w:rFonts w:hint="eastAsia" w:ascii="仿宋" w:hAnsi="仿宋" w:eastAsia="仿宋" w:cs="仿宋"/>
                <w:color w:val="000000"/>
                <w:kern w:val="0"/>
                <w:sz w:val="24"/>
                <w:lang w:eastAsia="zh-CN"/>
              </w:rPr>
              <w:t>决赛</w:t>
            </w:r>
            <w:r>
              <w:rPr>
                <w:rFonts w:hint="eastAsia" w:ascii="仿宋" w:hAnsi="仿宋" w:eastAsia="仿宋" w:cs="仿宋"/>
                <w:color w:val="000000"/>
                <w:kern w:val="0"/>
                <w:sz w:val="24"/>
              </w:rPr>
              <w:t>，准备竞赛所需场地、竞赛物资、物料、主持等。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w:t>
            </w:r>
          </w:p>
        </w:tc>
        <w:tc>
          <w:tcPr>
            <w:tcW w:w="1591" w:type="dxa"/>
            <w:gridSpan w:val="2"/>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组织实施</w:t>
            </w:r>
          </w:p>
        </w:tc>
        <w:tc>
          <w:tcPr>
            <w:tcW w:w="1359"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人员食宿</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具体人数根据实际项目数量和专家人数、工作人员确定，包含参会人员住宿安排和费用支出。其中，高峰论坛包含并不限于活动举办前一天的晚餐和住宿（不</w:t>
            </w:r>
            <w:r>
              <w:rPr>
                <w:rFonts w:hint="eastAsia" w:ascii="仿宋" w:hAnsi="仿宋" w:eastAsia="仿宋" w:cs="仿宋"/>
                <w:color w:val="000000"/>
                <w:kern w:val="0"/>
                <w:sz w:val="24"/>
                <w:lang w:eastAsia="zh-CN"/>
              </w:rPr>
              <w:t>多</w:t>
            </w:r>
            <w:r>
              <w:rPr>
                <w:rFonts w:hint="eastAsia" w:ascii="仿宋" w:hAnsi="仿宋" w:eastAsia="仿宋" w:cs="仿宋"/>
                <w:color w:val="000000"/>
                <w:kern w:val="0"/>
                <w:sz w:val="24"/>
              </w:rPr>
              <w:t>于</w:t>
            </w:r>
            <w:r>
              <w:rPr>
                <w:rFonts w:hint="eastAsia" w:ascii="仿宋" w:hAnsi="仿宋" w:eastAsia="仿宋" w:cs="仿宋"/>
                <w:color w:val="000000"/>
                <w:kern w:val="0"/>
                <w:sz w:val="24"/>
                <w:lang w:val="en-US" w:eastAsia="zh-CN"/>
              </w:rPr>
              <w:t>30</w:t>
            </w:r>
            <w:r>
              <w:rPr>
                <w:rFonts w:hint="eastAsia" w:ascii="仿宋" w:hAnsi="仿宋" w:eastAsia="仿宋" w:cs="仿宋"/>
                <w:color w:val="000000"/>
                <w:kern w:val="0"/>
                <w:sz w:val="24"/>
              </w:rPr>
              <w:t>人）、活动</w:t>
            </w:r>
            <w:r>
              <w:rPr>
                <w:rFonts w:hint="eastAsia" w:ascii="仿宋" w:hAnsi="仿宋" w:eastAsia="仿宋" w:cs="仿宋"/>
                <w:color w:val="000000"/>
                <w:kern w:val="0"/>
                <w:sz w:val="24"/>
                <w:lang w:val="en-US" w:eastAsia="zh-CN"/>
              </w:rPr>
              <w:t>第一</w:t>
            </w:r>
            <w:r>
              <w:rPr>
                <w:rFonts w:hint="eastAsia" w:ascii="仿宋" w:hAnsi="仿宋" w:eastAsia="仿宋" w:cs="仿宋"/>
                <w:color w:val="000000"/>
                <w:kern w:val="0"/>
                <w:sz w:val="24"/>
              </w:rPr>
              <w:t>天自助午餐（不多于</w:t>
            </w:r>
            <w:r>
              <w:rPr>
                <w:rFonts w:hint="eastAsia" w:ascii="仿宋" w:hAnsi="仿宋" w:eastAsia="仿宋" w:cs="仿宋"/>
                <w:color w:val="000000"/>
                <w:kern w:val="0"/>
                <w:sz w:val="24"/>
                <w:lang w:val="en-US" w:eastAsia="zh-CN"/>
              </w:rPr>
              <w:t>10</w:t>
            </w:r>
            <w:r>
              <w:rPr>
                <w:rFonts w:hint="eastAsia" w:ascii="仿宋" w:hAnsi="仿宋" w:eastAsia="仿宋" w:cs="仿宋"/>
                <w:color w:val="000000"/>
                <w:kern w:val="0"/>
                <w:sz w:val="24"/>
              </w:rPr>
              <w:t>0人）、晚餐（</w:t>
            </w:r>
            <w:r>
              <w:rPr>
                <w:rFonts w:hint="eastAsia" w:ascii="仿宋" w:hAnsi="仿宋" w:eastAsia="仿宋" w:cs="仿宋"/>
                <w:color w:val="000000"/>
                <w:kern w:val="0"/>
                <w:sz w:val="24"/>
                <w:lang w:val="en-US" w:eastAsia="zh-CN"/>
              </w:rPr>
              <w:t>自助晚餐，不多于100人；</w:t>
            </w:r>
            <w:r>
              <w:rPr>
                <w:rFonts w:hint="eastAsia" w:ascii="仿宋" w:hAnsi="仿宋" w:eastAsia="仿宋" w:cs="仿宋"/>
                <w:color w:val="000000"/>
                <w:kern w:val="0"/>
                <w:sz w:val="24"/>
              </w:rPr>
              <w:t>围餐，不少于40人）</w:t>
            </w:r>
            <w:r>
              <w:rPr>
                <w:rFonts w:hint="eastAsia" w:ascii="仿宋" w:hAnsi="仿宋" w:eastAsia="仿宋" w:cs="仿宋"/>
                <w:color w:val="000000"/>
                <w:kern w:val="0"/>
                <w:sz w:val="24"/>
                <w:lang w:val="en-US" w:eastAsia="zh-CN"/>
              </w:rPr>
              <w:t>活动第二天</w:t>
            </w:r>
            <w:r>
              <w:rPr>
                <w:rFonts w:hint="eastAsia" w:ascii="仿宋" w:hAnsi="仿宋" w:eastAsia="仿宋" w:cs="仿宋"/>
                <w:color w:val="000000"/>
                <w:kern w:val="0"/>
                <w:sz w:val="24"/>
              </w:rPr>
              <w:t>午餐</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围餐</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不多于60人</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如因疫情防控原因，人数受限，按实际人数进行相关费用结算；“人力资源菁英培训班”根据活动安排，包括并不限于外出培训活动（超过1天）的早餐、午餐、晚餐（不少于35人，其中学员30人，工作人员5人）以及有关人员住宿（不少于35人，其中学员30人，工作人员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高峰论坛实施</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筹备、组织、落实主题大会、圆桌论坛以及有关活动启动仪式，包括论坛的策划方案、流程梳理、主讲嘉宾邀请、各种资料的编印和会议物料的准备等，会中过程组织监控、会后总结。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“人力资源菁英培训班”及强基赋能培训实施</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负责组织开展</w:t>
            </w:r>
            <w:r>
              <w:rPr>
                <w:rFonts w:hint="eastAsia" w:ascii="仿宋" w:hAnsi="仿宋" w:eastAsia="仿宋" w:cs="仿宋"/>
                <w:color w:val="000000"/>
                <w:kern w:val="0"/>
                <w:sz w:val="24"/>
              </w:rPr>
              <w:t>“人力资源菁英培训班”</w:t>
            </w:r>
            <w:r>
              <w:rPr>
                <w:rFonts w:hint="eastAsia" w:ascii="仿宋" w:hAnsi="仿宋" w:eastAsia="仿宋" w:cs="仿宋"/>
                <w:color w:val="000000"/>
                <w:kern w:val="0"/>
                <w:sz w:val="24"/>
                <w:lang w:val="en-US" w:eastAsia="zh-CN"/>
              </w:rPr>
              <w:t>,包括但不限于培训</w:t>
            </w:r>
            <w:r>
              <w:rPr>
                <w:rFonts w:hint="eastAsia" w:ascii="仿宋" w:hAnsi="仿宋" w:eastAsia="仿宋" w:cs="仿宋"/>
                <w:color w:val="000000"/>
                <w:kern w:val="0"/>
                <w:sz w:val="24"/>
              </w:rPr>
              <w:t>实施方案</w:t>
            </w:r>
            <w:r>
              <w:rPr>
                <w:rFonts w:hint="eastAsia" w:ascii="仿宋" w:hAnsi="仿宋" w:eastAsia="仿宋" w:cs="仿宋"/>
                <w:color w:val="000000"/>
                <w:kern w:val="0"/>
                <w:sz w:val="24"/>
                <w:lang w:eastAsia="zh-CN"/>
              </w:rPr>
              <w:t>草拟</w:t>
            </w:r>
            <w:r>
              <w:rPr>
                <w:rFonts w:hint="eastAsia" w:ascii="仿宋" w:hAnsi="仿宋" w:eastAsia="仿宋" w:cs="仿宋"/>
                <w:color w:val="000000"/>
                <w:kern w:val="0"/>
                <w:sz w:val="24"/>
              </w:rPr>
              <w:t>、参训人员名单</w:t>
            </w:r>
            <w:r>
              <w:rPr>
                <w:rFonts w:hint="eastAsia" w:ascii="仿宋" w:hAnsi="仿宋" w:eastAsia="仿宋" w:cs="仿宋"/>
                <w:color w:val="000000"/>
                <w:kern w:val="0"/>
                <w:sz w:val="24"/>
                <w:lang w:eastAsia="zh-CN"/>
              </w:rPr>
              <w:t>收集、</w:t>
            </w:r>
            <w:r>
              <w:rPr>
                <w:rFonts w:hint="eastAsia" w:ascii="仿宋" w:hAnsi="仿宋" w:eastAsia="仿宋" w:cs="仿宋"/>
                <w:color w:val="000000"/>
                <w:kern w:val="0"/>
                <w:sz w:val="24"/>
              </w:rPr>
              <w:t>培训课程设计和安排、培训资料编印、会议物料、场地租赁和授课专家邀请（授课师资中，高校知名教授、有关行业专家、企业负责人所占比例不低于70%，整体名单需要经市人力资源和社会保障局确认并同意。）</w:t>
            </w:r>
            <w:r>
              <w:rPr>
                <w:rFonts w:hint="eastAsia" w:ascii="仿宋" w:hAnsi="仿宋" w:eastAsia="仿宋" w:cs="仿宋"/>
                <w:color w:val="000000"/>
                <w:kern w:val="0"/>
                <w:sz w:val="24"/>
                <w:lang w:eastAsia="zh-CN"/>
              </w:rPr>
              <w:t>、参观调研以及培训</w:t>
            </w:r>
            <w:r>
              <w:rPr>
                <w:rFonts w:hint="eastAsia" w:ascii="仿宋" w:hAnsi="仿宋" w:eastAsia="仿宋" w:cs="仿宋"/>
                <w:color w:val="000000"/>
                <w:kern w:val="0"/>
                <w:sz w:val="24"/>
              </w:rPr>
              <w:t>有关费用支出等；</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2.“人力资源菁英培训班”集中授课时间累计不少于50学时，组织参观考察类活动不少于3次，组织对接交流类活动不少于4场次。学制一般为2-3个月，集中授课时间原则上连续安排；</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3.“人力资源菁英培训班”部分授课（包括活动和交流）需人社部门工作人员参与，进行监督和效果评估，并负责工作人员全程费用支出；所有培训过程须组织监控录像备存，做好相关培训组织管理工作。</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4.牵头做好各市区开展人力资源服务业强基赋能培训活动，包括邀请讲师授课、课酬支付、培训物资准备等；</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r>
              <w:rPr>
                <w:rFonts w:hint="eastAsia" w:ascii="仿宋" w:hAnsi="仿宋" w:eastAsia="仿宋" w:cs="仿宋"/>
                <w:color w:val="000000"/>
                <w:kern w:val="0"/>
                <w:sz w:val="24"/>
                <w:lang w:eastAsia="zh-CN"/>
              </w:rPr>
              <w:t>如疫情防控形势严峻，</w:t>
            </w:r>
            <w:r>
              <w:rPr>
                <w:rFonts w:hint="eastAsia" w:ascii="仿宋" w:hAnsi="仿宋" w:eastAsia="仿宋" w:cs="仿宋"/>
                <w:color w:val="000000"/>
                <w:kern w:val="0"/>
                <w:sz w:val="24"/>
              </w:rPr>
              <w:t>承办机构需相应筹备线上培训课程和对接交流活动，相关费用按实际进行结算。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知识竞赛</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实施</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rPr>
              <w:t>筹备、开展人力资源知识竞赛（含初赛和决赛），包括</w:t>
            </w:r>
            <w:r>
              <w:rPr>
                <w:rFonts w:hint="eastAsia" w:ascii="仿宋" w:hAnsi="仿宋" w:eastAsia="仿宋" w:cs="仿宋"/>
                <w:color w:val="000000"/>
                <w:kern w:val="0"/>
                <w:sz w:val="24"/>
                <w:lang w:eastAsia="zh-CN"/>
              </w:rPr>
              <w:t>但不限于</w:t>
            </w:r>
            <w:r>
              <w:rPr>
                <w:rFonts w:hint="eastAsia" w:ascii="仿宋" w:hAnsi="仿宋" w:eastAsia="仿宋" w:cs="仿宋"/>
                <w:color w:val="000000"/>
                <w:kern w:val="0"/>
                <w:sz w:val="24"/>
              </w:rPr>
              <w:t>实施方案</w:t>
            </w:r>
            <w:r>
              <w:rPr>
                <w:rFonts w:hint="eastAsia" w:ascii="仿宋" w:hAnsi="仿宋" w:eastAsia="仿宋" w:cs="仿宋"/>
                <w:color w:val="000000"/>
                <w:kern w:val="0"/>
                <w:sz w:val="24"/>
                <w:lang w:eastAsia="zh-CN"/>
              </w:rPr>
              <w:t>草拟、</w:t>
            </w:r>
            <w:r>
              <w:rPr>
                <w:rFonts w:hint="eastAsia" w:ascii="仿宋" w:hAnsi="仿宋" w:eastAsia="仿宋" w:cs="仿宋"/>
                <w:color w:val="000000"/>
                <w:kern w:val="0"/>
                <w:sz w:val="24"/>
              </w:rPr>
              <w:t>场地</w:t>
            </w:r>
            <w:r>
              <w:rPr>
                <w:rFonts w:hint="eastAsia" w:ascii="仿宋" w:hAnsi="仿宋" w:eastAsia="仿宋" w:cs="仿宋"/>
                <w:color w:val="000000"/>
                <w:kern w:val="0"/>
                <w:sz w:val="24"/>
                <w:lang w:eastAsia="zh-CN"/>
              </w:rPr>
              <w:t>租赁和</w:t>
            </w:r>
            <w:r>
              <w:rPr>
                <w:rFonts w:hint="eastAsia" w:ascii="仿宋" w:hAnsi="仿宋" w:eastAsia="仿宋" w:cs="仿宋"/>
                <w:color w:val="000000"/>
                <w:kern w:val="0"/>
                <w:sz w:val="24"/>
              </w:rPr>
              <w:t>安排、比赛规则、设备</w:t>
            </w:r>
            <w:r>
              <w:rPr>
                <w:rFonts w:hint="eastAsia" w:ascii="仿宋" w:hAnsi="仿宋" w:eastAsia="仿宋" w:cs="仿宋"/>
                <w:color w:val="000000"/>
                <w:kern w:val="0"/>
                <w:sz w:val="24"/>
                <w:lang w:eastAsia="zh-CN"/>
              </w:rPr>
              <w:t>设施</w:t>
            </w:r>
            <w:r>
              <w:rPr>
                <w:rFonts w:hint="eastAsia" w:ascii="仿宋" w:hAnsi="仿宋" w:eastAsia="仿宋" w:cs="仿宋"/>
                <w:color w:val="000000"/>
                <w:kern w:val="0"/>
                <w:sz w:val="24"/>
              </w:rPr>
              <w:t>准备、人员安排、媒体</w:t>
            </w:r>
            <w:r>
              <w:rPr>
                <w:rFonts w:hint="eastAsia" w:ascii="仿宋" w:hAnsi="仿宋" w:eastAsia="仿宋" w:cs="仿宋"/>
                <w:color w:val="000000"/>
                <w:kern w:val="0"/>
                <w:sz w:val="24"/>
                <w:lang w:eastAsia="zh-CN"/>
              </w:rPr>
              <w:t>宣传</w:t>
            </w:r>
            <w:r>
              <w:rPr>
                <w:rFonts w:hint="eastAsia" w:ascii="仿宋" w:hAnsi="仿宋" w:eastAsia="仿宋" w:cs="仿宋"/>
                <w:color w:val="000000"/>
                <w:kern w:val="0"/>
                <w:sz w:val="24"/>
              </w:rPr>
              <w:t>、</w:t>
            </w:r>
            <w:r>
              <w:rPr>
                <w:rFonts w:hint="eastAsia" w:ascii="仿宋" w:hAnsi="仿宋" w:eastAsia="仿宋" w:cs="仿宋"/>
                <w:color w:val="000000"/>
                <w:kern w:val="0"/>
                <w:sz w:val="24"/>
                <w:lang w:eastAsia="zh-CN"/>
              </w:rPr>
              <w:t>视频</w:t>
            </w:r>
            <w:r>
              <w:rPr>
                <w:rFonts w:hint="eastAsia" w:ascii="仿宋" w:hAnsi="仿宋" w:eastAsia="仿宋" w:cs="仿宋"/>
                <w:color w:val="000000"/>
                <w:kern w:val="0"/>
                <w:sz w:val="24"/>
              </w:rPr>
              <w:t>摄影、资料编印和比赛物料的准备等，</w:t>
            </w:r>
            <w:r>
              <w:rPr>
                <w:rFonts w:hint="eastAsia" w:ascii="仿宋" w:hAnsi="仿宋" w:eastAsia="仿宋" w:cs="仿宋"/>
                <w:color w:val="000000"/>
                <w:kern w:val="0"/>
                <w:sz w:val="24"/>
                <w:lang w:eastAsia="zh-CN"/>
              </w:rPr>
              <w:t>要配合采购方做好</w:t>
            </w:r>
            <w:r>
              <w:rPr>
                <w:rFonts w:hint="eastAsia" w:ascii="仿宋" w:hAnsi="仿宋" w:eastAsia="仿宋" w:cs="仿宋"/>
                <w:color w:val="000000"/>
                <w:kern w:val="0"/>
                <w:sz w:val="24"/>
              </w:rPr>
              <w:t>竞赛过程</w:t>
            </w:r>
            <w:r>
              <w:rPr>
                <w:rFonts w:hint="eastAsia" w:ascii="仿宋" w:hAnsi="仿宋" w:eastAsia="仿宋" w:cs="仿宋"/>
                <w:color w:val="000000"/>
                <w:kern w:val="0"/>
                <w:sz w:val="24"/>
                <w:lang w:eastAsia="zh-CN"/>
              </w:rPr>
              <w:t>的</w:t>
            </w:r>
            <w:r>
              <w:rPr>
                <w:rFonts w:hint="eastAsia" w:ascii="仿宋" w:hAnsi="仿宋" w:eastAsia="仿宋" w:cs="仿宋"/>
                <w:color w:val="000000"/>
                <w:kern w:val="0"/>
                <w:sz w:val="24"/>
              </w:rPr>
              <w:t>监控</w:t>
            </w:r>
            <w:r>
              <w:rPr>
                <w:rFonts w:hint="eastAsia" w:ascii="仿宋" w:hAnsi="仿宋" w:eastAsia="仿宋" w:cs="仿宋"/>
                <w:color w:val="000000"/>
                <w:kern w:val="0"/>
                <w:sz w:val="24"/>
                <w:lang w:eastAsia="zh-CN"/>
              </w:rPr>
              <w:t>和</w:t>
            </w:r>
            <w:r>
              <w:rPr>
                <w:rFonts w:hint="eastAsia" w:ascii="仿宋" w:hAnsi="仿宋" w:eastAsia="仿宋" w:cs="仿宋"/>
                <w:color w:val="000000"/>
                <w:kern w:val="0"/>
                <w:sz w:val="24"/>
              </w:rPr>
              <w:t>赛后总结。</w:t>
            </w:r>
            <w:r>
              <w:rPr>
                <w:rFonts w:hint="eastAsia" w:ascii="仿宋" w:hAnsi="仿宋" w:eastAsia="仿宋" w:cs="仿宋"/>
                <w:color w:val="000000"/>
                <w:kern w:val="0"/>
                <w:sz w:val="24"/>
                <w:lang w:eastAsia="zh-CN"/>
              </w:rPr>
              <w:t>如疫情防控形势严峻，可采取线上</w:t>
            </w:r>
            <w:r>
              <w:rPr>
                <w:rFonts w:hint="eastAsia" w:ascii="仿宋" w:hAnsi="仿宋" w:eastAsia="仿宋" w:cs="仿宋"/>
                <w:color w:val="000000"/>
                <w:kern w:val="0"/>
                <w:sz w:val="24"/>
                <w:lang w:val="en-US" w:eastAsia="zh-CN"/>
              </w:rPr>
              <w:t>+线下形式开展。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场地布置</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高峰论坛：</w:t>
            </w:r>
            <w:r>
              <w:rPr>
                <w:rFonts w:hint="eastAsia" w:ascii="仿宋" w:hAnsi="仿宋" w:eastAsia="仿宋" w:cs="仿宋"/>
                <w:color w:val="000000"/>
                <w:kern w:val="0"/>
                <w:sz w:val="24"/>
                <w:lang w:eastAsia="zh-CN"/>
              </w:rPr>
              <w:t>包括但不限于</w:t>
            </w:r>
            <w:r>
              <w:rPr>
                <w:rFonts w:hint="eastAsia" w:ascii="仿宋" w:hAnsi="仿宋" w:eastAsia="仿宋" w:cs="仿宋"/>
                <w:color w:val="000000"/>
                <w:kern w:val="0"/>
                <w:sz w:val="24"/>
              </w:rPr>
              <w:t>活动场地租赁，场地内外氛围布置（音响、LED、背景板、横幅等）</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设备设施</w:t>
            </w:r>
            <w:r>
              <w:rPr>
                <w:rFonts w:hint="eastAsia" w:ascii="仿宋" w:hAnsi="仿宋" w:eastAsia="仿宋" w:cs="仿宋"/>
                <w:color w:val="000000"/>
                <w:kern w:val="0"/>
                <w:sz w:val="24"/>
                <w:lang w:eastAsia="zh-CN"/>
              </w:rPr>
              <w:t>安排、人员安排</w:t>
            </w:r>
            <w:r>
              <w:rPr>
                <w:rFonts w:hint="eastAsia" w:ascii="仿宋" w:hAnsi="仿宋" w:eastAsia="仿宋" w:cs="仿宋"/>
                <w:color w:val="000000"/>
                <w:kern w:val="0"/>
                <w:sz w:val="24"/>
              </w:rPr>
              <w:t>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“人力资源菁英培训班”及强基赋能培训活动：</w:t>
            </w:r>
            <w:r>
              <w:rPr>
                <w:rFonts w:hint="eastAsia" w:ascii="仿宋" w:hAnsi="仿宋" w:eastAsia="仿宋" w:cs="仿宋"/>
                <w:color w:val="000000"/>
                <w:kern w:val="0"/>
                <w:sz w:val="24"/>
                <w:lang w:eastAsia="zh-CN"/>
              </w:rPr>
              <w:t>包括但不限于</w:t>
            </w:r>
            <w:r>
              <w:rPr>
                <w:rFonts w:hint="eastAsia" w:ascii="仿宋" w:hAnsi="仿宋" w:eastAsia="仿宋" w:cs="仿宋"/>
                <w:color w:val="000000"/>
                <w:kern w:val="0"/>
                <w:sz w:val="24"/>
              </w:rPr>
              <w:t>场地内外氛围布置、讲师课酬、视频直播设备等费用。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1359" w:type="dxa"/>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知识竞赛：</w:t>
            </w:r>
            <w:r>
              <w:rPr>
                <w:rFonts w:hint="eastAsia" w:ascii="仿宋" w:hAnsi="仿宋" w:eastAsia="仿宋" w:cs="仿宋"/>
                <w:color w:val="000000"/>
                <w:kern w:val="0"/>
                <w:sz w:val="24"/>
                <w:lang w:eastAsia="zh-CN"/>
              </w:rPr>
              <w:t>包括但不限于</w:t>
            </w:r>
            <w:r>
              <w:rPr>
                <w:rFonts w:hint="eastAsia" w:ascii="仿宋" w:hAnsi="仿宋" w:eastAsia="仿宋" w:cs="仿宋"/>
                <w:color w:val="000000"/>
                <w:kern w:val="0"/>
                <w:sz w:val="24"/>
              </w:rPr>
              <w:t>活动场地租赁，场地内外氛围布置（音响、LED、背景板、横幅等）、竞赛设备设施等费用。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1591" w:type="dxa"/>
            <w:gridSpan w:val="2"/>
            <w:vMerge w:val="restart"/>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r>
              <w:rPr>
                <w:rFonts w:hint="eastAsia" w:ascii="仿宋" w:hAnsi="仿宋" w:eastAsia="仿宋" w:cs="仿宋"/>
                <w:color w:val="000000"/>
                <w:kern w:val="0"/>
                <w:sz w:val="24"/>
              </w:rPr>
              <w:t>保障要求</w:t>
            </w:r>
          </w:p>
        </w:tc>
        <w:tc>
          <w:tcPr>
            <w:tcW w:w="1359"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rPr>
            </w:pPr>
            <w:r>
              <w:rPr>
                <w:rFonts w:hint="eastAsia" w:ascii="仿宋" w:hAnsi="仿宋" w:eastAsia="仿宋" w:cs="仿宋"/>
                <w:color w:val="000000"/>
                <w:kern w:val="0"/>
                <w:sz w:val="24"/>
              </w:rPr>
              <w:t>场地要求</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1.高峰论坛：需租赁面积不小于500㎡的会场，住宿和用餐必须安排在会场同一酒店，如因疫情防控原因，人数受限，场地按实际人数和举办规模进行租赁，确保论坛顺利举办；</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2.“人力资源菁英培训班”：住宿和用餐酒店，根据授课和疫情防控要求租赁可同时容纳60人以上授课的会场。或因疫情防控要求不能进行线下培训活动的则需提供线上直播的场地和设备设施；</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3.强基赋能培训活动：配合各县（市、区）根据授课和疫情防控要求提供相应的授课场地；</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4.知识竞赛：根据竞赛参与人员、竞赛设备和疫情防控要求租赁或借用相关场所。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p>
        </w:tc>
        <w:tc>
          <w:tcPr>
            <w:tcW w:w="1359"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外聘人员</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包括聘请所有系列活动的主持人、礼仪、安保、有关工作人员等。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p>
        </w:tc>
        <w:tc>
          <w:tcPr>
            <w:tcW w:w="1359"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嘉宾邀请</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根据活动方案邀请专家及有关部门，并负责专家、授课老师、主持人、媒体等人员劳务费用支出，同时解决邀请的专家和授课老师的往返交通和食宿问题。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w:t>
            </w:r>
          </w:p>
        </w:tc>
        <w:tc>
          <w:tcPr>
            <w:tcW w:w="1591" w:type="dxa"/>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p>
        </w:tc>
        <w:tc>
          <w:tcPr>
            <w:tcW w:w="1359"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后勤保障</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活动过程中需求的交通用车、会务接待、资料打印、场地X展架展示、茶水、疫情防控物资、核酸检测费用等，负责配合完成组织单位安排属于活动举办相关安排。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60" w:type="dxa"/>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w:t>
            </w:r>
          </w:p>
        </w:tc>
        <w:tc>
          <w:tcPr>
            <w:tcW w:w="1591" w:type="dxa"/>
            <w:gridSpan w:val="2"/>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论坛直播</w:t>
            </w:r>
          </w:p>
        </w:tc>
        <w:tc>
          <w:tcPr>
            <w:tcW w:w="1359" w:type="dxa"/>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直播项目</w:t>
            </w:r>
          </w:p>
        </w:tc>
        <w:tc>
          <w:tcPr>
            <w:tcW w:w="5610" w:type="dxa"/>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1、安排专业的直播设备（两机位4K高清），及专业的直播团队（不少于4人）对论坛全程进行视频直播。</w:t>
            </w:r>
          </w:p>
          <w:p>
            <w:pPr>
              <w:pStyle w:val="2"/>
              <w:ind w:firstLine="0"/>
              <w:rPr>
                <w:rFonts w:ascii="仿宋" w:hAnsi="仿宋" w:eastAsia="仿宋" w:cs="仿宋"/>
                <w:color w:val="000000"/>
                <w:sz w:val="24"/>
              </w:rPr>
            </w:pPr>
            <w:r>
              <w:rPr>
                <w:rFonts w:ascii="仿宋" w:hAnsi="仿宋" w:eastAsia="仿宋" w:cs="仿宋"/>
                <w:color w:val="000000"/>
                <w:sz w:val="24"/>
              </w:rPr>
              <w:t>2</w:t>
            </w:r>
            <w:r>
              <w:rPr>
                <w:rFonts w:hint="eastAsia" w:ascii="仿宋" w:hAnsi="仿宋" w:eastAsia="仿宋" w:cs="仿宋"/>
                <w:color w:val="000000"/>
                <w:sz w:val="24"/>
              </w:rPr>
              <w:t>、设计直播宣传图片等，并进行全网宣传预热，确保收看直播的人数和效果。</w:t>
            </w:r>
          </w:p>
          <w:p>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3、</w:t>
            </w:r>
            <w:r>
              <w:rPr>
                <w:rFonts w:hint="eastAsia" w:ascii="仿宋" w:hAnsi="仿宋" w:eastAsia="仿宋" w:cs="仿宋"/>
                <w:b w:val="0"/>
                <w:bCs w:val="0"/>
                <w:color w:val="000000"/>
                <w:kern w:val="0"/>
                <w:sz w:val="24"/>
              </w:rPr>
              <w:t>此项仅在疫情影响下，</w:t>
            </w:r>
            <w:r>
              <w:rPr>
                <w:rFonts w:hint="eastAsia" w:ascii="仿宋" w:hAnsi="仿宋" w:eastAsia="仿宋" w:cs="仿宋"/>
                <w:color w:val="000000"/>
                <w:sz w:val="24"/>
              </w:rPr>
              <w:t>如果线下不能举办将采用线上举办时产生。</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以上项目所产生费用均为项目全包费用（含税）。</w:t>
      </w:r>
    </w:p>
    <w:p>
      <w:pPr>
        <w:numPr>
          <w:ilvl w:val="255"/>
          <w:numId w:val="0"/>
        </w:numPr>
        <w:rPr>
          <w:rFonts w:ascii="黑体" w:hAnsi="黑体" w:eastAsia="黑体" w:cs="黑体"/>
          <w:sz w:val="32"/>
          <w:szCs w:val="32"/>
        </w:rPr>
      </w:pPr>
      <w:r>
        <w:rPr>
          <w:rFonts w:hint="eastAsia" w:ascii="黑体" w:hAnsi="黑体" w:eastAsia="黑体" w:cs="黑体"/>
          <w:sz w:val="32"/>
          <w:szCs w:val="32"/>
        </w:rPr>
        <w:t>五、项目实施地点、服务期限</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地点：广东省江门市</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服务期限：期限由中标人和采购人在签订合同时约定。</w:t>
      </w:r>
    </w:p>
    <w:p>
      <w:pPr>
        <w:numPr>
          <w:ilvl w:val="0"/>
          <w:numId w:val="1"/>
        </w:numPr>
        <w:rPr>
          <w:rFonts w:ascii="黑体" w:hAnsi="黑体" w:eastAsia="黑体" w:cs="黑体"/>
          <w:sz w:val="32"/>
          <w:szCs w:val="32"/>
        </w:rPr>
      </w:pPr>
      <w:r>
        <w:rPr>
          <w:rFonts w:hint="eastAsia" w:ascii="黑体" w:hAnsi="黑体" w:eastAsia="黑体" w:cs="黑体"/>
          <w:sz w:val="32"/>
          <w:szCs w:val="32"/>
        </w:rPr>
        <w:t>对响应人的资格条件要求</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应当是具有独立承担民事责任能力的在中华人民共和国境内注册的法人或者其他组织；（提供有效的营业执照或相关单位登记证书复印件。若分支机构参与采购的，应当取得总公司（总所）出具给分支机构的有效授权，并同时提供总公司（总所）的营业执照、总公司（总所）出具给分支机构的有效授权书及分支机构的营业执照复印件。已取得总公司（总所）授权的，总公司（总所）取得的相关资质证书对分支机构有效，法律法规或者行业另有规定的除外）</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（二）供应商应当具有良好的商业信誉和健全的财务会计制度；（提供2021年度或2022年1月至今任意1个月的财务状况报告或银行出具的资信证明复印件）</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（三）供应商应当具有履行合同所必需的设备和专业技术能力，具有良好的社会信誉及后续服务能力；（提供设备及专业技术能力情况）</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供应商应当有依法缴纳税收和社会保障资金的良好记录；（提供2022年1月至今任意1个月的依法缴纳税收和社会保障资金的相关材料复印件；如依法免税或不需要缴纳社会保障资金的，应当提供相应证明文件复印件）</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（五）供应商在参加采购活动前3年内，在经营活动中没有重大违法记录。 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提供相关承诺函）</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综合评选当日采购人通过“信用中国”网站（www.creditchina.gov.cn）、中国政府采购网（www.ccgp.gov.cn）查询供应商信用记录为准，如相关失信记录已失效，应当提供相应证明文件复印件）</w:t>
      </w:r>
    </w:p>
    <w:p>
      <w:pPr>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（七）本项目不接受联合体、失信被执行人报名，不允许分包、转包。</w:t>
      </w:r>
    </w:p>
    <w:p>
      <w:pPr>
        <w:numPr>
          <w:ilvl w:val="0"/>
          <w:numId w:val="1"/>
        </w:numPr>
        <w:rPr>
          <w:rFonts w:ascii="黑体" w:hAnsi="黑体" w:eastAsia="黑体" w:cs="黑体"/>
          <w:sz w:val="32"/>
          <w:szCs w:val="32"/>
        </w:rPr>
      </w:pPr>
      <w:r>
        <w:rPr>
          <w:rFonts w:hint="eastAsia" w:ascii="黑体" w:hAnsi="黑体" w:eastAsia="黑体" w:cs="黑体"/>
          <w:sz w:val="32"/>
          <w:szCs w:val="32"/>
        </w:rPr>
        <w:t>付款方式</w:t>
      </w:r>
    </w:p>
    <w:p>
      <w:pPr>
        <w:numPr>
          <w:ilvl w:val="255"/>
          <w:numId w:val="0"/>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（一）合同签订生效且收到具体发票票据后的15个工作日内，按照相关资金支出审批程序支付合同总金额的80%给成交供应商；</w:t>
      </w:r>
    </w:p>
    <w:p>
      <w:pPr>
        <w:pStyle w:val="2"/>
        <w:numPr>
          <w:ilvl w:val="255"/>
          <w:numId w:val="0"/>
        </w:numPr>
        <w:ind w:firstLine="640" w:firstLineChars="200"/>
        <w:rPr>
          <w:rFonts w:ascii="仿宋" w:hAnsi="仿宋" w:eastAsia="仿宋" w:cs="仿宋"/>
          <w:sz w:val="32"/>
          <w:szCs w:val="32"/>
        </w:rPr>
      </w:pPr>
      <w:r>
        <w:rPr>
          <w:rFonts w:hint="eastAsia" w:ascii="仿宋" w:hAnsi="仿宋" w:eastAsia="仿宋" w:cs="仿宋"/>
          <w:sz w:val="32"/>
          <w:szCs w:val="32"/>
        </w:rPr>
        <w:t>（二）完成所有服务内容并通过验收后的15个工作日内，将余下款项（合同总金额的20%）按照相关资金支出审批程序一次性支付成交供应商。</w:t>
      </w:r>
    </w:p>
    <w:p>
      <w:pPr>
        <w:widowControl/>
        <w:jc w:val="left"/>
        <w:rPr>
          <w:rFonts w:ascii="黑体" w:hAnsi="黑体" w:eastAsia="黑体" w:cs="黑体"/>
          <w:sz w:val="32"/>
          <w:szCs w:val="32"/>
        </w:rPr>
      </w:pPr>
      <w:r>
        <w:rPr>
          <w:rFonts w:ascii="黑体" w:hAnsi="黑体" w:eastAsia="黑体" w:cs="黑体"/>
          <w:sz w:val="32"/>
          <w:szCs w:val="32"/>
        </w:rPr>
        <w:br w:type="page"/>
      </w:r>
    </w:p>
    <w:p>
      <w:pPr>
        <w:numPr>
          <w:ilvl w:val="0"/>
          <w:numId w:val="1"/>
        </w:numPr>
        <w:rPr>
          <w:rFonts w:ascii="黑体" w:hAnsi="黑体" w:eastAsia="黑体" w:cs="黑体"/>
          <w:sz w:val="32"/>
          <w:szCs w:val="32"/>
        </w:rPr>
      </w:pPr>
      <w:r>
        <w:rPr>
          <w:rFonts w:hint="eastAsia" w:ascii="黑体" w:hAnsi="黑体" w:eastAsia="黑体" w:cs="黑体"/>
          <w:sz w:val="32"/>
          <w:szCs w:val="32"/>
        </w:rPr>
        <w:t>评分办法</w:t>
      </w:r>
    </w:p>
    <w:tbl>
      <w:tblPr>
        <w:tblStyle w:val="9"/>
        <w:tblW w:w="9403" w:type="dxa"/>
        <w:tblInd w:w="-298" w:type="dxa"/>
        <w:tblLayout w:type="fixed"/>
        <w:tblCellMar>
          <w:top w:w="0" w:type="dxa"/>
          <w:left w:w="0" w:type="dxa"/>
          <w:bottom w:w="0" w:type="dxa"/>
          <w:right w:w="0" w:type="dxa"/>
        </w:tblCellMar>
      </w:tblPr>
      <w:tblGrid>
        <w:gridCol w:w="1215"/>
        <w:gridCol w:w="2055"/>
        <w:gridCol w:w="6133"/>
      </w:tblGrid>
      <w:tr>
        <w:tblPrEx>
          <w:tblCellMar>
            <w:top w:w="0" w:type="dxa"/>
            <w:left w:w="0" w:type="dxa"/>
            <w:bottom w:w="0" w:type="dxa"/>
            <w:right w:w="0" w:type="dxa"/>
          </w:tblCellMar>
        </w:tblPrEx>
        <w:trPr>
          <w:trHeight w:val="866" w:hRule="atLeast"/>
        </w:trPr>
        <w:tc>
          <w:tcPr>
            <w:tcW w:w="121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评分项目</w:t>
            </w:r>
          </w:p>
        </w:tc>
        <w:tc>
          <w:tcPr>
            <w:tcW w:w="205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评审因素</w:t>
            </w:r>
          </w:p>
        </w:tc>
        <w:tc>
          <w:tcPr>
            <w:tcW w:w="613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评审指标</w:t>
            </w:r>
          </w:p>
        </w:tc>
      </w:tr>
      <w:tr>
        <w:tblPrEx>
          <w:tblCellMar>
            <w:top w:w="0" w:type="dxa"/>
            <w:left w:w="0" w:type="dxa"/>
            <w:bottom w:w="0" w:type="dxa"/>
            <w:right w:w="0" w:type="dxa"/>
          </w:tblCellMar>
        </w:tblPrEx>
        <w:trPr>
          <w:trHeight w:val="473" w:hRule="atLeast"/>
        </w:trPr>
        <w:tc>
          <w:tcPr>
            <w:tcW w:w="1215" w:type="dxa"/>
            <w:vMerge w:val="restart"/>
            <w:tcBorders>
              <w:top w:val="single" w:color="000000" w:sz="4" w:space="0"/>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商务评分 （</w:t>
            </w:r>
            <w:r>
              <w:rPr>
                <w:rFonts w:ascii="宋体" w:hAnsi="宋体" w:eastAsia="宋体" w:cs="宋体"/>
                <w:color w:val="000000"/>
                <w:kern w:val="0"/>
                <w:sz w:val="20"/>
                <w:szCs w:val="20"/>
              </w:rPr>
              <w:t>60</w:t>
            </w:r>
            <w:r>
              <w:rPr>
                <w:rFonts w:hint="eastAsia" w:ascii="宋体" w:hAnsi="宋体" w:eastAsia="宋体" w:cs="宋体"/>
                <w:color w:val="000000"/>
                <w:kern w:val="0"/>
                <w:sz w:val="20"/>
                <w:szCs w:val="20"/>
              </w:rPr>
              <w:t>分）</w:t>
            </w:r>
          </w:p>
        </w:tc>
        <w:tc>
          <w:tcPr>
            <w:tcW w:w="2055" w:type="dxa"/>
            <w:vMerge w:val="restart"/>
            <w:tcBorders>
              <w:top w:val="single" w:color="000000" w:sz="4" w:space="0"/>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服务资源对接支撑能力（</w:t>
            </w:r>
            <w:r>
              <w:rPr>
                <w:rFonts w:ascii="宋体" w:hAnsi="宋体" w:eastAsia="宋体" w:cs="宋体"/>
                <w:color w:val="000000"/>
                <w:kern w:val="0"/>
                <w:sz w:val="20"/>
                <w:szCs w:val="20"/>
              </w:rPr>
              <w:t>30</w:t>
            </w:r>
            <w:r>
              <w:rPr>
                <w:rFonts w:hint="eastAsia" w:ascii="宋体" w:hAnsi="宋体" w:eastAsia="宋体" w:cs="宋体"/>
                <w:color w:val="000000"/>
                <w:kern w:val="0"/>
                <w:sz w:val="20"/>
                <w:szCs w:val="20"/>
              </w:rPr>
              <w:t>分）</w:t>
            </w: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widowControl/>
              <w:spacing w:line="360" w:lineRule="auto"/>
              <w:jc w:val="left"/>
              <w:textAlignment w:val="center"/>
              <w:rPr>
                <w:rFonts w:ascii="宋体" w:hAnsi="宋体" w:eastAsia="宋体" w:cs="宋体"/>
                <w:color w:val="000000"/>
                <w:kern w:val="0"/>
                <w:sz w:val="20"/>
                <w:szCs w:val="20"/>
              </w:rPr>
            </w:pPr>
            <w:r>
              <w:rPr>
                <w:rFonts w:hint="eastAsia" w:hAnsi="宋体" w:cs="宋体"/>
                <w:color w:val="000000"/>
                <w:sz w:val="20"/>
                <w:szCs w:val="20"/>
              </w:rPr>
              <w:t>1.响应人曾策划举办过200人以上此类同类项目的论坛的，每成功举办一场得5分，最多得10分，其他或没有的不得分。（</w:t>
            </w:r>
            <w:r>
              <w:rPr>
                <w:rFonts w:hint="eastAsia" w:ascii="宋体" w:hAnsi="宋体" w:eastAsia="宋体" w:cs="宋体"/>
                <w:color w:val="000000"/>
                <w:kern w:val="0"/>
                <w:sz w:val="20"/>
                <w:szCs w:val="20"/>
              </w:rPr>
              <w:t>需提供证明材料（参加人员名单、媒体报道、相关照片或视频等），并加盖响应人单位公章。</w:t>
            </w:r>
            <w:r>
              <w:rPr>
                <w:rFonts w:hint="eastAsia" w:hAnsi="宋体" w:cs="宋体"/>
                <w:color w:val="000000"/>
                <w:sz w:val="20"/>
                <w:szCs w:val="20"/>
              </w:rPr>
              <w:t>）</w:t>
            </w:r>
          </w:p>
        </w:tc>
      </w:tr>
      <w:tr>
        <w:tblPrEx>
          <w:tblCellMar>
            <w:top w:w="0" w:type="dxa"/>
            <w:left w:w="0" w:type="dxa"/>
            <w:bottom w:w="0" w:type="dxa"/>
            <w:right w:w="0" w:type="dxa"/>
          </w:tblCellMar>
        </w:tblPrEx>
        <w:trPr>
          <w:trHeight w:val="473" w:hRule="atLeast"/>
        </w:trPr>
        <w:tc>
          <w:tcPr>
            <w:tcW w:w="1215"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left"/>
              <w:textAlignment w:val="center"/>
            </w:pPr>
          </w:p>
        </w:tc>
        <w:tc>
          <w:tcPr>
            <w:tcW w:w="2055"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left"/>
              <w:textAlignment w:val="center"/>
            </w:pP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2.响应人具有接受过政府部门委托并实际代为策划举办此类同类项目的，得10分，其他或没有的不得分。（需提供与政府部门签署的服务合同（或协议）关键页复印件，并加盖响应人单位公章。）</w:t>
            </w:r>
          </w:p>
        </w:tc>
      </w:tr>
      <w:tr>
        <w:tblPrEx>
          <w:tblCellMar>
            <w:top w:w="0" w:type="dxa"/>
            <w:left w:w="0" w:type="dxa"/>
            <w:bottom w:w="0" w:type="dxa"/>
            <w:right w:w="0" w:type="dxa"/>
          </w:tblCellMar>
        </w:tblPrEx>
        <w:trPr>
          <w:trHeight w:val="473" w:hRule="atLeast"/>
        </w:trPr>
        <w:tc>
          <w:tcPr>
            <w:tcW w:w="1215"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p>
        </w:tc>
        <w:tc>
          <w:tcPr>
            <w:tcW w:w="2055"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3.响应人曾因同类项目的论坛邀约过国内知名专家的，每邀请一位得5分，最多得10分，其他或没有的不得分。（需提供专家名单及合作证明材料，并加盖响应人单位公章。）</w:t>
            </w:r>
          </w:p>
        </w:tc>
      </w:tr>
      <w:tr>
        <w:tblPrEx>
          <w:tblCellMar>
            <w:top w:w="0" w:type="dxa"/>
            <w:left w:w="0" w:type="dxa"/>
            <w:bottom w:w="0" w:type="dxa"/>
            <w:right w:w="0" w:type="dxa"/>
          </w:tblCellMar>
        </w:tblPrEx>
        <w:trPr>
          <w:trHeight w:val="866" w:hRule="atLeast"/>
        </w:trPr>
        <w:tc>
          <w:tcPr>
            <w:tcW w:w="1215"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p>
        </w:tc>
        <w:tc>
          <w:tcPr>
            <w:tcW w:w="2055" w:type="dxa"/>
            <w:vMerge w:val="restart"/>
            <w:tcBorders>
              <w:top w:val="single" w:color="000000" w:sz="4" w:space="0"/>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服务团队人员配备情况（22分）</w:t>
            </w: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widowControl/>
              <w:spacing w:line="360" w:lineRule="auto"/>
              <w:jc w:val="left"/>
              <w:textAlignment w:val="center"/>
            </w:pPr>
            <w:r>
              <w:rPr>
                <w:rFonts w:hint="eastAsia"/>
              </w:rPr>
              <w:t>1.根据响应人拟投入的服务团队负责人，在工作经验、能力水平等方面进行评审：（1）具有本科及以上学位证书的，得2分。（2）具有与项目专业相关的资格证书的，得3分。（3）其他或没有的不得分。本小项最高得分为5分。</w:t>
            </w:r>
          </w:p>
          <w:p>
            <w:pPr>
              <w:pStyle w:val="2"/>
              <w:ind w:firstLine="0"/>
            </w:pPr>
            <w:r>
              <w:rPr>
                <w:rFonts w:hint="eastAsia" w:asciiTheme="minorHAnsi" w:hAnsiTheme="minorHAnsi" w:eastAsiaTheme="minorEastAsia"/>
                <w:kern w:val="2"/>
                <w:sz w:val="21"/>
              </w:rPr>
              <w:t>（需提供相应证明、学位证书、复印件，并加盖响应人单位公章。）</w:t>
            </w:r>
          </w:p>
        </w:tc>
      </w:tr>
      <w:tr>
        <w:tblPrEx>
          <w:tblCellMar>
            <w:top w:w="0" w:type="dxa"/>
            <w:left w:w="0" w:type="dxa"/>
            <w:bottom w:w="0" w:type="dxa"/>
            <w:right w:w="0" w:type="dxa"/>
          </w:tblCellMar>
        </w:tblPrEx>
        <w:trPr>
          <w:trHeight w:val="866" w:hRule="atLeast"/>
        </w:trPr>
        <w:tc>
          <w:tcPr>
            <w:tcW w:w="1215"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p>
        </w:tc>
        <w:tc>
          <w:tcPr>
            <w:tcW w:w="2055"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pStyle w:val="2"/>
              <w:ind w:firstLine="0"/>
              <w:rPr>
                <w:rFonts w:asciiTheme="minorHAnsi" w:hAnsiTheme="minorHAnsi" w:eastAsiaTheme="minorEastAsia"/>
                <w:kern w:val="2"/>
                <w:sz w:val="21"/>
              </w:rPr>
            </w:pPr>
            <w:r>
              <w:rPr>
                <w:rFonts w:hint="eastAsia" w:asciiTheme="minorHAnsi" w:hAnsiTheme="minorHAnsi" w:eastAsiaTheme="minorEastAsia"/>
                <w:kern w:val="2"/>
                <w:sz w:val="21"/>
              </w:rPr>
              <w:t>2、根据响应人拟投入的服务团队成员（含项目经理，不含服务团队负责人，下同），在人员数量、能力水平、活动相关工作经验等方面进行评审：（1）服务团队成员中为响应人的全职工作人员的人员数量应不少于6名，可随时根据采购人需求调配的，得3分，每增加2名增加1分，最高6分，如无配备则不得分。（2）服务团队成员具有大专及以上学历比例不低于50%，得4分，比例每增加10%增加1分，最高为6分。（3）服务团队成员具有相关人才交流、论坛、活动组织经验，且具有相应经验成员比例不低于50%的，得6分，比例每增加10%增加2分，最高为10分。</w:t>
            </w:r>
          </w:p>
          <w:p>
            <w:pPr>
              <w:pStyle w:val="2"/>
              <w:ind w:firstLine="0"/>
              <w:rPr>
                <w:rFonts w:asciiTheme="minorHAnsi" w:hAnsiTheme="minorHAnsi" w:eastAsiaTheme="minorEastAsia"/>
                <w:kern w:val="2"/>
                <w:sz w:val="21"/>
              </w:rPr>
            </w:pPr>
            <w:r>
              <w:rPr>
                <w:rFonts w:hint="eastAsia" w:asciiTheme="minorHAnsi" w:hAnsiTheme="minorHAnsi" w:eastAsiaTheme="minorEastAsia"/>
                <w:kern w:val="2"/>
                <w:sz w:val="21"/>
              </w:rPr>
              <w:t>其他或没有的不得分，本小项最高得分为22分。</w:t>
            </w:r>
          </w:p>
          <w:p>
            <w:pPr>
              <w:pStyle w:val="2"/>
              <w:ind w:firstLine="0"/>
              <w:rPr>
                <w:rFonts w:eastAsiaTheme="minorEastAsia"/>
              </w:rPr>
            </w:pPr>
            <w:r>
              <w:rPr>
                <w:rFonts w:hint="eastAsia" w:asciiTheme="minorHAnsi" w:hAnsiTheme="minorHAnsi" w:eastAsiaTheme="minorEastAsia"/>
                <w:kern w:val="2"/>
                <w:sz w:val="21"/>
              </w:rPr>
              <w:t>（</w:t>
            </w:r>
            <w:r>
              <w:rPr>
                <w:rFonts w:hint="eastAsia" w:hAnsi="宋体" w:cs="宋体"/>
                <w:color w:val="000000"/>
                <w:sz w:val="20"/>
                <w:szCs w:val="20"/>
              </w:rPr>
              <w:t>需提供上述人员的学历证书、相关经验证明（如岗位、资历、经验证明等）</w:t>
            </w:r>
            <w:r>
              <w:rPr>
                <w:rFonts w:hint="eastAsia" w:asciiTheme="minorHAnsi" w:hAnsiTheme="minorHAnsi" w:eastAsiaTheme="minorEastAsia"/>
                <w:kern w:val="2"/>
                <w:sz w:val="21"/>
              </w:rPr>
              <w:t>）</w:t>
            </w:r>
          </w:p>
        </w:tc>
      </w:tr>
      <w:tr>
        <w:tblPrEx>
          <w:tblCellMar>
            <w:top w:w="0" w:type="dxa"/>
            <w:left w:w="0" w:type="dxa"/>
            <w:bottom w:w="0" w:type="dxa"/>
            <w:right w:w="0" w:type="dxa"/>
          </w:tblCellMar>
        </w:tblPrEx>
        <w:trPr>
          <w:trHeight w:val="866" w:hRule="atLeast"/>
        </w:trPr>
        <w:tc>
          <w:tcPr>
            <w:tcW w:w="1215"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财务状况（</w:t>
            </w:r>
            <w:r>
              <w:rPr>
                <w:rFonts w:ascii="宋体" w:hAnsi="宋体" w:eastAsia="宋体" w:cs="宋体"/>
                <w:color w:val="000000"/>
                <w:kern w:val="0"/>
                <w:sz w:val="20"/>
                <w:szCs w:val="20"/>
              </w:rPr>
              <w:t>5分）</w:t>
            </w: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考查、对比响应人2019年、2020年、2</w:t>
            </w:r>
            <w:r>
              <w:rPr>
                <w:rFonts w:ascii="宋体" w:hAnsi="宋体" w:eastAsia="宋体" w:cs="宋体"/>
                <w:color w:val="000000"/>
                <w:kern w:val="0"/>
                <w:sz w:val="20"/>
                <w:szCs w:val="20"/>
              </w:rPr>
              <w:t>021</w:t>
            </w:r>
            <w:r>
              <w:rPr>
                <w:rFonts w:hint="eastAsia" w:ascii="宋体" w:hAnsi="宋体" w:eastAsia="宋体" w:cs="宋体"/>
                <w:color w:val="000000"/>
                <w:kern w:val="0"/>
                <w:sz w:val="20"/>
                <w:szCs w:val="20"/>
              </w:rPr>
              <w:t>年企业财务情况（以响应人2018年、2019年、2</w:t>
            </w:r>
            <w:r>
              <w:rPr>
                <w:rFonts w:ascii="宋体" w:hAnsi="宋体" w:eastAsia="宋体" w:cs="宋体"/>
                <w:color w:val="000000"/>
                <w:kern w:val="0"/>
                <w:sz w:val="20"/>
                <w:szCs w:val="20"/>
              </w:rPr>
              <w:t>020</w:t>
            </w:r>
            <w:r>
              <w:rPr>
                <w:rFonts w:hint="eastAsia" w:ascii="宋体" w:hAnsi="宋体" w:eastAsia="宋体" w:cs="宋体"/>
                <w:color w:val="000000"/>
                <w:kern w:val="0"/>
                <w:sz w:val="20"/>
                <w:szCs w:val="20"/>
              </w:rPr>
              <w:t>年的财务审计报告为依据）：</w:t>
            </w:r>
          </w:p>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优（4-</w:t>
            </w:r>
            <w:r>
              <w:rPr>
                <w:rFonts w:ascii="宋体" w:hAnsi="宋体" w:eastAsia="宋体" w:cs="宋体"/>
                <w:color w:val="000000"/>
                <w:kern w:val="0"/>
                <w:sz w:val="20"/>
                <w:szCs w:val="20"/>
              </w:rPr>
              <w:t>5</w:t>
            </w:r>
            <w:r>
              <w:rPr>
                <w:rFonts w:hint="eastAsia" w:ascii="宋体" w:hAnsi="宋体" w:eastAsia="宋体" w:cs="宋体"/>
                <w:color w:val="000000"/>
                <w:kern w:val="0"/>
                <w:sz w:val="20"/>
                <w:szCs w:val="20"/>
              </w:rPr>
              <w:t>分）：提供3年财务审计报告且3年盈利的；</w:t>
            </w:r>
          </w:p>
          <w:p>
            <w:pPr>
              <w:pStyle w:val="2"/>
              <w:ind w:firstLine="0"/>
              <w:rPr>
                <w:rFonts w:hAnsi="宋体" w:cs="宋体"/>
                <w:color w:val="000000"/>
                <w:sz w:val="20"/>
                <w:szCs w:val="20"/>
              </w:rPr>
            </w:pPr>
            <w:r>
              <w:rPr>
                <w:rFonts w:hint="eastAsia" w:hAnsi="宋体" w:cs="宋体"/>
                <w:color w:val="000000"/>
                <w:sz w:val="20"/>
                <w:szCs w:val="20"/>
              </w:rPr>
              <w:t>中（2-</w:t>
            </w:r>
            <w:r>
              <w:rPr>
                <w:rFonts w:hAnsi="宋体" w:cs="宋体"/>
                <w:color w:val="000000"/>
                <w:sz w:val="20"/>
                <w:szCs w:val="20"/>
              </w:rPr>
              <w:t>3</w:t>
            </w:r>
            <w:r>
              <w:rPr>
                <w:rFonts w:hint="eastAsia" w:hAnsi="宋体" w:cs="宋体"/>
                <w:color w:val="000000"/>
                <w:sz w:val="20"/>
                <w:szCs w:val="20"/>
              </w:rPr>
              <w:t>分）：提供3年财务审计报告且2年盈利的；</w:t>
            </w:r>
          </w:p>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差（1分）：提供3年财务审计报告且</w:t>
            </w: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年盈利的；</w:t>
            </w:r>
          </w:p>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（需提供供应商2018年、2019年、2</w:t>
            </w:r>
            <w:r>
              <w:rPr>
                <w:rFonts w:ascii="宋体" w:hAnsi="宋体" w:eastAsia="宋体" w:cs="宋体"/>
                <w:color w:val="000000"/>
                <w:kern w:val="0"/>
                <w:sz w:val="20"/>
                <w:szCs w:val="20"/>
              </w:rPr>
              <w:t>020</w:t>
            </w:r>
            <w:r>
              <w:rPr>
                <w:rFonts w:hint="eastAsia" w:ascii="宋体" w:hAnsi="宋体" w:eastAsia="宋体" w:cs="宋体"/>
                <w:color w:val="000000"/>
                <w:kern w:val="0"/>
                <w:sz w:val="20"/>
                <w:szCs w:val="20"/>
              </w:rPr>
              <w:t>年的由会计师事务所出具的财务审计报告关键页复印件，并加盖响应人单位公章。）</w:t>
            </w:r>
          </w:p>
        </w:tc>
      </w:tr>
      <w:tr>
        <w:tblPrEx>
          <w:tblCellMar>
            <w:top w:w="0" w:type="dxa"/>
            <w:left w:w="0" w:type="dxa"/>
            <w:bottom w:w="0" w:type="dxa"/>
            <w:right w:w="0" w:type="dxa"/>
          </w:tblCellMar>
        </w:tblPrEx>
        <w:trPr>
          <w:trHeight w:val="866" w:hRule="atLeast"/>
        </w:trPr>
        <w:tc>
          <w:tcPr>
            <w:tcW w:w="1215"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服务资质情况（3分）</w:t>
            </w: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widowControl/>
              <w:numPr>
                <w:ilvl w:val="0"/>
                <w:numId w:val="2"/>
              </w:numPr>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响应人营业执照具有相关论坛举办、活动策划等服务内容资质的，得2分；</w:t>
            </w:r>
          </w:p>
          <w:p>
            <w:pPr>
              <w:widowControl/>
              <w:numPr>
                <w:ilvl w:val="0"/>
                <w:numId w:val="2"/>
              </w:numPr>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响应人具有人力资源服务许可的，得1分。其他或没有的不得分。本项最高得分为3分。</w:t>
            </w:r>
          </w:p>
        </w:tc>
      </w:tr>
      <w:tr>
        <w:tblPrEx>
          <w:tblCellMar>
            <w:top w:w="0" w:type="dxa"/>
            <w:left w:w="0" w:type="dxa"/>
            <w:bottom w:w="0" w:type="dxa"/>
            <w:right w:w="0" w:type="dxa"/>
          </w:tblCellMar>
        </w:tblPrEx>
        <w:trPr>
          <w:trHeight w:val="866" w:hRule="atLeast"/>
        </w:trPr>
        <w:tc>
          <w:tcPr>
            <w:tcW w:w="1215" w:type="dxa"/>
            <w:vMerge w:val="restart"/>
            <w:tcBorders>
              <w:top w:val="single" w:color="000000" w:sz="4" w:space="0"/>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b/>
                <w:color w:val="000000"/>
                <w:kern w:val="0"/>
                <w:sz w:val="20"/>
                <w:szCs w:val="20"/>
              </w:rPr>
            </w:pPr>
            <w:r>
              <w:rPr>
                <w:rFonts w:hint="eastAsia" w:ascii="宋体" w:hAnsi="宋体" w:eastAsia="宋体" w:cs="宋体"/>
                <w:color w:val="000000"/>
                <w:kern w:val="0"/>
                <w:sz w:val="20"/>
                <w:szCs w:val="20"/>
              </w:rPr>
              <w:t>技术评分 （</w:t>
            </w: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0分）</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kern w:val="0"/>
                <w:sz w:val="20"/>
                <w:szCs w:val="20"/>
              </w:rPr>
            </w:pPr>
            <w:r>
              <w:rPr>
                <w:rFonts w:hint="eastAsia" w:ascii="宋体" w:hAnsi="宋体" w:eastAsia="宋体" w:cs="宋体"/>
                <w:color w:val="000000"/>
                <w:kern w:val="0"/>
                <w:sz w:val="20"/>
                <w:szCs w:val="20"/>
              </w:rPr>
              <w:t>对项目的理解（</w:t>
            </w: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0</w:t>
            </w:r>
            <w:r>
              <w:rPr>
                <w:rFonts w:ascii="宋体" w:hAnsi="宋体" w:eastAsia="宋体" w:cs="宋体"/>
                <w:color w:val="000000"/>
                <w:kern w:val="0"/>
                <w:sz w:val="20"/>
                <w:szCs w:val="20"/>
              </w:rPr>
              <w:t>分</w:t>
            </w:r>
            <w:r>
              <w:rPr>
                <w:rFonts w:hint="eastAsia" w:ascii="宋体" w:hAnsi="宋体" w:eastAsia="宋体" w:cs="宋体"/>
                <w:color w:val="000000"/>
                <w:kern w:val="0"/>
                <w:sz w:val="20"/>
                <w:szCs w:val="20"/>
              </w:rPr>
              <w:t>）</w:t>
            </w: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pPr>
              <w:pStyle w:val="8"/>
              <w:spacing w:after="0"/>
              <w:ind w:firstLine="0"/>
              <w:jc w:val="left"/>
              <w:rPr>
                <w:rFonts w:hAnsi="宋体" w:eastAsia="宋体" w:cs="宋体"/>
                <w:color w:val="000000"/>
                <w:kern w:val="0"/>
                <w:sz w:val="20"/>
              </w:rPr>
            </w:pPr>
            <w:r>
              <w:rPr>
                <w:rFonts w:hint="eastAsia" w:hAnsi="宋体" w:eastAsia="宋体" w:cs="宋体"/>
                <w:color w:val="000000"/>
                <w:kern w:val="0"/>
                <w:sz w:val="20"/>
              </w:rPr>
              <w:t>优（7-10分）：供应商对项目了解全面、准确，项目服务的难点要点描述精准、清晰，优化提升目标明确、措施可操作性强的；</w:t>
            </w:r>
          </w:p>
          <w:p>
            <w:pPr>
              <w:pStyle w:val="8"/>
              <w:spacing w:after="0"/>
              <w:ind w:firstLine="0"/>
              <w:jc w:val="left"/>
              <w:rPr>
                <w:rFonts w:hAnsi="宋体" w:eastAsia="宋体" w:cs="宋体"/>
                <w:color w:val="000000"/>
                <w:kern w:val="0"/>
                <w:sz w:val="20"/>
              </w:rPr>
            </w:pPr>
            <w:r>
              <w:rPr>
                <w:rFonts w:hint="eastAsia" w:hAnsi="宋体" w:eastAsia="宋体" w:cs="宋体"/>
                <w:color w:val="000000"/>
                <w:kern w:val="0"/>
                <w:sz w:val="20"/>
              </w:rPr>
              <w:t>中（4-6分）：供应商对项目现状了解比较全面、比较准确，项目服务的难点要点描述比较精准、清晰，优化提升目标比较明确、措施可操作性比较强的；</w:t>
            </w:r>
          </w:p>
          <w:p>
            <w:pPr>
              <w:pStyle w:val="8"/>
              <w:spacing w:after="0"/>
              <w:ind w:firstLine="0"/>
              <w:jc w:val="left"/>
              <w:rPr>
                <w:rFonts w:hAnsi="宋体" w:eastAsia="宋体" w:cs="宋体"/>
                <w:color w:val="000000"/>
                <w:kern w:val="0"/>
                <w:sz w:val="20"/>
              </w:rPr>
            </w:pPr>
            <w:r>
              <w:rPr>
                <w:rFonts w:hint="eastAsia" w:hAnsi="宋体" w:eastAsia="宋体" w:cs="宋体"/>
                <w:color w:val="000000"/>
                <w:kern w:val="0"/>
                <w:sz w:val="20"/>
              </w:rPr>
              <w:t>差（1-3分）：供应商对项目现状了解基本全面、基本准确，项目服务的难点要点描述基本清晰，优化提升目标基本明确、措施有操作性的；</w:t>
            </w:r>
          </w:p>
          <w:p>
            <w:pPr>
              <w:widowControl/>
              <w:spacing w:line="360" w:lineRule="auto"/>
              <w:jc w:val="left"/>
              <w:textAlignment w:val="center"/>
              <w:rPr>
                <w:rFonts w:ascii="宋体" w:hAnsi="宋体" w:eastAsia="宋体" w:cs="宋体"/>
                <w:b/>
                <w:color w:val="000000"/>
                <w:kern w:val="0"/>
                <w:sz w:val="20"/>
                <w:szCs w:val="20"/>
              </w:rPr>
            </w:pPr>
            <w:r>
              <w:rPr>
                <w:rFonts w:hint="eastAsia" w:ascii="宋体" w:hAnsi="宋体" w:eastAsia="宋体" w:cs="宋体"/>
                <w:color w:val="000000"/>
                <w:kern w:val="0"/>
                <w:sz w:val="20"/>
                <w:szCs w:val="20"/>
              </w:rPr>
              <w:t>未提供方案不得分。</w:t>
            </w:r>
          </w:p>
        </w:tc>
      </w:tr>
      <w:tr>
        <w:tblPrEx>
          <w:tblCellMar>
            <w:top w:w="0" w:type="dxa"/>
            <w:left w:w="0" w:type="dxa"/>
            <w:bottom w:w="0" w:type="dxa"/>
            <w:right w:w="0" w:type="dxa"/>
          </w:tblCellMar>
        </w:tblPrEx>
        <w:trPr>
          <w:trHeight w:val="866" w:hRule="atLeast"/>
        </w:trPr>
        <w:tc>
          <w:tcPr>
            <w:tcW w:w="1215"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b/>
                <w:color w:val="000000"/>
                <w:kern w:val="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kern w:val="0"/>
                <w:sz w:val="20"/>
                <w:szCs w:val="20"/>
              </w:rPr>
            </w:pPr>
            <w:r>
              <w:rPr>
                <w:rFonts w:hint="eastAsia" w:ascii="宋体" w:hAnsi="宋体" w:eastAsia="宋体" w:cs="宋体"/>
                <w:color w:val="000000"/>
                <w:kern w:val="0"/>
                <w:sz w:val="20"/>
                <w:szCs w:val="20"/>
              </w:rPr>
              <w:t>活动执行方案</w:t>
            </w:r>
            <w:r>
              <w:rPr>
                <w:rFonts w:hint="eastAsia" w:ascii="宋体" w:hAnsi="宋体" w:eastAsia="宋体" w:cs="宋体"/>
                <w:sz w:val="20"/>
                <w:szCs w:val="20"/>
              </w:rPr>
              <w:t>（20分）</w:t>
            </w:r>
          </w:p>
        </w:tc>
        <w:tc>
          <w:tcPr>
            <w:tcW w:w="613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pStyle w:val="8"/>
              <w:spacing w:after="0"/>
              <w:ind w:firstLine="0"/>
              <w:jc w:val="left"/>
              <w:rPr>
                <w:rFonts w:hAnsi="宋体" w:eastAsia="宋体" w:cs="宋体"/>
                <w:sz w:val="20"/>
              </w:rPr>
            </w:pPr>
            <w:r>
              <w:rPr>
                <w:rFonts w:hAnsi="宋体" w:eastAsia="宋体" w:cs="宋体"/>
                <w:sz w:val="20"/>
              </w:rPr>
              <w:t>供应商按</w:t>
            </w:r>
            <w:r>
              <w:rPr>
                <w:rFonts w:hint="eastAsia" w:hAnsi="宋体" w:eastAsia="宋体" w:cs="宋体"/>
                <w:sz w:val="20"/>
              </w:rPr>
              <w:t>项目清单</w:t>
            </w:r>
            <w:r>
              <w:rPr>
                <w:rFonts w:hAnsi="宋体" w:eastAsia="宋体" w:cs="宋体"/>
                <w:sz w:val="20"/>
              </w:rPr>
              <w:t>文件要求编制</w:t>
            </w:r>
            <w:r>
              <w:rPr>
                <w:rFonts w:hint="eastAsia" w:hAnsi="宋体" w:eastAsia="宋体" w:cs="宋体"/>
                <w:sz w:val="20"/>
              </w:rPr>
              <w:t>服务方案</w:t>
            </w:r>
            <w:r>
              <w:rPr>
                <w:rFonts w:hAnsi="宋体" w:eastAsia="宋体" w:cs="宋体"/>
                <w:sz w:val="20"/>
              </w:rPr>
              <w:t>。</w:t>
            </w:r>
          </w:p>
          <w:p>
            <w:pPr>
              <w:pStyle w:val="8"/>
              <w:spacing w:after="0"/>
              <w:ind w:firstLine="0"/>
              <w:jc w:val="left"/>
              <w:rPr>
                <w:rFonts w:hAnsi="宋体" w:eastAsia="宋体" w:cs="宋体"/>
                <w:sz w:val="20"/>
              </w:rPr>
            </w:pPr>
            <w:r>
              <w:rPr>
                <w:rFonts w:hint="eastAsia" w:hAnsi="宋体" w:eastAsia="宋体" w:cs="宋体"/>
                <w:sz w:val="20"/>
              </w:rPr>
              <w:t>优（15-</w:t>
            </w:r>
            <w:r>
              <w:rPr>
                <w:rFonts w:hAnsi="宋体" w:eastAsia="宋体" w:cs="宋体"/>
                <w:sz w:val="20"/>
              </w:rPr>
              <w:t>2</w:t>
            </w:r>
            <w:r>
              <w:rPr>
                <w:rFonts w:hint="eastAsia" w:hAnsi="宋体" w:eastAsia="宋体" w:cs="宋体"/>
                <w:sz w:val="20"/>
              </w:rPr>
              <w:t>0分）：供应商对本项目服务方案具体性、针对性、合理性、实用性和科学性切实可行的；</w:t>
            </w:r>
          </w:p>
          <w:p>
            <w:pPr>
              <w:pStyle w:val="8"/>
              <w:spacing w:after="0"/>
              <w:ind w:firstLine="0"/>
              <w:jc w:val="left"/>
              <w:rPr>
                <w:rFonts w:hAnsi="宋体" w:eastAsia="宋体" w:cs="宋体"/>
                <w:sz w:val="20"/>
              </w:rPr>
            </w:pPr>
            <w:r>
              <w:rPr>
                <w:rFonts w:hint="eastAsia" w:hAnsi="宋体" w:eastAsia="宋体" w:cs="宋体"/>
                <w:sz w:val="20"/>
              </w:rPr>
              <w:t>良（</w:t>
            </w:r>
            <w:r>
              <w:rPr>
                <w:rFonts w:hAnsi="宋体" w:eastAsia="宋体" w:cs="宋体"/>
                <w:sz w:val="20"/>
              </w:rPr>
              <w:t>10</w:t>
            </w:r>
            <w:r>
              <w:rPr>
                <w:rFonts w:hint="eastAsia" w:hAnsi="宋体" w:eastAsia="宋体" w:cs="宋体"/>
                <w:sz w:val="20"/>
              </w:rPr>
              <w:t>-14分）：供应商对本项目服务方案具体性、针对性、合理性、实用性和科学性比较可行的；</w:t>
            </w:r>
          </w:p>
          <w:p>
            <w:pPr>
              <w:pStyle w:val="8"/>
              <w:spacing w:after="0"/>
              <w:ind w:firstLine="0"/>
              <w:jc w:val="left"/>
              <w:rPr>
                <w:rFonts w:hAnsi="宋体" w:eastAsia="宋体" w:cs="宋体"/>
                <w:sz w:val="20"/>
              </w:rPr>
            </w:pPr>
            <w:r>
              <w:rPr>
                <w:rFonts w:hint="eastAsia" w:hAnsi="宋体" w:eastAsia="宋体" w:cs="宋体"/>
                <w:sz w:val="20"/>
              </w:rPr>
              <w:t>中（</w:t>
            </w:r>
            <w:r>
              <w:rPr>
                <w:rFonts w:hAnsi="宋体" w:eastAsia="宋体" w:cs="宋体"/>
                <w:sz w:val="20"/>
              </w:rPr>
              <w:t>5</w:t>
            </w:r>
            <w:r>
              <w:rPr>
                <w:rFonts w:hint="eastAsia" w:hAnsi="宋体" w:eastAsia="宋体" w:cs="宋体"/>
                <w:sz w:val="20"/>
              </w:rPr>
              <w:t>-9分）：供应商对本项目服务方案具体性、针对性、合理性、实用性和科学性可行性较差的；</w:t>
            </w:r>
          </w:p>
          <w:p>
            <w:pPr>
              <w:pStyle w:val="8"/>
              <w:spacing w:after="0"/>
              <w:ind w:firstLine="0"/>
              <w:jc w:val="left"/>
              <w:rPr>
                <w:rFonts w:hAnsi="宋体" w:eastAsia="宋体" w:cs="宋体"/>
                <w:sz w:val="20"/>
              </w:rPr>
            </w:pPr>
            <w:r>
              <w:rPr>
                <w:rFonts w:hint="eastAsia" w:hAnsi="宋体" w:eastAsia="宋体" w:cs="宋体"/>
                <w:sz w:val="20"/>
              </w:rPr>
              <w:t>未提供方案不得分。</w:t>
            </w:r>
          </w:p>
        </w:tc>
      </w:tr>
      <w:tr>
        <w:tblPrEx>
          <w:tblCellMar>
            <w:top w:w="0" w:type="dxa"/>
            <w:left w:w="0" w:type="dxa"/>
            <w:bottom w:w="0" w:type="dxa"/>
            <w:right w:w="0" w:type="dxa"/>
          </w:tblCellMar>
        </w:tblPrEx>
        <w:trPr>
          <w:trHeight w:val="866" w:hRule="atLeast"/>
        </w:trPr>
        <w:tc>
          <w:tcPr>
            <w:tcW w:w="1215" w:type="dxa"/>
            <w:vMerge w:val="restart"/>
            <w:tcBorders>
              <w:top w:val="single" w:color="000000" w:sz="4" w:space="0"/>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价格评分</w:t>
            </w:r>
          </w:p>
          <w:p>
            <w:pPr>
              <w:widowControl/>
              <w:jc w:val="center"/>
              <w:textAlignment w:val="center"/>
              <w:rPr>
                <w:rFonts w:ascii="宋体" w:hAnsi="宋体" w:eastAsia="宋体" w:cs="宋体"/>
                <w:b/>
                <w:color w:val="000000"/>
                <w:kern w:val="0"/>
                <w:sz w:val="20"/>
                <w:szCs w:val="20"/>
              </w:rPr>
            </w:pPr>
            <w:r>
              <w:rPr>
                <w:rFonts w:hint="eastAsia" w:ascii="宋体" w:hAnsi="宋体" w:eastAsia="宋体" w:cs="宋体"/>
                <w:color w:val="000000"/>
                <w:kern w:val="0"/>
                <w:sz w:val="20"/>
                <w:szCs w:val="20"/>
              </w:rPr>
              <w:t>（10</w:t>
            </w:r>
            <w:r>
              <w:rPr>
                <w:rFonts w:ascii="宋体" w:hAnsi="宋体" w:eastAsia="宋体" w:cs="宋体"/>
                <w:color w:val="000000"/>
                <w:kern w:val="0"/>
                <w:sz w:val="20"/>
                <w:szCs w:val="20"/>
              </w:rPr>
              <w:t>分）</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76"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价格扣除</w:t>
            </w:r>
          </w:p>
        </w:tc>
        <w:tc>
          <w:tcPr>
            <w:tcW w:w="6133" w:type="dxa"/>
            <w:vMerge w:val="restart"/>
            <w:tcBorders>
              <w:top w:val="single" w:color="000000" w:sz="4" w:space="0"/>
              <w:left w:val="single" w:color="000000" w:sz="4" w:space="0"/>
              <w:right w:val="single" w:color="000000" w:sz="4" w:space="0"/>
            </w:tcBorders>
            <w:shd w:val="clear" w:color="auto" w:fill="FFFFFF" w:themeFill="background1"/>
            <w:tcMar>
              <w:top w:w="15" w:type="dxa"/>
              <w:left w:w="15" w:type="dxa"/>
              <w:right w:w="15" w:type="dxa"/>
            </w:tcMar>
            <w:vAlign w:val="center"/>
          </w:tcPr>
          <w:p>
            <w:pPr>
              <w:pStyle w:val="8"/>
              <w:spacing w:after="0" w:line="276" w:lineRule="auto"/>
              <w:ind w:firstLine="0"/>
              <w:jc w:val="left"/>
              <w:rPr>
                <w:rFonts w:hAnsi="宋体" w:eastAsia="宋体" w:cs="宋体"/>
                <w:sz w:val="20"/>
              </w:rPr>
            </w:pPr>
            <w:r>
              <w:rPr>
                <w:rFonts w:hint="eastAsia" w:hAnsi="宋体" w:eastAsia="宋体" w:cs="宋体"/>
                <w:color w:val="000000"/>
                <w:kern w:val="0"/>
                <w:sz w:val="20"/>
              </w:rPr>
              <w:t>小型和微型企业（监狱企业、残疾人福利单位视同小型、微型企业）（10</w:t>
            </w:r>
            <w:r>
              <w:rPr>
                <w:rFonts w:hAnsi="宋体" w:eastAsia="宋体" w:cs="宋体"/>
                <w:color w:val="000000"/>
                <w:kern w:val="0"/>
                <w:sz w:val="20"/>
              </w:rPr>
              <w:t>%）</w:t>
            </w:r>
          </w:p>
        </w:tc>
      </w:tr>
      <w:tr>
        <w:tblPrEx>
          <w:tblCellMar>
            <w:top w:w="0" w:type="dxa"/>
            <w:left w:w="0" w:type="dxa"/>
            <w:bottom w:w="0" w:type="dxa"/>
            <w:right w:w="0" w:type="dxa"/>
          </w:tblCellMar>
        </w:tblPrEx>
        <w:trPr>
          <w:trHeight w:val="866" w:hRule="atLeast"/>
        </w:trPr>
        <w:tc>
          <w:tcPr>
            <w:tcW w:w="1215"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b/>
                <w:color w:val="000000"/>
                <w:kern w:val="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76"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条件</w:t>
            </w:r>
          </w:p>
        </w:tc>
        <w:tc>
          <w:tcPr>
            <w:tcW w:w="6133"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pStyle w:val="8"/>
              <w:spacing w:after="0" w:line="276" w:lineRule="auto"/>
              <w:ind w:firstLine="0"/>
              <w:jc w:val="left"/>
              <w:rPr>
                <w:rFonts w:hAnsi="宋体" w:eastAsia="宋体" w:cs="宋体"/>
                <w:sz w:val="20"/>
              </w:rPr>
            </w:pPr>
          </w:p>
        </w:tc>
      </w:tr>
      <w:tr>
        <w:tblPrEx>
          <w:tblCellMar>
            <w:top w:w="0" w:type="dxa"/>
            <w:left w:w="0" w:type="dxa"/>
            <w:bottom w:w="0" w:type="dxa"/>
            <w:right w:w="0" w:type="dxa"/>
          </w:tblCellMar>
        </w:tblPrEx>
        <w:trPr>
          <w:trHeight w:val="866" w:hRule="atLeast"/>
        </w:trPr>
        <w:tc>
          <w:tcPr>
            <w:tcW w:w="1215"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b/>
                <w:color w:val="000000"/>
                <w:kern w:val="0"/>
                <w:sz w:val="20"/>
                <w:szCs w:val="20"/>
              </w:rPr>
            </w:pPr>
          </w:p>
        </w:tc>
        <w:tc>
          <w:tcPr>
            <w:tcW w:w="81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pStyle w:val="8"/>
              <w:spacing w:after="0" w:line="276" w:lineRule="auto"/>
              <w:ind w:firstLine="0"/>
              <w:jc w:val="left"/>
              <w:rPr>
                <w:rFonts w:hAnsi="宋体" w:eastAsia="宋体" w:cs="宋体"/>
                <w:sz w:val="20"/>
              </w:rPr>
            </w:pPr>
            <w:r>
              <w:rPr>
                <w:rFonts w:hint="eastAsia" w:hAnsi="宋体" w:eastAsia="宋体" w:cs="宋体"/>
                <w:b/>
                <w:bCs/>
                <w:color w:val="000000"/>
                <w:kern w:val="0"/>
                <w:sz w:val="20"/>
              </w:rPr>
              <w:t>价格扣除后的报价得分</w:t>
            </w:r>
            <w:r>
              <w:rPr>
                <w:rFonts w:hAnsi="宋体" w:eastAsia="宋体" w:cs="宋体"/>
                <w:b/>
                <w:bCs/>
                <w:color w:val="000000"/>
                <w:kern w:val="0"/>
                <w:sz w:val="20"/>
              </w:rPr>
              <w:t>=（基准价/价格扣除后的最后报价）×</w:t>
            </w:r>
            <w:r>
              <w:rPr>
                <w:rFonts w:hint="eastAsia" w:hAnsi="宋体" w:eastAsia="宋体" w:cs="宋体"/>
                <w:b/>
                <w:bCs/>
                <w:color w:val="000000"/>
                <w:kern w:val="0"/>
                <w:sz w:val="20"/>
              </w:rPr>
              <w:t>10</w:t>
            </w:r>
          </w:p>
        </w:tc>
      </w:tr>
    </w:tbl>
    <w:p>
      <w:pPr>
        <w:spacing w:line="52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62057"/>
    <w:multiLevelType w:val="singleLevel"/>
    <w:tmpl w:val="0A662057"/>
    <w:lvl w:ilvl="0" w:tentative="0">
      <w:start w:val="1"/>
      <w:numFmt w:val="decimal"/>
      <w:lvlText w:val="%1."/>
      <w:lvlJc w:val="left"/>
      <w:pPr>
        <w:tabs>
          <w:tab w:val="left" w:pos="312"/>
        </w:tabs>
      </w:pPr>
    </w:lvl>
  </w:abstractNum>
  <w:abstractNum w:abstractNumId="1">
    <w:nsid w:val="274ACC3F"/>
    <w:multiLevelType w:val="singleLevel"/>
    <w:tmpl w:val="274ACC3F"/>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Y2VhYjQ0YTc5YmFlNDAxMWU0Y2QxOGYyYjg5MzAifQ=="/>
  </w:docVars>
  <w:rsids>
    <w:rsidRoot w:val="74FD6E2C"/>
    <w:rsid w:val="000A76ED"/>
    <w:rsid w:val="00101B8B"/>
    <w:rsid w:val="001454AE"/>
    <w:rsid w:val="001C6B61"/>
    <w:rsid w:val="001C770C"/>
    <w:rsid w:val="001D5814"/>
    <w:rsid w:val="00206576"/>
    <w:rsid w:val="002A463F"/>
    <w:rsid w:val="0033512E"/>
    <w:rsid w:val="00383144"/>
    <w:rsid w:val="0039621E"/>
    <w:rsid w:val="00471716"/>
    <w:rsid w:val="0048247F"/>
    <w:rsid w:val="004F569F"/>
    <w:rsid w:val="00520679"/>
    <w:rsid w:val="00554FBF"/>
    <w:rsid w:val="005612D2"/>
    <w:rsid w:val="00565B2E"/>
    <w:rsid w:val="005842F6"/>
    <w:rsid w:val="0060193B"/>
    <w:rsid w:val="00635D9E"/>
    <w:rsid w:val="006A3CC2"/>
    <w:rsid w:val="006E7BA1"/>
    <w:rsid w:val="007420D2"/>
    <w:rsid w:val="00790920"/>
    <w:rsid w:val="00812E7E"/>
    <w:rsid w:val="00873A8A"/>
    <w:rsid w:val="008F017C"/>
    <w:rsid w:val="00996B41"/>
    <w:rsid w:val="00A1695E"/>
    <w:rsid w:val="00A818B8"/>
    <w:rsid w:val="00AB24AE"/>
    <w:rsid w:val="00AB6B4B"/>
    <w:rsid w:val="00AD63AC"/>
    <w:rsid w:val="00AF10C4"/>
    <w:rsid w:val="00B475E9"/>
    <w:rsid w:val="00B83703"/>
    <w:rsid w:val="00BB3011"/>
    <w:rsid w:val="00C275E4"/>
    <w:rsid w:val="00CD5B5E"/>
    <w:rsid w:val="00CF41CD"/>
    <w:rsid w:val="00D30400"/>
    <w:rsid w:val="00D47F36"/>
    <w:rsid w:val="00D761D0"/>
    <w:rsid w:val="00D82EBE"/>
    <w:rsid w:val="00DE3085"/>
    <w:rsid w:val="00E20FCE"/>
    <w:rsid w:val="00E21EDE"/>
    <w:rsid w:val="00ED3514"/>
    <w:rsid w:val="00F24FB8"/>
    <w:rsid w:val="00F26C94"/>
    <w:rsid w:val="00F56CA9"/>
    <w:rsid w:val="00F62160"/>
    <w:rsid w:val="00FD7503"/>
    <w:rsid w:val="01E115BB"/>
    <w:rsid w:val="028E7212"/>
    <w:rsid w:val="05A12804"/>
    <w:rsid w:val="05BA56B1"/>
    <w:rsid w:val="0753505F"/>
    <w:rsid w:val="09324E36"/>
    <w:rsid w:val="0B921E03"/>
    <w:rsid w:val="0BCA2717"/>
    <w:rsid w:val="0CDA30D5"/>
    <w:rsid w:val="10170329"/>
    <w:rsid w:val="113F170A"/>
    <w:rsid w:val="14946A75"/>
    <w:rsid w:val="170D6C58"/>
    <w:rsid w:val="1722079E"/>
    <w:rsid w:val="17256545"/>
    <w:rsid w:val="17284F88"/>
    <w:rsid w:val="17653E4F"/>
    <w:rsid w:val="178503E3"/>
    <w:rsid w:val="19B85945"/>
    <w:rsid w:val="1A2147EB"/>
    <w:rsid w:val="1A9A119C"/>
    <w:rsid w:val="1B161DFE"/>
    <w:rsid w:val="1BC26472"/>
    <w:rsid w:val="1FAE16C6"/>
    <w:rsid w:val="2045259E"/>
    <w:rsid w:val="21880538"/>
    <w:rsid w:val="25C94774"/>
    <w:rsid w:val="26250B80"/>
    <w:rsid w:val="275D2583"/>
    <w:rsid w:val="29201EB9"/>
    <w:rsid w:val="29EE0F0B"/>
    <w:rsid w:val="2A882B49"/>
    <w:rsid w:val="2BAF3E67"/>
    <w:rsid w:val="2CF03698"/>
    <w:rsid w:val="30562814"/>
    <w:rsid w:val="30BD69B8"/>
    <w:rsid w:val="313A4D03"/>
    <w:rsid w:val="31D40895"/>
    <w:rsid w:val="32F4491B"/>
    <w:rsid w:val="33394F15"/>
    <w:rsid w:val="335102F2"/>
    <w:rsid w:val="33A2577B"/>
    <w:rsid w:val="34D86E91"/>
    <w:rsid w:val="36102CB6"/>
    <w:rsid w:val="36690B6D"/>
    <w:rsid w:val="37A74075"/>
    <w:rsid w:val="39424890"/>
    <w:rsid w:val="39DD250E"/>
    <w:rsid w:val="39E267EF"/>
    <w:rsid w:val="3AE53929"/>
    <w:rsid w:val="3BDE62BB"/>
    <w:rsid w:val="3BF548F4"/>
    <w:rsid w:val="3D085949"/>
    <w:rsid w:val="3D772821"/>
    <w:rsid w:val="3E1E473A"/>
    <w:rsid w:val="41044D91"/>
    <w:rsid w:val="424E7C60"/>
    <w:rsid w:val="43EC4CBB"/>
    <w:rsid w:val="44D416C8"/>
    <w:rsid w:val="45137AB1"/>
    <w:rsid w:val="4546037F"/>
    <w:rsid w:val="45C974FB"/>
    <w:rsid w:val="45CA3A30"/>
    <w:rsid w:val="45D23DD4"/>
    <w:rsid w:val="461A2B82"/>
    <w:rsid w:val="46645425"/>
    <w:rsid w:val="4699726F"/>
    <w:rsid w:val="48A13683"/>
    <w:rsid w:val="497E3C2D"/>
    <w:rsid w:val="4AC64A4F"/>
    <w:rsid w:val="4B901EB4"/>
    <w:rsid w:val="4B9E7351"/>
    <w:rsid w:val="4E1F2398"/>
    <w:rsid w:val="4E607C05"/>
    <w:rsid w:val="4F2944B5"/>
    <w:rsid w:val="50FF3F37"/>
    <w:rsid w:val="567448CF"/>
    <w:rsid w:val="568F1F17"/>
    <w:rsid w:val="5A466A42"/>
    <w:rsid w:val="5A7072F2"/>
    <w:rsid w:val="5B6D64A3"/>
    <w:rsid w:val="5DD66FC7"/>
    <w:rsid w:val="5E96387A"/>
    <w:rsid w:val="60193BEB"/>
    <w:rsid w:val="61B83528"/>
    <w:rsid w:val="629E259B"/>
    <w:rsid w:val="645D190A"/>
    <w:rsid w:val="67164654"/>
    <w:rsid w:val="675215F9"/>
    <w:rsid w:val="696572E4"/>
    <w:rsid w:val="69AA08B2"/>
    <w:rsid w:val="6DE34095"/>
    <w:rsid w:val="6F4073A0"/>
    <w:rsid w:val="73353E68"/>
    <w:rsid w:val="73405890"/>
    <w:rsid w:val="73C92D0D"/>
    <w:rsid w:val="73D81DA4"/>
    <w:rsid w:val="7412450D"/>
    <w:rsid w:val="746640EB"/>
    <w:rsid w:val="748731A9"/>
    <w:rsid w:val="74B72704"/>
    <w:rsid w:val="74FD6E2C"/>
    <w:rsid w:val="767C24CB"/>
    <w:rsid w:val="794843B5"/>
    <w:rsid w:val="799A74A9"/>
    <w:rsid w:val="7A24307F"/>
    <w:rsid w:val="7AAC6026"/>
    <w:rsid w:val="7C360AFA"/>
    <w:rsid w:val="7C8F0C36"/>
    <w:rsid w:val="7C9B54BD"/>
    <w:rsid w:val="7CAB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3">
    <w:name w:val="Body Text Indent"/>
    <w:basedOn w:val="1"/>
    <w:link w:val="18"/>
    <w:qFormat/>
    <w:uiPriority w:val="0"/>
    <w:pPr>
      <w:spacing w:after="120"/>
      <w:ind w:left="420" w:leftChars="200"/>
    </w:pPr>
  </w:style>
  <w:style w:type="paragraph" w:styleId="4">
    <w:name w:val="Plain Text"/>
    <w:basedOn w:val="1"/>
    <w:qFormat/>
    <w:uiPriority w:val="0"/>
    <w:rPr>
      <w:rFonts w:ascii="宋体" w:hAnsi="Courier New" w:eastAsia="宋体"/>
    </w:r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19"/>
    <w:qFormat/>
    <w:uiPriority w:val="0"/>
    <w:pPr>
      <w:snapToGrid w:val="0"/>
      <w:spacing w:line="360" w:lineRule="auto"/>
      <w:ind w:left="0" w:leftChars="0" w:firstLine="210"/>
    </w:pPr>
    <w:rPr>
      <w:rFonts w:ascii="宋体" w:hAnsi="Times New Roman" w:eastAsia="仿宋_GB2312" w:cs="Times New Roman"/>
      <w:sz w:val="28"/>
      <w:szCs w:val="20"/>
    </w:rPr>
  </w:style>
  <w:style w:type="character" w:customStyle="1" w:styleId="11">
    <w:name w:val="font01"/>
    <w:basedOn w:val="10"/>
    <w:qFormat/>
    <w:uiPriority w:val="0"/>
    <w:rPr>
      <w:rFonts w:hint="eastAsia" w:ascii="宋体" w:hAnsi="宋体" w:eastAsia="宋体" w:cs="宋体"/>
      <w:b/>
      <w:color w:val="000000"/>
      <w:sz w:val="20"/>
      <w:szCs w:val="20"/>
      <w:u w:val="single"/>
    </w:rPr>
  </w:style>
  <w:style w:type="character" w:customStyle="1" w:styleId="12">
    <w:name w:val="font31"/>
    <w:basedOn w:val="10"/>
    <w:qFormat/>
    <w:uiPriority w:val="0"/>
    <w:rPr>
      <w:rFonts w:hint="eastAsia" w:ascii="宋体" w:hAnsi="宋体" w:eastAsia="宋体" w:cs="宋体"/>
      <w:b/>
      <w:color w:val="000000"/>
      <w:sz w:val="20"/>
      <w:szCs w:val="20"/>
      <w:u w:val="none"/>
    </w:rPr>
  </w:style>
  <w:style w:type="character" w:customStyle="1" w:styleId="13">
    <w:name w:val="页眉 Char"/>
    <w:basedOn w:val="10"/>
    <w:link w:val="7"/>
    <w:qFormat/>
    <w:uiPriority w:val="0"/>
    <w:rPr>
      <w:rFonts w:asciiTheme="minorHAnsi" w:hAnsiTheme="minorHAnsi" w:eastAsiaTheme="minorEastAsia" w:cstheme="minorBidi"/>
      <w:kern w:val="2"/>
      <w:sz w:val="18"/>
      <w:szCs w:val="18"/>
    </w:rPr>
  </w:style>
  <w:style w:type="character" w:customStyle="1" w:styleId="14">
    <w:name w:val="页脚 Char"/>
    <w:basedOn w:val="10"/>
    <w:link w:val="6"/>
    <w:qFormat/>
    <w:uiPriority w:val="0"/>
    <w:rPr>
      <w:rFonts w:asciiTheme="minorHAnsi" w:hAnsiTheme="minorHAnsi" w:eastAsiaTheme="minorEastAsia" w:cstheme="minorBidi"/>
      <w:kern w:val="2"/>
      <w:sz w:val="18"/>
      <w:szCs w:val="18"/>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正文文本缩进 Char"/>
    <w:basedOn w:val="10"/>
    <w:link w:val="3"/>
    <w:qFormat/>
    <w:uiPriority w:val="0"/>
    <w:rPr>
      <w:rFonts w:asciiTheme="minorHAnsi" w:hAnsiTheme="minorHAnsi" w:eastAsiaTheme="minorEastAsia" w:cstheme="minorBidi"/>
      <w:kern w:val="2"/>
      <w:sz w:val="21"/>
      <w:szCs w:val="24"/>
    </w:rPr>
  </w:style>
  <w:style w:type="character" w:customStyle="1" w:styleId="19">
    <w:name w:val="正文首行缩进 2 Char"/>
    <w:basedOn w:val="18"/>
    <w:link w:val="8"/>
    <w:qFormat/>
    <w:uiPriority w:val="0"/>
    <w:rPr>
      <w:rFonts w:ascii="宋体" w:hAnsi="Times New Roman" w:eastAsia="仿宋_GB2312" w:cs="Times New Roman"/>
      <w:kern w:val="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5748</Words>
  <Characters>6006</Characters>
  <Lines>44</Lines>
  <Paragraphs>12</Paragraphs>
  <TotalTime>2</TotalTime>
  <ScaleCrop>false</ScaleCrop>
  <LinksUpToDate>false</LinksUpToDate>
  <CharactersWithSpaces>6009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2022-08-22T07:38:00Z</dcterms:created>
  <dc:creator>Prime</dc:creator>
  <cp:lastModifiedBy>李惠锋</cp:lastModifiedBy>
  <dcterms:modified xsi:type="dcterms:W3CDTF">2022-09-20T09:13:38Z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C795001490264AB08F9933E800AA789F</vt:lpwstr>
  </property>
</Properties>
</file>