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6B" w:rsidRDefault="007D7D76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/>
          <w:sz w:val="32"/>
          <w:szCs w:val="32"/>
        </w:rPr>
        <w:t>附件</w:t>
      </w:r>
      <w:r>
        <w:rPr>
          <w:rFonts w:asciiTheme="majorEastAsia" w:eastAsiaTheme="majorEastAsia" w:hAnsiTheme="majorEastAsia" w:cs="仿宋"/>
          <w:sz w:val="32"/>
          <w:szCs w:val="32"/>
        </w:rPr>
        <w:t>1</w:t>
      </w:r>
    </w:p>
    <w:p w:rsidR="00216A6B" w:rsidRDefault="007D7D76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本次</w:t>
      </w:r>
      <w:r>
        <w:rPr>
          <w:rFonts w:ascii="方正小标宋简体" w:eastAsia="方正小标宋简体" w:hAnsi="仿宋" w:cs="仿宋"/>
          <w:sz w:val="44"/>
          <w:szCs w:val="44"/>
        </w:rPr>
        <w:t>检验依据及检验项目</w:t>
      </w:r>
    </w:p>
    <w:p w:rsidR="00216A6B" w:rsidRDefault="007D7D76" w:rsidP="007D7D76">
      <w:pPr>
        <w:pStyle w:val="1"/>
        <w:numPr>
          <w:ilvl w:val="0"/>
          <w:numId w:val="0"/>
        </w:numPr>
        <w:rPr>
          <w:rFonts w:cs="Times New Roman"/>
          <w:sz w:val="32"/>
        </w:rPr>
      </w:pPr>
      <w:r>
        <w:rPr>
          <w:rFonts w:cs="Times New Roman" w:hint="eastAsia"/>
          <w:sz w:val="32"/>
        </w:rPr>
        <w:t>糕点</w:t>
      </w:r>
    </w:p>
    <w:p w:rsidR="00216A6B" w:rsidRDefault="007D7D76">
      <w:pPr>
        <w:numPr>
          <w:ilvl w:val="0"/>
          <w:numId w:val="2"/>
        </w:numPr>
        <w:spacing w:line="500" w:lineRule="exact"/>
        <w:ind w:firstLineChars="200" w:firstLine="640"/>
        <w:outlineLvl w:val="1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检验</w:t>
      </w:r>
      <w:bookmarkStart w:id="0" w:name="_GoBack"/>
      <w:bookmarkEnd w:id="0"/>
      <w:r>
        <w:rPr>
          <w:rFonts w:ascii="楷体" w:eastAsia="仿宋" w:hAnsi="楷体" w:cs="Times New Roman" w:hint="eastAsia"/>
          <w:sz w:val="32"/>
        </w:rPr>
        <w:t>依据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5009.120-2016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食品中丙酸钠、丙酸钙的测定》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第二法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气相色谱法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4789.3-2016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食品微生物学检验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大肠菌群计数》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第二法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大肠菌群平板计数法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5009.28-2016</w:t>
      </w:r>
      <w:r>
        <w:rPr>
          <w:rFonts w:ascii="楷体" w:eastAsia="仿宋" w:hAnsi="楷体" w:cs="Times New Roman"/>
          <w:sz w:val="32"/>
        </w:rPr>
        <w:t>《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食品中苯甲酸、山梨酸和糖精钠的测定》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第一法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液相色谱法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5009.121-2016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食品中脱氢乙酸的测定》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第二法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液相色谱法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 xml:space="preserve">GB </w:t>
      </w:r>
      <w:r>
        <w:rPr>
          <w:rFonts w:ascii="楷体" w:eastAsia="仿宋" w:hAnsi="楷体" w:cs="Times New Roman"/>
          <w:sz w:val="32"/>
        </w:rPr>
        <w:t>4789.2-2016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食品微生物学检验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菌落总数测定》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 xml:space="preserve">GB 5009.182-2017 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食品中铝的测定》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第二法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电感耦合等离子体质谱法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2760-2014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食品添加剂使用标准》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5009.227-2016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食品中过氧化值的测定》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第一法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滴定法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lastRenderedPageBreak/>
        <w:t>GB/T 21915-2008</w:t>
      </w:r>
      <w:r>
        <w:rPr>
          <w:rFonts w:ascii="楷体" w:eastAsia="仿宋" w:hAnsi="楷体" w:cs="Times New Roman"/>
          <w:sz w:val="32"/>
        </w:rPr>
        <w:t>《食品中纳他霉素的测定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液相色谱法》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4789.10-2016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食品微生物学检验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金黄色葡萄球菌检验》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第二法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金黄</w:t>
      </w:r>
      <w:r>
        <w:rPr>
          <w:rFonts w:ascii="楷体" w:eastAsia="仿宋" w:hAnsi="楷体" w:cs="Times New Roman"/>
          <w:sz w:val="32"/>
        </w:rPr>
        <w:t>色葡萄球菌平板计数法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 xml:space="preserve">GB 4789.4-2016 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食品微生物学检验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沙门氏菌检验》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/>
          <w:sz w:val="32"/>
        </w:rPr>
        <w:t>GB 4789.15-2016</w:t>
      </w:r>
      <w:r>
        <w:rPr>
          <w:rFonts w:ascii="楷体" w:eastAsia="仿宋" w:hAnsi="楷体" w:cs="Times New Roman"/>
          <w:sz w:val="32"/>
        </w:rPr>
        <w:t>《食品安全国家标准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食品微生物学检验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霉菌和酵母计数》</w:t>
      </w:r>
      <w:r>
        <w:rPr>
          <w:rFonts w:ascii="楷体" w:eastAsia="仿宋" w:hAnsi="楷体" w:cs="Times New Roman"/>
          <w:sz w:val="32"/>
        </w:rPr>
        <w:t>(</w:t>
      </w:r>
      <w:r>
        <w:rPr>
          <w:rFonts w:ascii="楷体" w:eastAsia="仿宋" w:hAnsi="楷体" w:cs="Times New Roman"/>
          <w:sz w:val="32"/>
        </w:rPr>
        <w:t>第一法</w:t>
      </w:r>
      <w:r>
        <w:rPr>
          <w:rFonts w:ascii="楷体" w:eastAsia="仿宋" w:hAnsi="楷体" w:cs="Times New Roman"/>
          <w:sz w:val="32"/>
        </w:rPr>
        <w:t xml:space="preserve"> </w:t>
      </w:r>
      <w:r>
        <w:rPr>
          <w:rFonts w:ascii="楷体" w:eastAsia="仿宋" w:hAnsi="楷体" w:cs="Times New Roman"/>
          <w:sz w:val="32"/>
        </w:rPr>
        <w:t>霉菌和酵母平板计数法</w:t>
      </w:r>
      <w:r>
        <w:rPr>
          <w:rFonts w:ascii="楷体" w:eastAsia="仿宋" w:hAnsi="楷体" w:cs="Times New Roman"/>
          <w:sz w:val="32"/>
        </w:rPr>
        <w:t>)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2760-2014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食品添加剂使用标准》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28050-2011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预包装食品营养标签通则》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29921-2021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预包装食品中致病菌限量》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31607-2021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散装即食食品中致病菌限量》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7099-2015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糕点、面包》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GB 28050-2011</w:t>
      </w:r>
      <w:r>
        <w:rPr>
          <w:rFonts w:ascii="楷体" w:eastAsia="仿宋" w:hAnsi="楷体" w:cs="Times New Roman" w:hint="eastAsia"/>
          <w:sz w:val="32"/>
        </w:rPr>
        <w:t>《食品安全国家标准</w:t>
      </w:r>
      <w:r>
        <w:rPr>
          <w:rFonts w:ascii="楷体" w:eastAsia="仿宋" w:hAnsi="楷体" w:cs="Times New Roman" w:hint="eastAsia"/>
          <w:sz w:val="32"/>
        </w:rPr>
        <w:t xml:space="preserve"> </w:t>
      </w:r>
      <w:r>
        <w:rPr>
          <w:rFonts w:ascii="楷体" w:eastAsia="仿宋" w:hAnsi="楷体" w:cs="Times New Roman" w:hint="eastAsia"/>
          <w:sz w:val="32"/>
        </w:rPr>
        <w:t>预包装食品营养标签通则》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食品整治办</w:t>
      </w:r>
      <w:r>
        <w:rPr>
          <w:rFonts w:ascii="楷体" w:eastAsia="仿宋" w:hAnsi="楷体" w:cs="Times New Roman" w:hint="eastAsia"/>
          <w:sz w:val="32"/>
        </w:rPr>
        <w:t>[2009]5</w:t>
      </w:r>
      <w:r>
        <w:rPr>
          <w:rFonts w:ascii="楷体" w:eastAsia="仿宋" w:hAnsi="楷体" w:cs="Times New Roman" w:hint="eastAsia"/>
          <w:sz w:val="32"/>
        </w:rPr>
        <w:t>号《食品中可能违法添加的非食用物质名单</w:t>
      </w:r>
      <w:r>
        <w:rPr>
          <w:rFonts w:ascii="楷体" w:eastAsia="仿宋" w:hAnsi="楷体" w:cs="Times New Roman" w:hint="eastAsia"/>
          <w:sz w:val="32"/>
        </w:rPr>
        <w:t>(</w:t>
      </w:r>
      <w:r>
        <w:rPr>
          <w:rFonts w:ascii="楷体" w:eastAsia="仿宋" w:hAnsi="楷体" w:cs="Times New Roman" w:hint="eastAsia"/>
          <w:sz w:val="32"/>
        </w:rPr>
        <w:t>第二批</w:t>
      </w:r>
      <w:r>
        <w:rPr>
          <w:rFonts w:ascii="楷体" w:eastAsia="仿宋" w:hAnsi="楷体" w:cs="Times New Roman" w:hint="eastAsia"/>
          <w:sz w:val="32"/>
        </w:rPr>
        <w:t>)</w:t>
      </w:r>
      <w:r>
        <w:rPr>
          <w:rFonts w:ascii="楷体" w:eastAsia="仿宋" w:hAnsi="楷体" w:cs="Times New Roman" w:hint="eastAsia"/>
          <w:sz w:val="32"/>
        </w:rPr>
        <w:t>》</w:t>
      </w:r>
    </w:p>
    <w:p w:rsidR="00216A6B" w:rsidRDefault="007D7D76" w:rsidP="007D7D76">
      <w:pPr>
        <w:pStyle w:val="3"/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t>（二）检验项目</w:t>
      </w:r>
    </w:p>
    <w:p w:rsidR="00216A6B" w:rsidRDefault="007D7D76">
      <w:pPr>
        <w:ind w:firstLineChars="200" w:firstLine="640"/>
        <w:rPr>
          <w:rFonts w:ascii="楷体" w:eastAsia="仿宋" w:hAnsi="楷体" w:cs="Times New Roman"/>
          <w:sz w:val="32"/>
        </w:rPr>
      </w:pPr>
      <w:r>
        <w:rPr>
          <w:rFonts w:ascii="楷体" w:eastAsia="仿宋" w:hAnsi="楷体" w:cs="Times New Roman" w:hint="eastAsia"/>
          <w:sz w:val="32"/>
        </w:rPr>
        <w:lastRenderedPageBreak/>
        <w:t>月饼检验项目包括酸价（以脂肪计）、过氧化值（以脂肪计）、富马酸二甲酯、苯甲酸及其钠盐（以苯甲酸计）、山梨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</w:rPr>
        <w:t>钾盐（以山梨酸计）、铝的残留量（干样品，以</w:t>
      </w:r>
      <w:r>
        <w:rPr>
          <w:rFonts w:ascii="楷体" w:eastAsia="仿宋" w:hAnsi="楷体" w:cs="Times New Roman" w:hint="eastAsia"/>
          <w:sz w:val="32"/>
        </w:rPr>
        <w:t>Al</w:t>
      </w:r>
      <w:r>
        <w:rPr>
          <w:rFonts w:ascii="楷体" w:eastAsia="仿宋" w:hAnsi="楷体" w:cs="Times New Roman" w:hint="eastAsia"/>
          <w:sz w:val="32"/>
        </w:rPr>
        <w:t>计）、丙</w:t>
      </w:r>
      <w:proofErr w:type="gramStart"/>
      <w:r>
        <w:rPr>
          <w:rFonts w:ascii="楷体" w:eastAsia="仿宋" w:hAnsi="楷体" w:cs="Times New Roman" w:hint="eastAsia"/>
          <w:sz w:val="32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</w:rPr>
        <w:t>钠盐、钙盐（以丙酸计）、脱氢乙酸及其钠盐（以脱氢乙酸计）、纳他霉素、防腐剂混合使用时各自用量占其最大使用量的比例之和、菌落总数、大肠菌群、金黄色葡萄球菌、沙门氏菌、霉菌、营养标签</w:t>
      </w:r>
      <w:r>
        <w:rPr>
          <w:rFonts w:ascii="楷体" w:eastAsia="仿宋" w:hAnsi="楷体" w:cs="Times New Roman" w:hint="eastAsia"/>
          <w:sz w:val="32"/>
        </w:rPr>
        <w:t>-</w:t>
      </w:r>
      <w:r>
        <w:rPr>
          <w:rFonts w:ascii="楷体" w:eastAsia="仿宋" w:hAnsi="楷体" w:cs="Times New Roman" w:hint="eastAsia"/>
          <w:sz w:val="32"/>
        </w:rPr>
        <w:t>钠</w:t>
      </w:r>
      <w:r>
        <w:rPr>
          <w:rFonts w:ascii="楷体" w:eastAsia="仿宋" w:hAnsi="楷体" w:cs="Times New Roman"/>
          <w:sz w:val="32"/>
        </w:rPr>
        <w:t>、</w:t>
      </w:r>
      <w:r>
        <w:rPr>
          <w:rFonts w:ascii="楷体" w:eastAsia="仿宋" w:hAnsi="楷体" w:cs="Times New Roman" w:hint="eastAsia"/>
          <w:sz w:val="32"/>
        </w:rPr>
        <w:t>糖精钠（以糖精计）</w:t>
      </w:r>
      <w:r>
        <w:rPr>
          <w:rFonts w:ascii="楷体" w:eastAsia="仿宋" w:hAnsi="楷体" w:cs="Times New Roman"/>
          <w:sz w:val="32"/>
        </w:rPr>
        <w:t>。</w:t>
      </w:r>
    </w:p>
    <w:p w:rsidR="00216A6B" w:rsidRDefault="00216A6B">
      <w:pPr>
        <w:spacing w:line="500" w:lineRule="exact"/>
        <w:outlineLvl w:val="1"/>
        <w:rPr>
          <w:rFonts w:asciiTheme="minorEastAsia" w:hAnsiTheme="minorEastAsia" w:cstheme="minorEastAsia"/>
          <w:sz w:val="24"/>
        </w:rPr>
      </w:pPr>
    </w:p>
    <w:sectPr w:rsidR="0021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408A7"/>
    <w:multiLevelType w:val="singleLevel"/>
    <w:tmpl w:val="95D408A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BD6F28"/>
    <w:multiLevelType w:val="multilevel"/>
    <w:tmpl w:val="7EBD6F28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chineseCountingThousand"/>
      <w:lvlText w:val="(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67F77A00"/>
    <w:rsid w:val="FFDE1406"/>
    <w:rsid w:val="00216A6B"/>
    <w:rsid w:val="007D7D76"/>
    <w:rsid w:val="1EEE01C1"/>
    <w:rsid w:val="4FFF50D2"/>
    <w:rsid w:val="54F3358D"/>
    <w:rsid w:val="59F9BE62"/>
    <w:rsid w:val="5C6E6BB0"/>
    <w:rsid w:val="5CF4585C"/>
    <w:rsid w:val="67F77A00"/>
    <w:rsid w:val="767B5E38"/>
    <w:rsid w:val="7DFFC087"/>
    <w:rsid w:val="7F77C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uiPriority w:val="9"/>
    <w:qFormat/>
    <w:pPr>
      <w:keepNext/>
      <w:keepLines/>
      <w:numPr>
        <w:numId w:val="1"/>
      </w:numPr>
      <w:spacing w:before="260" w:after="260" w:line="416" w:lineRule="auto"/>
      <w:ind w:firstLine="0"/>
      <w:jc w:val="left"/>
      <w:outlineLvl w:val="0"/>
    </w:pPr>
    <w:rPr>
      <w:rFonts w:ascii="Calibri Light" w:eastAsia="宋体" w:hAnsi="Calibri Light"/>
      <w:b/>
      <w:bCs/>
      <w:szCs w:val="32"/>
    </w:rPr>
  </w:style>
  <w:style w:type="paragraph" w:styleId="3">
    <w:name w:val="heading 3"/>
    <w:basedOn w:val="a"/>
    <w:next w:val="a"/>
    <w:unhideWhenUsed/>
    <w:qFormat/>
    <w:pPr>
      <w:spacing w:line="360" w:lineRule="auto"/>
      <w:ind w:leftChars="-33" w:left="-69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uiPriority w:val="9"/>
    <w:qFormat/>
    <w:pPr>
      <w:keepNext/>
      <w:keepLines/>
      <w:numPr>
        <w:numId w:val="1"/>
      </w:numPr>
      <w:spacing w:before="260" w:after="260" w:line="416" w:lineRule="auto"/>
      <w:ind w:firstLine="0"/>
      <w:jc w:val="left"/>
      <w:outlineLvl w:val="0"/>
    </w:pPr>
    <w:rPr>
      <w:rFonts w:ascii="Calibri Light" w:eastAsia="宋体" w:hAnsi="Calibri Light"/>
      <w:b/>
      <w:bCs/>
      <w:szCs w:val="32"/>
    </w:rPr>
  </w:style>
  <w:style w:type="paragraph" w:styleId="3">
    <w:name w:val="heading 3"/>
    <w:basedOn w:val="a"/>
    <w:next w:val="a"/>
    <w:unhideWhenUsed/>
    <w:qFormat/>
    <w:pPr>
      <w:spacing w:line="360" w:lineRule="auto"/>
      <w:ind w:leftChars="-33" w:left="-69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J</dc:creator>
  <cp:lastModifiedBy>黄涛</cp:lastModifiedBy>
  <cp:revision>2</cp:revision>
  <dcterms:created xsi:type="dcterms:W3CDTF">2022-08-29T19:43:00Z</dcterms:created>
  <dcterms:modified xsi:type="dcterms:W3CDTF">2022-09-02T09:23:00Z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7608685539B44A03A0CA3BFD5FA0D381</vt:lpwstr>
  </property>
</Properties>
</file>