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329" w:rsidRDefault="00335329">
      <w:pPr>
        <w:rPr>
          <w:rFonts w:ascii="仿宋_GB2312" w:eastAsia="仿宋_GB2312"/>
          <w:sz w:val="32"/>
          <w:szCs w:val="32"/>
        </w:rPr>
      </w:pPr>
      <w:bookmarkStart w:id="0" w:name="_GoBack"/>
      <w:bookmarkEnd w:id="0"/>
      <w:r>
        <w:rPr>
          <w:rFonts w:ascii="仿宋_GB2312" w:eastAsia="仿宋_GB2312" w:hint="eastAsia"/>
          <w:sz w:val="32"/>
          <w:szCs w:val="32"/>
        </w:rPr>
        <w:t>附件1：</w:t>
      </w:r>
    </w:p>
    <w:p w:rsidR="00335329" w:rsidRDefault="00335329">
      <w:pPr>
        <w:rPr>
          <w:rFonts w:ascii="仿宋_GB2312" w:eastAsia="仿宋_GB2312"/>
          <w:sz w:val="32"/>
          <w:szCs w:val="32"/>
        </w:rPr>
      </w:pPr>
    </w:p>
    <w:p w:rsidR="00957CDD" w:rsidRDefault="00335329" w:rsidP="00335329">
      <w:pPr>
        <w:jc w:val="center"/>
        <w:rPr>
          <w:rFonts w:asciiTheme="majorEastAsia" w:eastAsiaTheme="majorEastAsia" w:hAnsiTheme="majorEastAsia"/>
          <w:b/>
          <w:sz w:val="44"/>
          <w:szCs w:val="44"/>
        </w:rPr>
      </w:pPr>
      <w:r w:rsidRPr="00335329">
        <w:rPr>
          <w:rFonts w:asciiTheme="majorEastAsia" w:eastAsiaTheme="majorEastAsia" w:hAnsiTheme="majorEastAsia" w:hint="eastAsia"/>
          <w:b/>
          <w:spacing w:val="-20"/>
          <w:sz w:val="44"/>
          <w:szCs w:val="44"/>
        </w:rPr>
        <w:t>解读文本：</w:t>
      </w:r>
      <w:r w:rsidRPr="00335329">
        <w:rPr>
          <w:rFonts w:asciiTheme="majorEastAsia" w:eastAsiaTheme="majorEastAsia" w:hAnsiTheme="majorEastAsia" w:hint="eastAsia"/>
          <w:b/>
          <w:sz w:val="44"/>
          <w:szCs w:val="44"/>
        </w:rPr>
        <w:t>江门市人民政府关于进一步深化预算管理制度改革的实施意见</w:t>
      </w:r>
    </w:p>
    <w:p w:rsidR="00335329" w:rsidRPr="00335329" w:rsidRDefault="00335329" w:rsidP="00335329">
      <w:pPr>
        <w:jc w:val="center"/>
        <w:rPr>
          <w:rFonts w:asciiTheme="majorEastAsia" w:eastAsiaTheme="majorEastAsia" w:hAnsiTheme="majorEastAsia"/>
          <w:b/>
          <w:sz w:val="44"/>
          <w:szCs w:val="44"/>
        </w:rPr>
      </w:pPr>
    </w:p>
    <w:p w:rsidR="00335329" w:rsidRDefault="00335329" w:rsidP="00335329">
      <w:pPr>
        <w:spacing w:line="6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一、有关背景</w:t>
      </w:r>
    </w:p>
    <w:p w:rsidR="00335329" w:rsidRPr="00333D17" w:rsidRDefault="00335329" w:rsidP="00335329">
      <w:pPr>
        <w:adjustRightInd w:val="0"/>
        <w:snapToGrid w:val="0"/>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2021年3月7日</w:t>
      </w:r>
      <w:r w:rsidR="00B76B6D">
        <w:rPr>
          <w:rFonts w:ascii="仿宋_GB2312" w:eastAsia="仿宋_GB2312" w:hint="eastAsia"/>
          <w:kern w:val="0"/>
          <w:sz w:val="32"/>
          <w:szCs w:val="32"/>
        </w:rPr>
        <w:t>，</w:t>
      </w:r>
      <w:r>
        <w:rPr>
          <w:rFonts w:ascii="仿宋_GB2312" w:eastAsia="仿宋_GB2312" w:hint="eastAsia"/>
          <w:kern w:val="0"/>
          <w:sz w:val="32"/>
          <w:szCs w:val="32"/>
        </w:rPr>
        <w:t>国务院印发</w:t>
      </w:r>
      <w:r w:rsidR="00313E28">
        <w:rPr>
          <w:rFonts w:ascii="仿宋_GB2312" w:eastAsia="仿宋_GB2312" w:hint="eastAsia"/>
          <w:kern w:val="0"/>
          <w:sz w:val="32"/>
          <w:szCs w:val="32"/>
        </w:rPr>
        <w:t>实施</w:t>
      </w:r>
      <w:r w:rsidR="00B76B6D">
        <w:rPr>
          <w:rFonts w:ascii="仿宋_GB2312" w:eastAsia="仿宋_GB2312" w:hint="eastAsia"/>
          <w:kern w:val="0"/>
          <w:sz w:val="32"/>
          <w:szCs w:val="32"/>
        </w:rPr>
        <w:t>《关于进一步深化预算管理制度改革的意见》（国发〔2021〕5号）</w:t>
      </w:r>
      <w:r>
        <w:rPr>
          <w:rFonts w:ascii="仿宋_GB2312" w:eastAsia="仿宋_GB2312" w:hint="eastAsia"/>
          <w:kern w:val="0"/>
          <w:sz w:val="32"/>
          <w:szCs w:val="32"/>
        </w:rPr>
        <w:t>。</w:t>
      </w:r>
      <w:r w:rsidR="00333D17">
        <w:rPr>
          <w:rFonts w:ascii="仿宋_GB2312" w:eastAsia="仿宋_GB2312" w:hint="eastAsia"/>
          <w:kern w:val="0"/>
          <w:sz w:val="32"/>
          <w:szCs w:val="32"/>
        </w:rPr>
        <w:t>2021年5月19日，广东省人民政府印发《关于加强统筹进一步深化预算管理制度改革的实施意见》（粤府〔2021〕34号）。为进一步深化我市预算管理制度改革，根据上级要求和我市实际情况，近日我市印发</w:t>
      </w:r>
      <w:r w:rsidR="001338EE">
        <w:rPr>
          <w:rFonts w:ascii="仿宋_GB2312" w:eastAsia="仿宋_GB2312" w:hint="eastAsia"/>
          <w:kern w:val="0"/>
          <w:sz w:val="32"/>
          <w:szCs w:val="32"/>
        </w:rPr>
        <w:t>出台</w:t>
      </w:r>
      <w:r w:rsidR="00333D17">
        <w:rPr>
          <w:rFonts w:ascii="仿宋_GB2312" w:eastAsia="仿宋_GB2312" w:hint="eastAsia"/>
          <w:kern w:val="0"/>
          <w:sz w:val="32"/>
          <w:szCs w:val="32"/>
        </w:rPr>
        <w:t>《</w:t>
      </w:r>
      <w:r w:rsidR="00333D17" w:rsidRPr="00333D17">
        <w:rPr>
          <w:rFonts w:ascii="仿宋_GB2312" w:eastAsia="仿宋_GB2312" w:hint="eastAsia"/>
          <w:kern w:val="0"/>
          <w:sz w:val="32"/>
          <w:szCs w:val="32"/>
        </w:rPr>
        <w:t>江门市人民政府关于进一步深化预算管理制度改革的实施意见</w:t>
      </w:r>
      <w:r w:rsidR="00333D17">
        <w:rPr>
          <w:rFonts w:ascii="仿宋_GB2312" w:eastAsia="仿宋_GB2312" w:hint="eastAsia"/>
          <w:kern w:val="0"/>
          <w:sz w:val="32"/>
          <w:szCs w:val="32"/>
        </w:rPr>
        <w:t>》</w:t>
      </w:r>
      <w:r w:rsidR="00942356">
        <w:rPr>
          <w:rFonts w:ascii="仿宋_GB2312" w:eastAsia="仿宋_GB2312" w:hint="eastAsia"/>
          <w:kern w:val="0"/>
          <w:sz w:val="32"/>
          <w:szCs w:val="32"/>
        </w:rPr>
        <w:t>（江府〔2022〕21号，以下简称《实施意见》）。</w:t>
      </w:r>
    </w:p>
    <w:p w:rsidR="00335329" w:rsidRDefault="00335329" w:rsidP="00335329">
      <w:pPr>
        <w:spacing w:line="6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二、主要依据</w:t>
      </w:r>
    </w:p>
    <w:p w:rsidR="00335329" w:rsidRDefault="00335329" w:rsidP="00335329">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（一）《中华人民共和国预算法》；</w:t>
      </w:r>
    </w:p>
    <w:p w:rsidR="00335329" w:rsidRDefault="00335329" w:rsidP="00335329">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00942356">
        <w:rPr>
          <w:rFonts w:ascii="仿宋_GB2312" w:eastAsia="仿宋_GB2312" w:hint="eastAsia"/>
          <w:kern w:val="0"/>
          <w:sz w:val="32"/>
          <w:szCs w:val="32"/>
        </w:rPr>
        <w:t>《关于进一步深化预算管理制度改革的意见》（国发〔2021〕5号）</w:t>
      </w:r>
      <w:r>
        <w:rPr>
          <w:rFonts w:ascii="仿宋_GB2312" w:eastAsia="仿宋_GB2312" w:hint="eastAsia"/>
          <w:sz w:val="32"/>
          <w:szCs w:val="32"/>
        </w:rPr>
        <w:t>；</w:t>
      </w:r>
    </w:p>
    <w:p w:rsidR="00335329" w:rsidRDefault="00335329" w:rsidP="00335329">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00942356">
        <w:rPr>
          <w:rFonts w:ascii="仿宋_GB2312" w:eastAsia="仿宋_GB2312" w:hint="eastAsia"/>
          <w:kern w:val="0"/>
          <w:sz w:val="32"/>
          <w:szCs w:val="32"/>
        </w:rPr>
        <w:t>《关于加强统筹进一步深化预算管理制度改革的实施意见》（粤府〔2021〕34号）</w:t>
      </w:r>
      <w:r>
        <w:rPr>
          <w:rFonts w:ascii="仿宋_GB2312" w:eastAsia="仿宋_GB2312" w:hint="eastAsia"/>
          <w:sz w:val="32"/>
          <w:szCs w:val="32"/>
        </w:rPr>
        <w:t>。</w:t>
      </w:r>
    </w:p>
    <w:p w:rsidR="00335329" w:rsidRDefault="00335329" w:rsidP="00942356">
      <w:pPr>
        <w:spacing w:line="600" w:lineRule="exact"/>
        <w:ind w:firstLine="645"/>
        <w:rPr>
          <w:rFonts w:ascii="黑体" w:eastAsia="黑体" w:hAnsi="黑体"/>
          <w:color w:val="000000"/>
          <w:sz w:val="32"/>
          <w:szCs w:val="32"/>
        </w:rPr>
      </w:pPr>
      <w:r>
        <w:rPr>
          <w:rFonts w:ascii="黑体" w:eastAsia="黑体" w:hAnsi="黑体" w:hint="eastAsia"/>
          <w:color w:val="000000"/>
          <w:sz w:val="32"/>
          <w:szCs w:val="32"/>
        </w:rPr>
        <w:t>三、主要内容</w:t>
      </w:r>
    </w:p>
    <w:p w:rsidR="007B028B" w:rsidRDefault="00335329" w:rsidP="007B028B">
      <w:pPr>
        <w:spacing w:line="560" w:lineRule="exact"/>
        <w:ind w:firstLineChars="200" w:firstLine="643"/>
        <w:rPr>
          <w:rFonts w:ascii="楷体_GB2312" w:eastAsia="楷体_GB2312"/>
          <w:b/>
          <w:sz w:val="32"/>
          <w:szCs w:val="32"/>
        </w:rPr>
      </w:pPr>
      <w:r>
        <w:rPr>
          <w:rFonts w:ascii="仿宋_GB2312" w:eastAsia="仿宋_GB2312" w:hAnsi="黑体" w:cs="仿宋_GB2312" w:hint="eastAsia"/>
          <w:b/>
          <w:kern w:val="0"/>
          <w:sz w:val="32"/>
          <w:szCs w:val="32"/>
        </w:rPr>
        <w:lastRenderedPageBreak/>
        <w:t>（一）</w:t>
      </w:r>
      <w:r w:rsidR="007B028B">
        <w:rPr>
          <w:rFonts w:ascii="楷体_GB2312" w:eastAsia="楷体_GB2312" w:hint="eastAsia"/>
          <w:b/>
          <w:sz w:val="32"/>
          <w:szCs w:val="32"/>
        </w:rPr>
        <w:t>明确三大工作目标。</w:t>
      </w:r>
    </w:p>
    <w:p w:rsidR="007B028B" w:rsidRDefault="007B028B" w:rsidP="007B028B">
      <w:pPr>
        <w:spacing w:line="600" w:lineRule="exact"/>
        <w:ind w:firstLineChars="200" w:firstLine="643"/>
        <w:rPr>
          <w:rFonts w:ascii="仿宋_GB2312" w:eastAsia="仿宋_GB2312"/>
          <w:kern w:val="0"/>
          <w:sz w:val="32"/>
          <w:szCs w:val="32"/>
        </w:rPr>
      </w:pPr>
      <w:r>
        <w:rPr>
          <w:rFonts w:ascii="仿宋_GB2312" w:eastAsia="仿宋_GB2312" w:hint="eastAsia"/>
          <w:b/>
          <w:kern w:val="0"/>
          <w:sz w:val="32"/>
          <w:szCs w:val="32"/>
        </w:rPr>
        <w:t>一是</w:t>
      </w:r>
      <w:r>
        <w:rPr>
          <w:rFonts w:ascii="仿宋_GB2312" w:eastAsia="仿宋_GB2312" w:hint="eastAsia"/>
          <w:kern w:val="0"/>
          <w:sz w:val="32"/>
          <w:szCs w:val="32"/>
        </w:rPr>
        <w:t>增强预算对重大战略任务保障能力。以强化财政资源统筹为核心，围绕双区建设和对接“两个合作区”以及“六大工程”，突出建立大事要事保障机制重点，推进财政资金、政策统筹协同，打通重大战略任务到政策项目的保障链条，实现政策聚焦、资金聚焦、工作聚焦，推动实现“一张蓝图干到底”；</w:t>
      </w:r>
      <w:r>
        <w:rPr>
          <w:rFonts w:ascii="仿宋_GB2312" w:eastAsia="仿宋_GB2312" w:hint="eastAsia"/>
          <w:b/>
          <w:kern w:val="0"/>
          <w:sz w:val="32"/>
          <w:szCs w:val="32"/>
        </w:rPr>
        <w:t>二是</w:t>
      </w:r>
      <w:r>
        <w:rPr>
          <w:rFonts w:ascii="仿宋_GB2312" w:eastAsia="仿宋_GB2312" w:hint="eastAsia"/>
          <w:kern w:val="0"/>
          <w:sz w:val="32"/>
          <w:szCs w:val="32"/>
        </w:rPr>
        <w:t>推动财政资金提质增效。充分发挥全面实施预算绩效管理作用，通过内挖潜力、规范管理、提高效率、激发活力，提升效益；</w:t>
      </w:r>
      <w:r>
        <w:rPr>
          <w:rFonts w:ascii="仿宋_GB2312" w:eastAsia="仿宋_GB2312" w:hint="eastAsia"/>
          <w:b/>
          <w:kern w:val="0"/>
          <w:sz w:val="32"/>
          <w:szCs w:val="32"/>
        </w:rPr>
        <w:t>三是</w:t>
      </w:r>
      <w:r>
        <w:rPr>
          <w:rFonts w:ascii="仿宋_GB2312" w:eastAsia="仿宋_GB2312" w:hint="eastAsia"/>
          <w:kern w:val="0"/>
          <w:sz w:val="32"/>
          <w:szCs w:val="32"/>
        </w:rPr>
        <w:t>构建全市统筹、全域协同、全链条衔接财政管理“一盘棋”格局。依托“数字财政”公共财政管理平台，强化预算和中期财政规划约束，提高财政基础管理水平，提升理财用财能力，突出保基本、防风险，促进财政可持续发展。</w:t>
      </w:r>
    </w:p>
    <w:p w:rsidR="007B028B" w:rsidRDefault="007B028B" w:rsidP="007B028B">
      <w:pPr>
        <w:spacing w:line="600" w:lineRule="exact"/>
        <w:ind w:firstLineChars="200" w:firstLine="643"/>
        <w:rPr>
          <w:rFonts w:ascii="仿宋_GB2312" w:eastAsia="仿宋_GB2312" w:hAnsi="黑体" w:cs="仿宋_GB2312"/>
          <w:b/>
          <w:kern w:val="0"/>
          <w:sz w:val="32"/>
          <w:szCs w:val="32"/>
        </w:rPr>
      </w:pPr>
      <w:r>
        <w:rPr>
          <w:rFonts w:ascii="楷体_GB2312" w:eastAsia="楷体_GB2312" w:hint="eastAsia"/>
          <w:b/>
          <w:kern w:val="0"/>
          <w:sz w:val="32"/>
          <w:szCs w:val="32"/>
        </w:rPr>
        <w:t>（二）提出10项的具体改革措施。</w:t>
      </w:r>
    </w:p>
    <w:p w:rsidR="00A64E1D" w:rsidRDefault="00A64E1D" w:rsidP="00A64E1D">
      <w:pPr>
        <w:spacing w:line="560" w:lineRule="exact"/>
        <w:ind w:firstLineChars="221" w:firstLine="707"/>
        <w:rPr>
          <w:rFonts w:ascii="仿宋_GB2312" w:eastAsia="仿宋_GB2312"/>
          <w:sz w:val="32"/>
          <w:szCs w:val="32"/>
        </w:rPr>
      </w:pPr>
      <w:r>
        <w:rPr>
          <w:rFonts w:ascii="仿宋_GB2312" w:eastAsia="仿宋_GB2312" w:hint="eastAsia"/>
          <w:sz w:val="32"/>
          <w:szCs w:val="32"/>
        </w:rPr>
        <w:t>为实现这三大目标，推进新一轮预算管理改革，《实施意见》提出十条具体措施。</w:t>
      </w:r>
      <w:r>
        <w:rPr>
          <w:rFonts w:ascii="仿宋_GB2312" w:eastAsia="仿宋_GB2312" w:hint="eastAsia"/>
          <w:kern w:val="0"/>
          <w:sz w:val="32"/>
          <w:szCs w:val="32"/>
        </w:rPr>
        <w:t>可简要概括为</w:t>
      </w:r>
      <w:r>
        <w:rPr>
          <w:rFonts w:ascii="仿宋_GB2312" w:eastAsia="仿宋_GB2312" w:hint="eastAsia"/>
          <w:sz w:val="32"/>
          <w:szCs w:val="32"/>
        </w:rPr>
        <w:t>：建立一个机制，加强两个统筹，健全五项基础，增强两项能力。</w:t>
      </w:r>
    </w:p>
    <w:p w:rsidR="00A64E1D" w:rsidRDefault="00A64E1D" w:rsidP="00C053CD">
      <w:pPr>
        <w:spacing w:line="560" w:lineRule="exact"/>
        <w:ind w:firstLineChars="200" w:firstLine="643"/>
        <w:rPr>
          <w:rFonts w:ascii="仿宋_GB2312" w:eastAsia="仿宋_GB2312"/>
          <w:kern w:val="0"/>
          <w:sz w:val="32"/>
          <w:szCs w:val="32"/>
        </w:rPr>
      </w:pPr>
      <w:r>
        <w:rPr>
          <w:rFonts w:ascii="楷体_GB2312" w:eastAsia="楷体_GB2312" w:hint="eastAsia"/>
          <w:b/>
          <w:sz w:val="32"/>
          <w:szCs w:val="32"/>
        </w:rPr>
        <w:t>1.建立一个机制</w:t>
      </w:r>
      <w:r>
        <w:rPr>
          <w:rFonts w:ascii="仿宋_GB2312" w:eastAsia="仿宋_GB2312" w:hint="eastAsia"/>
          <w:b/>
          <w:sz w:val="32"/>
          <w:szCs w:val="32"/>
        </w:rPr>
        <w:t>。</w:t>
      </w:r>
      <w:r>
        <w:rPr>
          <w:rFonts w:ascii="仿宋_GB2312" w:eastAsia="仿宋_GB2312" w:hint="eastAsia"/>
          <w:kern w:val="0"/>
          <w:sz w:val="32"/>
          <w:szCs w:val="32"/>
        </w:rPr>
        <w:t>即建立大事要事保障机制，聚焦市委市政府中心工作和部门主责主业，建立全市统一大事要事财政保障清单，清单将作为今后一个时期预算编制和资金安排的依据，清单事项未足额落实前不得安排其他一般性支出。</w:t>
      </w:r>
    </w:p>
    <w:p w:rsidR="00A64E1D" w:rsidRPr="00420E15" w:rsidRDefault="00A64E1D" w:rsidP="00420E15">
      <w:pPr>
        <w:spacing w:line="560" w:lineRule="exact"/>
        <w:ind w:firstLineChars="199" w:firstLine="639"/>
        <w:rPr>
          <w:rFonts w:ascii="楷体_GB2312" w:eastAsia="楷体_GB2312"/>
          <w:b/>
          <w:sz w:val="32"/>
          <w:szCs w:val="32"/>
        </w:rPr>
      </w:pPr>
      <w:r>
        <w:rPr>
          <w:rFonts w:ascii="楷体_GB2312" w:eastAsia="楷体_GB2312" w:hint="eastAsia"/>
          <w:b/>
          <w:sz w:val="32"/>
          <w:szCs w:val="32"/>
        </w:rPr>
        <w:t>2.加强两个统筹。</w:t>
      </w:r>
      <w:r w:rsidRPr="00C053CD">
        <w:rPr>
          <w:rFonts w:ascii="仿宋_GB2312" w:eastAsia="仿宋_GB2312" w:hint="eastAsia"/>
          <w:b/>
          <w:kern w:val="0"/>
          <w:sz w:val="32"/>
          <w:szCs w:val="32"/>
        </w:rPr>
        <w:t>一是</w:t>
      </w:r>
      <w:r>
        <w:rPr>
          <w:rFonts w:ascii="仿宋_GB2312" w:eastAsia="仿宋_GB2312" w:hint="eastAsia"/>
          <w:kern w:val="0"/>
          <w:sz w:val="32"/>
          <w:szCs w:val="32"/>
        </w:rPr>
        <w:t>加强财政资源资产统筹。强化预算体系衔接，强化政府国有资产、土地等资源统筹调配，创新重大项目投融资机制，增厚财力保障能力。</w:t>
      </w:r>
      <w:r w:rsidRPr="00420E15">
        <w:rPr>
          <w:rFonts w:ascii="仿宋_GB2312" w:eastAsia="仿宋_GB2312" w:hint="eastAsia"/>
          <w:b/>
          <w:kern w:val="0"/>
          <w:sz w:val="32"/>
          <w:szCs w:val="32"/>
        </w:rPr>
        <w:t>二是</w:t>
      </w:r>
      <w:r>
        <w:rPr>
          <w:rFonts w:ascii="仿宋_GB2312" w:eastAsia="仿宋_GB2312" w:hint="eastAsia"/>
          <w:kern w:val="0"/>
          <w:sz w:val="32"/>
          <w:szCs w:val="32"/>
        </w:rPr>
        <w:t>加强财政支出政策统筹。严控一般性增支，加强各部门政策资金协调，推广涉农资金统筹</w:t>
      </w:r>
      <w:r>
        <w:rPr>
          <w:rFonts w:ascii="仿宋_GB2312" w:eastAsia="仿宋_GB2312" w:hint="eastAsia"/>
          <w:kern w:val="0"/>
          <w:sz w:val="32"/>
          <w:szCs w:val="32"/>
        </w:rPr>
        <w:lastRenderedPageBreak/>
        <w:t>整合改革经验，提高财政资金和政策协同效益。</w:t>
      </w:r>
    </w:p>
    <w:p w:rsidR="00A64E1D" w:rsidRPr="00AB2981" w:rsidRDefault="00A64E1D" w:rsidP="00AB2981">
      <w:pPr>
        <w:spacing w:line="560" w:lineRule="exact"/>
        <w:ind w:firstLineChars="221" w:firstLine="710"/>
        <w:rPr>
          <w:rFonts w:ascii="楷体_GB2312" w:eastAsia="楷体_GB2312"/>
          <w:b/>
          <w:sz w:val="32"/>
          <w:szCs w:val="32"/>
        </w:rPr>
      </w:pPr>
      <w:r>
        <w:rPr>
          <w:rFonts w:ascii="楷体_GB2312" w:eastAsia="楷体_GB2312" w:hint="eastAsia"/>
          <w:b/>
          <w:sz w:val="32"/>
          <w:szCs w:val="32"/>
        </w:rPr>
        <w:t>3.健全五项基础。</w:t>
      </w:r>
      <w:r>
        <w:rPr>
          <w:rFonts w:ascii="仿宋_GB2312" w:eastAsia="仿宋_GB2312" w:hint="eastAsia"/>
          <w:b/>
          <w:kern w:val="0"/>
          <w:sz w:val="32"/>
          <w:szCs w:val="32"/>
        </w:rPr>
        <w:t>一是</w:t>
      </w:r>
      <w:r>
        <w:rPr>
          <w:rFonts w:ascii="仿宋_GB2312" w:eastAsia="仿宋_GB2312" w:hint="eastAsia"/>
          <w:kern w:val="0"/>
          <w:sz w:val="32"/>
          <w:szCs w:val="32"/>
        </w:rPr>
        <w:t>推动预算绩效管理提质增效，增强部门主体责任，开展重大政策和项目事前绩效评估工作，加强绩效评价结果应用；</w:t>
      </w:r>
      <w:r>
        <w:rPr>
          <w:rFonts w:ascii="仿宋_GB2312" w:eastAsia="仿宋_GB2312" w:hint="eastAsia"/>
          <w:b/>
          <w:kern w:val="0"/>
          <w:sz w:val="32"/>
          <w:szCs w:val="32"/>
        </w:rPr>
        <w:t>二是</w:t>
      </w:r>
      <w:r>
        <w:rPr>
          <w:rFonts w:ascii="仿宋_GB2312" w:eastAsia="仿宋_GB2312" w:hint="eastAsia"/>
          <w:kern w:val="0"/>
          <w:sz w:val="32"/>
          <w:szCs w:val="32"/>
        </w:rPr>
        <w:t>完善预算编制和执行管理，强调所有收支纳入预算编制，强化中期财政规划约束项目管理，完善预算决策机制和程序，要求各级预算、决算草案提请本级人大或其常委会审查批准前，应当按程序报本级党委和政府审议；各部门预算草案应当报本部门党组（党委）审议</w:t>
      </w:r>
      <w:r w:rsidR="00AB2981">
        <w:rPr>
          <w:rFonts w:ascii="仿宋_GB2312" w:eastAsia="仿宋_GB2312" w:hint="eastAsia"/>
          <w:kern w:val="0"/>
          <w:sz w:val="32"/>
          <w:szCs w:val="32"/>
        </w:rPr>
        <w:t>；</w:t>
      </w:r>
      <w:r>
        <w:rPr>
          <w:rFonts w:ascii="仿宋_GB2312" w:eastAsia="仿宋_GB2312" w:hint="eastAsia"/>
          <w:b/>
          <w:kern w:val="0"/>
          <w:sz w:val="32"/>
          <w:szCs w:val="32"/>
        </w:rPr>
        <w:t>三是</w:t>
      </w:r>
      <w:r>
        <w:rPr>
          <w:rFonts w:ascii="仿宋_GB2312" w:eastAsia="仿宋_GB2312" w:hint="eastAsia"/>
          <w:kern w:val="0"/>
          <w:sz w:val="32"/>
          <w:szCs w:val="32"/>
        </w:rPr>
        <w:t>健全常态化财政资金直达机制管理，稳步扩大直达资金管理范围，加强部门协同联动，资金监管“一竿子插到底”，推进直达资金“秒审秒达”；</w:t>
      </w:r>
      <w:r>
        <w:rPr>
          <w:rFonts w:ascii="仿宋_GB2312" w:eastAsia="仿宋_GB2312" w:hint="eastAsia"/>
          <w:b/>
          <w:kern w:val="0"/>
          <w:sz w:val="32"/>
          <w:szCs w:val="32"/>
        </w:rPr>
        <w:t>四是</w:t>
      </w:r>
      <w:r>
        <w:rPr>
          <w:rFonts w:ascii="仿宋_GB2312" w:eastAsia="仿宋_GB2312" w:hint="eastAsia"/>
          <w:kern w:val="0"/>
          <w:sz w:val="32"/>
          <w:szCs w:val="32"/>
        </w:rPr>
        <w:t>推进项目支出标准体系建设，建立健全地方基本公共服务保障标准体系和民生支出清单管理制度，加强民生政策事前论证评估，市、县（市、区）出台民生政策或实施提标扩围前按程序报上级备案后执行；</w:t>
      </w:r>
      <w:r>
        <w:rPr>
          <w:rFonts w:ascii="仿宋_GB2312" w:eastAsia="仿宋_GB2312" w:hint="eastAsia"/>
          <w:b/>
          <w:kern w:val="0"/>
          <w:sz w:val="32"/>
          <w:szCs w:val="32"/>
        </w:rPr>
        <w:t>五是</w:t>
      </w:r>
      <w:r>
        <w:rPr>
          <w:rFonts w:ascii="仿宋_GB2312" w:eastAsia="仿宋_GB2312" w:hint="eastAsia"/>
          <w:kern w:val="0"/>
          <w:sz w:val="32"/>
          <w:szCs w:val="32"/>
        </w:rPr>
        <w:t>强化预算监督和公开透明，发挥多种监督方式的协同效应，强调融合“数字财政”建设，实现资金从预算安排源头到使用末端全过程来源清晰、流向明确、账目可查、账实相符。</w:t>
      </w:r>
    </w:p>
    <w:p w:rsidR="007B028B" w:rsidRPr="00AB2981" w:rsidRDefault="00A64E1D" w:rsidP="00AB2981">
      <w:pPr>
        <w:spacing w:line="560" w:lineRule="exact"/>
        <w:ind w:firstLineChars="221" w:firstLine="710"/>
        <w:rPr>
          <w:rFonts w:ascii="楷体_GB2312" w:eastAsia="楷体_GB2312"/>
          <w:b/>
          <w:sz w:val="32"/>
          <w:szCs w:val="32"/>
        </w:rPr>
      </w:pPr>
      <w:r>
        <w:rPr>
          <w:rFonts w:ascii="楷体_GB2312" w:eastAsia="楷体_GB2312" w:hint="eastAsia"/>
          <w:b/>
          <w:sz w:val="32"/>
          <w:szCs w:val="32"/>
        </w:rPr>
        <w:t>4.增强两项能力。</w:t>
      </w:r>
      <w:r>
        <w:rPr>
          <w:rFonts w:ascii="仿宋_GB2312" w:eastAsia="仿宋_GB2312" w:hint="eastAsia"/>
          <w:b/>
          <w:kern w:val="0"/>
          <w:sz w:val="32"/>
          <w:szCs w:val="32"/>
        </w:rPr>
        <w:t>一是</w:t>
      </w:r>
      <w:r>
        <w:rPr>
          <w:rFonts w:ascii="仿宋_GB2312" w:eastAsia="仿宋_GB2312" w:hint="eastAsia"/>
          <w:kern w:val="0"/>
          <w:sz w:val="32"/>
          <w:szCs w:val="32"/>
        </w:rPr>
        <w:t>增强财政可持续发展能力。建立健全规范的地方政府举债融资机制，新出台增加财政支出的重大政策或实施重大项目投资要按规定进行财政承受能力评估，不得新增财政暂付款挂账规模，防范财政运行风险。</w:t>
      </w:r>
      <w:r>
        <w:rPr>
          <w:rFonts w:ascii="仿宋_GB2312" w:eastAsia="仿宋_GB2312" w:hint="eastAsia"/>
          <w:b/>
          <w:kern w:val="0"/>
          <w:sz w:val="32"/>
          <w:szCs w:val="32"/>
        </w:rPr>
        <w:t>二是</w:t>
      </w:r>
      <w:r>
        <w:rPr>
          <w:rFonts w:ascii="仿宋_GB2312" w:eastAsia="仿宋_GB2312" w:hint="eastAsia"/>
          <w:kern w:val="0"/>
          <w:sz w:val="32"/>
          <w:szCs w:val="32"/>
        </w:rPr>
        <w:t>增强基层谋事干事能力。依托“数字财政”建设，建立市对县（市、区）、县（市、区）对镇（街）财政预算安排审核机制，</w:t>
      </w:r>
      <w:r w:rsidR="00AB2981">
        <w:rPr>
          <w:rFonts w:ascii="仿宋_GB2312" w:eastAsia="仿宋_GB2312" w:hint="eastAsia"/>
          <w:kern w:val="0"/>
          <w:sz w:val="32"/>
          <w:szCs w:val="32"/>
        </w:rPr>
        <w:t>完善县级财政管理绩效评价机制，规范基层财政和财务管理，建设高素质专业</w:t>
      </w:r>
      <w:r w:rsidR="00AB2981">
        <w:rPr>
          <w:rFonts w:ascii="仿宋_GB2312" w:eastAsia="仿宋_GB2312" w:hint="eastAsia"/>
          <w:kern w:val="0"/>
          <w:sz w:val="32"/>
          <w:szCs w:val="32"/>
        </w:rPr>
        <w:lastRenderedPageBreak/>
        <w:t>化财政干部队伍，促进全市预算管理整体水平提升</w:t>
      </w:r>
      <w:r>
        <w:rPr>
          <w:rFonts w:ascii="仿宋_GB2312" w:eastAsia="仿宋_GB2312" w:hint="eastAsia"/>
          <w:kern w:val="0"/>
          <w:sz w:val="32"/>
          <w:szCs w:val="32"/>
        </w:rPr>
        <w:t>。</w:t>
      </w:r>
    </w:p>
    <w:p w:rsidR="00335329" w:rsidRPr="00957CDD" w:rsidRDefault="00335329" w:rsidP="00335329">
      <w:pPr>
        <w:rPr>
          <w:rFonts w:ascii="仿宋_GB2312" w:eastAsia="仿宋_GB2312"/>
          <w:sz w:val="32"/>
          <w:szCs w:val="32"/>
        </w:rPr>
      </w:pPr>
    </w:p>
    <w:sectPr w:rsidR="00335329" w:rsidRPr="00957CDD" w:rsidSect="005B091A">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329" w:rsidRDefault="00335329" w:rsidP="00335329">
      <w:r>
        <w:separator/>
      </w:r>
    </w:p>
  </w:endnote>
  <w:endnote w:type="continuationSeparator" w:id="0">
    <w:p w:rsidR="00335329" w:rsidRDefault="00335329" w:rsidP="0033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329" w:rsidRDefault="00335329" w:rsidP="00335329">
      <w:r>
        <w:separator/>
      </w:r>
    </w:p>
  </w:footnote>
  <w:footnote w:type="continuationSeparator" w:id="0">
    <w:p w:rsidR="00335329" w:rsidRDefault="00335329" w:rsidP="00335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1338EE"/>
    <w:rsid w:val="00313E28"/>
    <w:rsid w:val="00333D17"/>
    <w:rsid w:val="00335329"/>
    <w:rsid w:val="00420E15"/>
    <w:rsid w:val="005B091A"/>
    <w:rsid w:val="007A3425"/>
    <w:rsid w:val="007B028B"/>
    <w:rsid w:val="0088743B"/>
    <w:rsid w:val="00942356"/>
    <w:rsid w:val="00957CDD"/>
    <w:rsid w:val="00A64E1D"/>
    <w:rsid w:val="00AB2981"/>
    <w:rsid w:val="00B4133F"/>
    <w:rsid w:val="00B76B6D"/>
    <w:rsid w:val="00C05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35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35329"/>
    <w:rPr>
      <w:kern w:val="2"/>
      <w:sz w:val="18"/>
      <w:szCs w:val="18"/>
    </w:rPr>
  </w:style>
  <w:style w:type="paragraph" w:styleId="a4">
    <w:name w:val="footer"/>
    <w:basedOn w:val="a"/>
    <w:link w:val="Char0"/>
    <w:rsid w:val="00335329"/>
    <w:pPr>
      <w:tabs>
        <w:tab w:val="center" w:pos="4153"/>
        <w:tab w:val="right" w:pos="8306"/>
      </w:tabs>
      <w:snapToGrid w:val="0"/>
      <w:jc w:val="left"/>
    </w:pPr>
    <w:rPr>
      <w:sz w:val="18"/>
      <w:szCs w:val="18"/>
    </w:rPr>
  </w:style>
  <w:style w:type="character" w:customStyle="1" w:styleId="Char0">
    <w:name w:val="页脚 Char"/>
    <w:basedOn w:val="a0"/>
    <w:link w:val="a4"/>
    <w:rsid w:val="0033532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35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35329"/>
    <w:rPr>
      <w:kern w:val="2"/>
      <w:sz w:val="18"/>
      <w:szCs w:val="18"/>
    </w:rPr>
  </w:style>
  <w:style w:type="paragraph" w:styleId="a4">
    <w:name w:val="footer"/>
    <w:basedOn w:val="a"/>
    <w:link w:val="Char0"/>
    <w:rsid w:val="00335329"/>
    <w:pPr>
      <w:tabs>
        <w:tab w:val="center" w:pos="4153"/>
        <w:tab w:val="right" w:pos="8306"/>
      </w:tabs>
      <w:snapToGrid w:val="0"/>
      <w:jc w:val="left"/>
    </w:pPr>
    <w:rPr>
      <w:sz w:val="18"/>
      <w:szCs w:val="18"/>
    </w:rPr>
  </w:style>
  <w:style w:type="character" w:customStyle="1" w:styleId="Char0">
    <w:name w:val="页脚 Char"/>
    <w:basedOn w:val="a0"/>
    <w:link w:val="a4"/>
    <w:rsid w:val="003353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42815">
      <w:bodyDiv w:val="1"/>
      <w:marLeft w:val="0"/>
      <w:marRight w:val="0"/>
      <w:marTop w:val="0"/>
      <w:marBottom w:val="0"/>
      <w:divBdr>
        <w:top w:val="none" w:sz="0" w:space="0" w:color="auto"/>
        <w:left w:val="none" w:sz="0" w:space="0" w:color="auto"/>
        <w:bottom w:val="none" w:sz="0" w:space="0" w:color="auto"/>
        <w:right w:val="none" w:sz="0" w:space="0" w:color="auto"/>
      </w:divBdr>
    </w:div>
    <w:div w:id="1744984510">
      <w:bodyDiv w:val="1"/>
      <w:marLeft w:val="0"/>
      <w:marRight w:val="0"/>
      <w:marTop w:val="0"/>
      <w:marBottom w:val="0"/>
      <w:divBdr>
        <w:top w:val="none" w:sz="0" w:space="0" w:color="auto"/>
        <w:left w:val="none" w:sz="0" w:space="0" w:color="auto"/>
        <w:bottom w:val="none" w:sz="0" w:space="0" w:color="auto"/>
        <w:right w:val="none" w:sz="0" w:space="0" w:color="auto"/>
      </w:divBdr>
    </w:div>
    <w:div w:id="20088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244</Words>
  <Characters>1393</Characters>
  <Application>Microsoft Office Word</Application>
  <DocSecurity>0</DocSecurity>
  <Lines>11</Lines>
  <Paragraphs>3</Paragraphs>
  <ScaleCrop>false</ScaleCrop>
  <Company>WwW.YlmF.CoM</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7</cp:revision>
  <dcterms:created xsi:type="dcterms:W3CDTF">2015-11-06T06:48:00Z</dcterms:created>
  <dcterms:modified xsi:type="dcterms:W3CDTF">2022-08-03T09:48:00Z</dcterms:modified>
</cp:coreProperties>
</file>