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12" w:lineRule="auto"/>
        <w:jc w:val="left"/>
        <w:rPr>
          <w:rFonts w:eastAsia="仿宋_GB2312"/>
          <w:sz w:val="32"/>
          <w:szCs w:val="32"/>
        </w:rPr>
      </w:pPr>
      <w:r>
        <w:rPr>
          <w:rFonts w:hint="eastAsia" w:eastAsia="仿宋_GB2312" w:cs="仿宋_GB2312"/>
          <w:sz w:val="32"/>
          <w:szCs w:val="32"/>
        </w:rPr>
        <w:t>附件</w:t>
      </w:r>
      <w:r>
        <w:rPr>
          <w:sz w:val="32"/>
          <w:szCs w:val="32"/>
        </w:rPr>
        <w:t>2</w:t>
      </w:r>
    </w:p>
    <w:p>
      <w:pPr>
        <w:jc w:val="center"/>
        <w:rPr>
          <w:rFonts w:ascii="宋体"/>
          <w:b/>
          <w:bCs/>
          <w:sz w:val="44"/>
          <w:szCs w:val="44"/>
        </w:rPr>
      </w:pPr>
    </w:p>
    <w:p>
      <w:pPr>
        <w:jc w:val="center"/>
        <w:rPr>
          <w:rFonts w:ascii="宋体"/>
          <w:b/>
          <w:bCs/>
          <w:sz w:val="40"/>
          <w:szCs w:val="40"/>
        </w:rPr>
      </w:pPr>
      <w:r>
        <w:rPr>
          <w:rFonts w:hint="eastAsia" w:ascii="宋体" w:hAnsi="宋体" w:cs="宋体"/>
          <w:b/>
          <w:bCs/>
          <w:kern w:val="36"/>
          <w:sz w:val="40"/>
          <w:szCs w:val="40"/>
        </w:rPr>
        <w:t>江门市农业科技创新中心“市现代农业综合示范基地温室大棚台风灾害保险”采购</w:t>
      </w:r>
      <w:r>
        <w:rPr>
          <w:rFonts w:hint="eastAsia" w:ascii="宋体" w:hAnsi="宋体" w:cs="宋体"/>
          <w:b/>
          <w:bCs/>
          <w:sz w:val="40"/>
          <w:szCs w:val="40"/>
        </w:rPr>
        <w:t>项目评审办法</w:t>
      </w:r>
    </w:p>
    <w:p>
      <w:pPr>
        <w:ind w:firstLine="640" w:firstLineChars="200"/>
        <w:rPr>
          <w:rFonts w:ascii="黑体" w:hAnsi="黑体" w:eastAsia="黑体"/>
          <w:sz w:val="32"/>
          <w:szCs w:val="32"/>
        </w:rPr>
      </w:pPr>
      <w:r>
        <w:rPr>
          <w:rFonts w:hint="eastAsia" w:ascii="黑体" w:hAnsi="黑体" w:eastAsia="黑体" w:cs="黑体"/>
          <w:sz w:val="32"/>
          <w:szCs w:val="32"/>
        </w:rPr>
        <w:t>一、成立评审小组</w:t>
      </w:r>
    </w:p>
    <w:p>
      <w:pPr>
        <w:ind w:left="630" w:firstLine="640" w:firstLineChars="200"/>
        <w:rPr>
          <w:rFonts w:ascii="仿宋" w:hAnsi="仿宋" w:eastAsia="仿宋"/>
          <w:sz w:val="32"/>
          <w:szCs w:val="32"/>
        </w:rPr>
      </w:pPr>
      <w:r>
        <w:rPr>
          <w:rFonts w:hint="eastAsia" w:ascii="仿宋" w:hAnsi="仿宋" w:eastAsia="仿宋" w:cs="仿宋"/>
          <w:sz w:val="32"/>
          <w:szCs w:val="32"/>
        </w:rPr>
        <w:t>磋商采购评审小组由</w:t>
      </w:r>
      <w:r>
        <w:rPr>
          <w:rFonts w:ascii="仿宋" w:hAnsi="仿宋" w:eastAsia="仿宋" w:cs="仿宋"/>
          <w:sz w:val="32"/>
          <w:szCs w:val="32"/>
        </w:rPr>
        <w:t>5</w:t>
      </w:r>
      <w:r>
        <w:rPr>
          <w:rFonts w:hint="eastAsia" w:ascii="仿宋" w:hAnsi="仿宋" w:eastAsia="仿宋" w:cs="仿宋"/>
          <w:sz w:val="32"/>
          <w:szCs w:val="32"/>
        </w:rPr>
        <w:t>人组成（我中心</w:t>
      </w:r>
      <w:r>
        <w:rPr>
          <w:rFonts w:ascii="仿宋" w:hAnsi="仿宋" w:eastAsia="仿宋" w:cs="仿宋"/>
          <w:sz w:val="32"/>
          <w:szCs w:val="32"/>
        </w:rPr>
        <w:t>2</w:t>
      </w:r>
      <w:r>
        <w:rPr>
          <w:rFonts w:hint="eastAsia" w:ascii="仿宋" w:hAnsi="仿宋" w:eastAsia="仿宋" w:cs="仿宋"/>
          <w:sz w:val="32"/>
          <w:szCs w:val="32"/>
        </w:rPr>
        <w:t>人、专家库抽选会计、农业、律师方面专家</w:t>
      </w:r>
      <w:r>
        <w:rPr>
          <w:rFonts w:hint="eastAsia" w:ascii="仿宋" w:hAnsi="仿宋" w:eastAsia="仿宋" w:cs="仿宋"/>
          <w:sz w:val="32"/>
          <w:szCs w:val="32"/>
          <w:lang w:val="en-US" w:eastAsia="zh-CN"/>
        </w:rPr>
        <w:t>各1</w:t>
      </w:r>
      <w:r>
        <w:rPr>
          <w:rFonts w:hint="eastAsia" w:ascii="仿宋" w:hAnsi="仿宋" w:eastAsia="仿宋" w:cs="仿宋"/>
          <w:sz w:val="32"/>
          <w:szCs w:val="32"/>
        </w:rPr>
        <w:t>人）；磋商采购评审会议提前</w:t>
      </w:r>
      <w:r>
        <w:rPr>
          <w:rFonts w:ascii="仿宋" w:hAnsi="仿宋" w:eastAsia="仿宋" w:cs="仿宋"/>
          <w:sz w:val="32"/>
          <w:szCs w:val="32"/>
        </w:rPr>
        <w:t>2</w:t>
      </w:r>
      <w:r>
        <w:rPr>
          <w:rFonts w:hint="eastAsia" w:ascii="仿宋" w:hAnsi="仿宋" w:eastAsia="仿宋" w:cs="仿宋"/>
          <w:sz w:val="32"/>
          <w:szCs w:val="32"/>
        </w:rPr>
        <w:t>天报备市农业农村局纪检组并接受监督，按上述磋商评审办法进行评标，择优确定中标单位。</w:t>
      </w:r>
    </w:p>
    <w:p>
      <w:pPr>
        <w:ind w:left="630"/>
        <w:rPr>
          <w:rFonts w:ascii="仿宋" w:hAnsi="仿宋" w:eastAsia="仿宋"/>
          <w:sz w:val="32"/>
          <w:szCs w:val="32"/>
        </w:rPr>
      </w:pPr>
      <w:r>
        <w:rPr>
          <w:rFonts w:ascii="仿宋" w:hAnsi="仿宋" w:eastAsia="仿宋" w:cs="仿宋"/>
          <w:sz w:val="32"/>
          <w:szCs w:val="32"/>
        </w:rPr>
        <w:t>(</w:t>
      </w:r>
      <w:r>
        <w:rPr>
          <w:rFonts w:hint="eastAsia" w:ascii="仿宋" w:hAnsi="仿宋" w:eastAsia="仿宋" w:cs="仿宋"/>
          <w:sz w:val="32"/>
          <w:szCs w:val="32"/>
        </w:rPr>
        <w:t>一</w:t>
      </w:r>
      <w:r>
        <w:rPr>
          <w:rFonts w:ascii="仿宋" w:hAnsi="仿宋" w:eastAsia="仿宋" w:cs="仿宋"/>
          <w:sz w:val="32"/>
          <w:szCs w:val="32"/>
        </w:rPr>
        <w:t>)</w:t>
      </w:r>
      <w:r>
        <w:rPr>
          <w:rFonts w:hint="eastAsia" w:ascii="仿宋" w:hAnsi="仿宋" w:eastAsia="仿宋" w:cs="仿宋"/>
          <w:sz w:val="32"/>
          <w:szCs w:val="32"/>
        </w:rPr>
        <w:t>项目名称：“市现代农业综合示范基地温室大棚台风灾害保险”采购项目。</w:t>
      </w:r>
    </w:p>
    <w:p>
      <w:pPr>
        <w:ind w:left="630"/>
        <w:rPr>
          <w:rFonts w:ascii="仿宋" w:hAnsi="仿宋" w:eastAsia="仿宋"/>
          <w:sz w:val="32"/>
          <w:szCs w:val="32"/>
        </w:rPr>
      </w:pPr>
      <w:r>
        <w:rPr>
          <w:rFonts w:ascii="仿宋" w:hAnsi="仿宋" w:eastAsia="仿宋" w:cs="仿宋"/>
          <w:sz w:val="32"/>
          <w:szCs w:val="32"/>
        </w:rPr>
        <w:t>(</w:t>
      </w:r>
      <w:r>
        <w:rPr>
          <w:rFonts w:hint="eastAsia" w:ascii="仿宋" w:hAnsi="仿宋" w:eastAsia="仿宋" w:cs="仿宋"/>
          <w:sz w:val="32"/>
          <w:szCs w:val="32"/>
        </w:rPr>
        <w:t>二</w:t>
      </w:r>
      <w:r>
        <w:rPr>
          <w:rFonts w:ascii="仿宋" w:hAnsi="仿宋" w:eastAsia="仿宋" w:cs="仿宋"/>
          <w:sz w:val="32"/>
          <w:szCs w:val="32"/>
        </w:rPr>
        <w:t>)</w:t>
      </w:r>
      <w:r>
        <w:rPr>
          <w:rFonts w:hint="eastAsia" w:ascii="仿宋" w:hAnsi="仿宋" w:eastAsia="仿宋" w:cs="仿宋"/>
          <w:sz w:val="32"/>
          <w:szCs w:val="32"/>
        </w:rPr>
        <w:t>保险标的：温室大棚面积共计</w:t>
      </w:r>
      <w:r>
        <w:rPr>
          <w:rFonts w:ascii="仿宋" w:hAnsi="仿宋" w:eastAsia="仿宋" w:cs="仿宋"/>
          <w:sz w:val="32"/>
          <w:szCs w:val="32"/>
        </w:rPr>
        <w:t>51758.4</w:t>
      </w:r>
      <w:r>
        <w:rPr>
          <w:rFonts w:hint="eastAsia" w:ascii="仿宋" w:hAnsi="仿宋" w:eastAsia="仿宋" w:cs="仿宋"/>
          <w:sz w:val="32"/>
          <w:szCs w:val="32"/>
        </w:rPr>
        <w:t>平方米，包含棚架、覆盖材料（薄膜、玻璃等）、棚内设施设备等。</w:t>
      </w:r>
    </w:p>
    <w:p>
      <w:pPr>
        <w:ind w:left="630"/>
        <w:rPr>
          <w:rFonts w:ascii="仿宋" w:hAnsi="仿宋" w:eastAsia="仿宋"/>
          <w:sz w:val="32"/>
          <w:szCs w:val="32"/>
        </w:rPr>
      </w:pPr>
      <w:r>
        <w:rPr>
          <w:rFonts w:ascii="仿宋" w:hAnsi="仿宋" w:eastAsia="仿宋" w:cs="仿宋"/>
          <w:sz w:val="32"/>
          <w:szCs w:val="32"/>
        </w:rPr>
        <w:t>(</w:t>
      </w:r>
      <w:r>
        <w:rPr>
          <w:rFonts w:hint="eastAsia" w:ascii="仿宋" w:hAnsi="仿宋" w:eastAsia="仿宋" w:cs="仿宋"/>
          <w:sz w:val="32"/>
          <w:szCs w:val="32"/>
        </w:rPr>
        <w:t>三</w:t>
      </w:r>
      <w:r>
        <w:rPr>
          <w:rFonts w:ascii="仿宋" w:hAnsi="仿宋" w:eastAsia="仿宋" w:cs="仿宋"/>
          <w:sz w:val="32"/>
          <w:szCs w:val="32"/>
        </w:rPr>
        <w:t>)</w:t>
      </w:r>
      <w:r>
        <w:rPr>
          <w:rFonts w:hint="eastAsia" w:ascii="仿宋" w:hAnsi="仿宋" w:eastAsia="仿宋" w:cs="仿宋"/>
          <w:sz w:val="32"/>
          <w:szCs w:val="32"/>
        </w:rPr>
        <w:t>采购方式：自行采购中的“磋商采购”方式。</w:t>
      </w:r>
    </w:p>
    <w:p>
      <w:pPr>
        <w:ind w:left="630"/>
        <w:rPr>
          <w:rFonts w:hint="eastAsia" w:ascii="仿宋" w:hAnsi="仿宋" w:eastAsia="仿宋" w:cs="仿宋"/>
          <w:sz w:val="32"/>
          <w:szCs w:val="32"/>
        </w:rPr>
      </w:pPr>
      <w:r>
        <w:rPr>
          <w:rFonts w:hint="eastAsia" w:ascii="仿宋" w:hAnsi="仿宋" w:eastAsia="仿宋" w:cs="仿宋"/>
          <w:sz w:val="32"/>
          <w:szCs w:val="32"/>
        </w:rPr>
        <w:t>(四)最高限价为</w:t>
      </w:r>
      <w:r>
        <w:rPr>
          <w:rFonts w:hint="eastAsia" w:ascii="仿宋" w:hAnsi="仿宋" w:eastAsia="仿宋" w:cs="仿宋"/>
          <w:sz w:val="32"/>
          <w:szCs w:val="32"/>
          <w:lang w:val="en-US" w:eastAsia="zh-CN"/>
        </w:rPr>
        <w:t>48</w:t>
      </w:r>
      <w:r>
        <w:rPr>
          <w:rFonts w:hint="eastAsia" w:ascii="仿宋" w:hAnsi="仿宋" w:eastAsia="仿宋" w:cs="仿宋"/>
          <w:sz w:val="32"/>
          <w:szCs w:val="32"/>
        </w:rPr>
        <w:t>万元。</w:t>
      </w:r>
    </w:p>
    <w:p>
      <w:pPr>
        <w:ind w:left="630"/>
        <w:rPr>
          <w:rFonts w:ascii="仿宋" w:hAnsi="仿宋" w:eastAsia="仿宋"/>
          <w:sz w:val="32"/>
          <w:szCs w:val="32"/>
        </w:rPr>
      </w:pPr>
      <w:r>
        <w:rPr>
          <w:rFonts w:ascii="仿宋" w:hAnsi="仿宋" w:eastAsia="仿宋" w:cs="仿宋"/>
          <w:sz w:val="32"/>
          <w:szCs w:val="32"/>
        </w:rPr>
        <w:t>(</w:t>
      </w:r>
      <w:r>
        <w:rPr>
          <w:rFonts w:hint="eastAsia" w:ascii="仿宋" w:hAnsi="仿宋" w:eastAsia="仿宋" w:cs="仿宋"/>
          <w:sz w:val="32"/>
          <w:szCs w:val="32"/>
        </w:rPr>
        <w:t>五</w:t>
      </w:r>
      <w:r>
        <w:rPr>
          <w:rFonts w:ascii="仿宋" w:hAnsi="仿宋" w:eastAsia="仿宋" w:cs="仿宋"/>
          <w:sz w:val="32"/>
          <w:szCs w:val="32"/>
        </w:rPr>
        <w:t>)</w:t>
      </w:r>
      <w:r>
        <w:rPr>
          <w:rFonts w:hint="eastAsia" w:ascii="仿宋" w:hAnsi="仿宋" w:eastAsia="仿宋" w:cs="仿宋"/>
          <w:sz w:val="32"/>
          <w:szCs w:val="32"/>
        </w:rPr>
        <w:t>保险服务期为</w:t>
      </w:r>
      <w:r>
        <w:rPr>
          <w:rFonts w:ascii="仿宋" w:hAnsi="仿宋" w:eastAsia="仿宋" w:cs="仿宋"/>
          <w:sz w:val="32"/>
          <w:szCs w:val="32"/>
        </w:rPr>
        <w:t>1</w:t>
      </w:r>
      <w:r>
        <w:rPr>
          <w:rFonts w:hint="eastAsia" w:ascii="仿宋" w:hAnsi="仿宋" w:eastAsia="仿宋" w:cs="仿宋"/>
          <w:sz w:val="32"/>
          <w:szCs w:val="32"/>
        </w:rPr>
        <w:t>年。</w:t>
      </w:r>
    </w:p>
    <w:p>
      <w:pPr>
        <w:ind w:firstLine="640" w:firstLineChars="200"/>
        <w:rPr>
          <w:rFonts w:ascii="黑体" w:hAnsi="黑体" w:eastAsia="黑体"/>
          <w:sz w:val="32"/>
          <w:szCs w:val="32"/>
        </w:rPr>
      </w:pPr>
      <w:r>
        <w:rPr>
          <w:rFonts w:hint="eastAsia" w:ascii="黑体" w:hAnsi="黑体" w:eastAsia="黑体" w:cs="黑体"/>
          <w:sz w:val="32"/>
          <w:szCs w:val="32"/>
        </w:rPr>
        <w:t>二、发布采购公告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磋商采购公告需在江门市人民政府门户网站江门市农业农村局信息网上公布不少于</w:t>
      </w:r>
      <w:r>
        <w:rPr>
          <w:rFonts w:ascii="仿宋" w:hAnsi="仿宋" w:eastAsia="仿宋" w:cs="仿宋"/>
          <w:sz w:val="32"/>
          <w:szCs w:val="32"/>
        </w:rPr>
        <w:t>3</w:t>
      </w:r>
      <w:r>
        <w:rPr>
          <w:rFonts w:hint="eastAsia" w:ascii="仿宋" w:hAnsi="仿宋" w:eastAsia="仿宋" w:cs="仿宋"/>
          <w:sz w:val="32"/>
          <w:szCs w:val="32"/>
        </w:rPr>
        <w:t>个工作日。</w:t>
      </w:r>
    </w:p>
    <w:p>
      <w:pPr>
        <w:ind w:firstLine="640" w:firstLineChars="200"/>
        <w:rPr>
          <w:rFonts w:ascii="黑体" w:hAnsi="黑体" w:eastAsia="黑体"/>
          <w:sz w:val="32"/>
          <w:szCs w:val="32"/>
        </w:rPr>
      </w:pPr>
      <w:r>
        <w:rPr>
          <w:rFonts w:hint="eastAsia" w:ascii="黑体" w:hAnsi="黑体" w:eastAsia="黑体" w:cs="黑体"/>
          <w:sz w:val="32"/>
          <w:szCs w:val="32"/>
        </w:rPr>
        <w:t>三、评审程序及标准</w:t>
      </w:r>
    </w:p>
    <w:p>
      <w:pPr>
        <w:spacing w:line="360" w:lineRule="auto"/>
        <w:ind w:firstLine="640" w:firstLineChars="200"/>
        <w:outlineLvl w:val="2"/>
        <w:rPr>
          <w:rFonts w:ascii="仿宋" w:hAnsi="仿宋" w:eastAsia="仿宋"/>
          <w:sz w:val="32"/>
          <w:szCs w:val="32"/>
        </w:rPr>
      </w:pPr>
      <w:r>
        <w:rPr>
          <w:rFonts w:hint="eastAsia" w:ascii="仿宋" w:hAnsi="仿宋" w:eastAsia="仿宋" w:cs="仿宋"/>
          <w:sz w:val="32"/>
          <w:szCs w:val="32"/>
        </w:rPr>
        <w:t>评审小组按“资质性评审”、“特定承保要求评审”、“技术商务、价格磋商”和“综合评分”进行项目评审。</w:t>
      </w:r>
    </w:p>
    <w:p>
      <w:pPr>
        <w:pStyle w:val="6"/>
        <w:widowControl/>
        <w:spacing w:beforeAutospacing="0" w:afterAutospacing="0" w:line="600" w:lineRule="atLeast"/>
        <w:ind w:left="640"/>
        <w:jc w:val="both"/>
        <w:rPr>
          <w:rFonts w:ascii="楷体" w:hAnsi="楷体" w:eastAsia="楷体"/>
          <w:b/>
          <w:bCs/>
          <w:kern w:val="2"/>
          <w:sz w:val="32"/>
          <w:szCs w:val="32"/>
        </w:rPr>
      </w:pPr>
      <w:r>
        <w:rPr>
          <w:rFonts w:hint="eastAsia" w:ascii="楷体" w:hAnsi="楷体" w:eastAsia="楷体" w:cs="楷体"/>
          <w:b/>
          <w:bCs/>
          <w:kern w:val="2"/>
          <w:sz w:val="32"/>
          <w:szCs w:val="32"/>
        </w:rPr>
        <w:t>（一）资质性评审要求</w:t>
      </w:r>
    </w:p>
    <w:p>
      <w:pPr>
        <w:spacing w:line="360" w:lineRule="auto"/>
        <w:ind w:firstLine="640" w:firstLineChars="200"/>
        <w:outlineLvl w:val="2"/>
        <w:rPr>
          <w:rFonts w:ascii="仿宋" w:hAnsi="仿宋" w:eastAsia="仿宋"/>
          <w:sz w:val="32"/>
          <w:szCs w:val="32"/>
        </w:rPr>
      </w:pPr>
      <w:r>
        <w:rPr>
          <w:rFonts w:hint="eastAsia" w:ascii="仿宋" w:hAnsi="仿宋" w:eastAsia="仿宋" w:cs="仿宋"/>
          <w:sz w:val="32"/>
          <w:szCs w:val="32"/>
        </w:rPr>
        <w:t>单项响应标志为“√”，不响应标志为“×”。有一个单项不响应，不能进入承保特定要求评审阶段。</w:t>
      </w:r>
    </w:p>
    <w:p>
      <w:pPr>
        <w:ind w:firstLine="640" w:firstLineChars="200"/>
        <w:rPr>
          <w:rFonts w:ascii="仿宋" w:hAnsi="仿宋" w:eastAsia="仿宋"/>
          <w:b/>
          <w:bCs/>
          <w:kern w:val="0"/>
          <w:sz w:val="32"/>
          <w:szCs w:val="32"/>
        </w:rPr>
      </w:pPr>
      <w:r>
        <w:rPr>
          <w:rFonts w:ascii="仿宋" w:hAnsi="仿宋" w:eastAsia="仿宋" w:cs="仿宋"/>
          <w:sz w:val="32"/>
          <w:szCs w:val="32"/>
        </w:rPr>
        <w:t>1</w:t>
      </w:r>
      <w:r>
        <w:rPr>
          <w:rFonts w:hint="eastAsia" w:ascii="仿宋" w:hAnsi="仿宋" w:eastAsia="仿宋" w:cs="仿宋"/>
          <w:sz w:val="32"/>
          <w:szCs w:val="32"/>
        </w:rPr>
        <w:t>、意向方应当是具有合法经营资格的法人。</w:t>
      </w:r>
      <w:r>
        <w:rPr>
          <w:rFonts w:hint="eastAsia" w:ascii="楷体" w:hAnsi="楷体" w:eastAsia="楷体" w:cs="楷体"/>
          <w:b/>
          <w:bCs/>
          <w:sz w:val="32"/>
          <w:szCs w:val="32"/>
        </w:rPr>
        <w:t>（</w:t>
      </w:r>
      <w:r>
        <w:rPr>
          <w:rFonts w:ascii="楷体" w:hAnsi="楷体" w:eastAsia="楷体" w:cs="楷体"/>
          <w:b/>
          <w:bCs/>
          <w:sz w:val="32"/>
          <w:szCs w:val="32"/>
        </w:rPr>
        <w:t xml:space="preserve"> </w:t>
      </w:r>
      <w:r>
        <w:rPr>
          <w:rFonts w:hint="eastAsia" w:ascii="楷体" w:hAnsi="楷体" w:eastAsia="楷体" w:cs="楷体"/>
          <w:b/>
          <w:bCs/>
          <w:sz w:val="32"/>
          <w:szCs w:val="32"/>
        </w:rPr>
        <w:t>）</w:t>
      </w:r>
    </w:p>
    <w:p>
      <w:pPr>
        <w:ind w:firstLine="640" w:firstLineChars="200"/>
        <w:rPr>
          <w:rFonts w:ascii="仿宋" w:hAnsi="仿宋" w:eastAsia="仿宋"/>
          <w:b/>
          <w:bCs/>
          <w:kern w:val="0"/>
          <w:sz w:val="32"/>
          <w:szCs w:val="32"/>
        </w:rPr>
      </w:pPr>
      <w:r>
        <w:rPr>
          <w:rFonts w:ascii="仿宋" w:hAnsi="仿宋" w:eastAsia="仿宋" w:cs="仿宋"/>
          <w:sz w:val="32"/>
          <w:szCs w:val="32"/>
        </w:rPr>
        <w:t>2</w:t>
      </w:r>
      <w:r>
        <w:rPr>
          <w:rFonts w:hint="eastAsia" w:ascii="仿宋" w:hAnsi="仿宋" w:eastAsia="仿宋" w:cs="仿宋"/>
          <w:sz w:val="32"/>
          <w:szCs w:val="32"/>
        </w:rPr>
        <w:t>、参加政府采购活动前三年内，在经营活动中没有重大违法记录。</w:t>
      </w:r>
      <w:r>
        <w:rPr>
          <w:rFonts w:hint="eastAsia" w:ascii="楷体" w:hAnsi="楷体" w:eastAsia="楷体" w:cs="楷体"/>
          <w:b/>
          <w:bCs/>
          <w:sz w:val="32"/>
          <w:szCs w:val="32"/>
        </w:rPr>
        <w:t>（</w:t>
      </w:r>
      <w:r>
        <w:rPr>
          <w:rFonts w:ascii="楷体" w:hAnsi="楷体" w:eastAsia="楷体" w:cs="楷体"/>
          <w:b/>
          <w:bCs/>
          <w:sz w:val="32"/>
          <w:szCs w:val="32"/>
        </w:rPr>
        <w:t xml:space="preserve"> </w:t>
      </w:r>
      <w:r>
        <w:rPr>
          <w:rFonts w:hint="eastAsia" w:ascii="楷体" w:hAnsi="楷体" w:eastAsia="楷体" w:cs="楷体"/>
          <w:b/>
          <w:bCs/>
          <w:sz w:val="32"/>
          <w:szCs w:val="32"/>
        </w:rPr>
        <w:t>）</w:t>
      </w:r>
    </w:p>
    <w:p>
      <w:pPr>
        <w:ind w:firstLine="640" w:firstLineChars="200"/>
        <w:rPr>
          <w:rFonts w:ascii="仿宋" w:hAnsi="仿宋" w:eastAsia="仿宋"/>
          <w:b/>
          <w:bCs/>
          <w:kern w:val="0"/>
          <w:sz w:val="32"/>
          <w:szCs w:val="32"/>
        </w:rPr>
      </w:pPr>
      <w:r>
        <w:rPr>
          <w:rFonts w:ascii="仿宋" w:hAnsi="仿宋" w:eastAsia="仿宋" w:cs="仿宋"/>
          <w:sz w:val="32"/>
          <w:szCs w:val="32"/>
        </w:rPr>
        <w:t>3</w:t>
      </w:r>
      <w:r>
        <w:rPr>
          <w:rFonts w:hint="eastAsia" w:ascii="仿宋" w:hAnsi="仿宋" w:eastAsia="仿宋" w:cs="仿宋"/>
          <w:sz w:val="32"/>
          <w:szCs w:val="32"/>
        </w:rPr>
        <w:t>、意向方的投标报价不得高于控制价。</w:t>
      </w:r>
      <w:r>
        <w:rPr>
          <w:rFonts w:hint="eastAsia" w:ascii="楷体" w:hAnsi="楷体" w:eastAsia="楷体" w:cs="楷体"/>
          <w:b/>
          <w:bCs/>
          <w:sz w:val="32"/>
          <w:szCs w:val="32"/>
        </w:rPr>
        <w:t>（</w:t>
      </w:r>
      <w:r>
        <w:rPr>
          <w:rFonts w:ascii="楷体" w:hAnsi="楷体" w:eastAsia="楷体" w:cs="楷体"/>
          <w:b/>
          <w:bCs/>
          <w:sz w:val="32"/>
          <w:szCs w:val="32"/>
        </w:rPr>
        <w:t xml:space="preserve"> </w:t>
      </w:r>
      <w:r>
        <w:rPr>
          <w:rFonts w:hint="eastAsia" w:ascii="楷体" w:hAnsi="楷体" w:eastAsia="楷体" w:cs="楷体"/>
          <w:b/>
          <w:bCs/>
          <w:sz w:val="32"/>
          <w:szCs w:val="32"/>
        </w:rPr>
        <w:t>）</w:t>
      </w:r>
    </w:p>
    <w:p>
      <w:pPr>
        <w:ind w:firstLine="640" w:firstLineChars="200"/>
        <w:rPr>
          <w:rFonts w:ascii="仿宋" w:hAnsi="仿宋" w:eastAsia="仿宋"/>
          <w:b/>
          <w:bCs/>
          <w:kern w:val="0"/>
          <w:sz w:val="32"/>
          <w:szCs w:val="32"/>
        </w:rPr>
      </w:pPr>
      <w:r>
        <w:rPr>
          <w:rFonts w:ascii="仿宋" w:hAnsi="仿宋" w:eastAsia="仿宋" w:cs="仿宋"/>
          <w:sz w:val="32"/>
          <w:szCs w:val="32"/>
        </w:rPr>
        <w:t>4</w:t>
      </w:r>
      <w:r>
        <w:rPr>
          <w:rFonts w:hint="eastAsia" w:ascii="仿宋" w:hAnsi="仿宋" w:eastAsia="仿宋" w:cs="仿宋"/>
          <w:sz w:val="32"/>
          <w:szCs w:val="32"/>
        </w:rPr>
        <w:t>、授权、签名、盖章符合相关规定。</w:t>
      </w:r>
      <w:r>
        <w:rPr>
          <w:rFonts w:hint="eastAsia" w:ascii="楷体" w:hAnsi="楷体" w:eastAsia="楷体" w:cs="楷体"/>
          <w:b/>
          <w:bCs/>
          <w:sz w:val="32"/>
          <w:szCs w:val="32"/>
        </w:rPr>
        <w:t>（</w:t>
      </w:r>
      <w:r>
        <w:rPr>
          <w:rFonts w:ascii="楷体" w:hAnsi="楷体" w:eastAsia="楷体" w:cs="楷体"/>
          <w:b/>
          <w:bCs/>
          <w:sz w:val="32"/>
          <w:szCs w:val="32"/>
        </w:rPr>
        <w:t xml:space="preserve"> </w:t>
      </w:r>
      <w:r>
        <w:rPr>
          <w:rFonts w:hint="eastAsia" w:ascii="楷体" w:hAnsi="楷体" w:eastAsia="楷体" w:cs="楷体"/>
          <w:b/>
          <w:bCs/>
          <w:sz w:val="32"/>
          <w:szCs w:val="32"/>
        </w:rPr>
        <w:t>）</w:t>
      </w:r>
    </w:p>
    <w:p>
      <w:pPr>
        <w:ind w:firstLine="640" w:firstLineChars="200"/>
        <w:rPr>
          <w:rFonts w:ascii="楷体" w:hAnsi="楷体" w:eastAsia="楷体"/>
          <w:b/>
          <w:bCs/>
          <w:sz w:val="32"/>
          <w:szCs w:val="32"/>
        </w:rPr>
      </w:pPr>
      <w:r>
        <w:rPr>
          <w:rFonts w:ascii="仿宋" w:hAnsi="仿宋" w:eastAsia="仿宋" w:cs="仿宋"/>
          <w:sz w:val="32"/>
          <w:szCs w:val="32"/>
        </w:rPr>
        <w:t>5</w:t>
      </w:r>
      <w:r>
        <w:rPr>
          <w:rFonts w:hint="eastAsia" w:ascii="仿宋" w:hAnsi="仿宋" w:eastAsia="仿宋" w:cs="仿宋"/>
          <w:sz w:val="32"/>
          <w:szCs w:val="32"/>
        </w:rPr>
        <w:t>、本项目不接受联合体投标。</w:t>
      </w:r>
      <w:r>
        <w:rPr>
          <w:rFonts w:hint="eastAsia" w:ascii="楷体" w:hAnsi="楷体" w:eastAsia="楷体" w:cs="楷体"/>
          <w:b/>
          <w:bCs/>
          <w:sz w:val="32"/>
          <w:szCs w:val="32"/>
        </w:rPr>
        <w:t>（</w:t>
      </w:r>
      <w:r>
        <w:rPr>
          <w:rFonts w:ascii="楷体" w:hAnsi="楷体" w:eastAsia="楷体" w:cs="楷体"/>
          <w:b/>
          <w:bCs/>
          <w:sz w:val="32"/>
          <w:szCs w:val="32"/>
        </w:rPr>
        <w:t xml:space="preserve"> </w:t>
      </w:r>
      <w:r>
        <w:rPr>
          <w:rFonts w:hint="eastAsia" w:ascii="楷体" w:hAnsi="楷体" w:eastAsia="楷体" w:cs="楷体"/>
          <w:b/>
          <w:bCs/>
          <w:sz w:val="32"/>
          <w:szCs w:val="32"/>
        </w:rPr>
        <w:t>）</w:t>
      </w:r>
    </w:p>
    <w:p>
      <w:pPr>
        <w:ind w:firstLine="643" w:firstLineChars="200"/>
        <w:rPr>
          <w:rFonts w:ascii="仿宋" w:hAnsi="仿宋" w:eastAsia="仿宋"/>
          <w:sz w:val="32"/>
          <w:szCs w:val="32"/>
        </w:rPr>
      </w:pPr>
      <w:r>
        <w:rPr>
          <w:rFonts w:hint="eastAsia" w:ascii="楷体" w:hAnsi="楷体" w:eastAsia="楷体" w:cs="楷体"/>
          <w:b/>
          <w:bCs/>
          <w:sz w:val="32"/>
          <w:szCs w:val="32"/>
        </w:rPr>
        <w:t>（二）承保特定要求评审</w:t>
      </w:r>
    </w:p>
    <w:p>
      <w:pPr>
        <w:spacing w:line="360" w:lineRule="auto"/>
        <w:ind w:firstLine="640" w:firstLineChars="200"/>
        <w:outlineLvl w:val="2"/>
        <w:rPr>
          <w:rFonts w:ascii="仿宋" w:hAnsi="仿宋" w:eastAsia="仿宋"/>
          <w:sz w:val="32"/>
          <w:szCs w:val="32"/>
        </w:rPr>
      </w:pPr>
      <w:r>
        <w:rPr>
          <w:rFonts w:hint="eastAsia" w:ascii="仿宋" w:hAnsi="仿宋" w:eastAsia="仿宋" w:cs="仿宋"/>
          <w:sz w:val="32"/>
          <w:szCs w:val="32"/>
        </w:rPr>
        <w:t>单项响应标志为“√”，不响应标志为“×”。有一个单项不响应，或采购磋商不能达成共识的不能进入商务综合评审阶段。</w:t>
      </w:r>
    </w:p>
    <w:p>
      <w:pPr>
        <w:spacing w:line="360" w:lineRule="auto"/>
        <w:ind w:firstLine="640" w:firstLineChars="200"/>
        <w:outlineLvl w:val="2"/>
        <w:rPr>
          <w:rFonts w:hint="eastAsia"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、保险标的面积共计</w:t>
      </w:r>
      <w:r>
        <w:rPr>
          <w:rFonts w:ascii="仿宋" w:hAnsi="仿宋" w:eastAsia="仿宋" w:cs="仿宋"/>
          <w:sz w:val="32"/>
          <w:szCs w:val="32"/>
        </w:rPr>
        <w:t>51758.4</w:t>
      </w:r>
      <w:r>
        <w:rPr>
          <w:rFonts w:hint="eastAsia" w:ascii="仿宋" w:hAnsi="仿宋" w:eastAsia="仿宋" w:cs="仿宋"/>
          <w:sz w:val="32"/>
          <w:szCs w:val="32"/>
        </w:rPr>
        <w:t>平方米，总造价</w:t>
      </w:r>
      <w:r>
        <w:rPr>
          <w:rFonts w:ascii="仿宋" w:hAnsi="仿宋" w:eastAsia="仿宋" w:cs="仿宋"/>
          <w:sz w:val="32"/>
          <w:szCs w:val="32"/>
        </w:rPr>
        <w:t>1767.6</w:t>
      </w:r>
      <w:r>
        <w:rPr>
          <w:rFonts w:hint="eastAsia" w:ascii="仿宋" w:hAnsi="仿宋" w:eastAsia="仿宋" w:cs="仿宋"/>
          <w:sz w:val="32"/>
          <w:szCs w:val="32"/>
        </w:rPr>
        <w:t>万元（详见附件）。保险标的保额不得低于</w:t>
      </w:r>
      <w:r>
        <w:rPr>
          <w:rFonts w:ascii="仿宋" w:hAnsi="仿宋" w:eastAsia="仿宋" w:cs="仿宋"/>
          <w:sz w:val="32"/>
          <w:szCs w:val="32"/>
        </w:rPr>
        <w:t xml:space="preserve"> </w:t>
      </w:r>
      <w:r>
        <w:rPr>
          <w:rFonts w:hint="eastAsia" w:ascii="仿宋" w:hAnsi="仿宋" w:eastAsia="仿宋" w:cs="仿宋"/>
          <w:sz w:val="32"/>
          <w:szCs w:val="32"/>
        </w:rPr>
        <w:t>1351.871万元；（ ）</w:t>
      </w:r>
    </w:p>
    <w:p>
      <w:pPr>
        <w:spacing w:line="360" w:lineRule="auto"/>
        <w:ind w:firstLine="640" w:firstLineChars="200"/>
        <w:outlineLvl w:val="2"/>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、保险标的分为棚架、覆盖材料（薄膜、玻璃等）、棚内设施设备。理赔价格设定棚架保费不得低于</w:t>
      </w:r>
      <w:r>
        <w:rPr>
          <w:rFonts w:ascii="仿宋" w:hAnsi="仿宋" w:eastAsia="仿宋" w:cs="仿宋"/>
          <w:sz w:val="32"/>
          <w:szCs w:val="32"/>
        </w:rPr>
        <w:t>170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平方米；棚膜保费不得低于</w:t>
      </w:r>
      <w:r>
        <w:rPr>
          <w:rFonts w:ascii="仿宋" w:hAnsi="仿宋" w:eastAsia="仿宋" w:cs="仿宋"/>
          <w:sz w:val="32"/>
          <w:szCs w:val="32"/>
        </w:rPr>
        <w:t>80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平方米的赔偿限额；棚内设施设备每次事故绝对赔付额不得低于损失金额的</w:t>
      </w:r>
      <w:r>
        <w:rPr>
          <w:rFonts w:ascii="仿宋" w:hAnsi="仿宋" w:eastAsia="仿宋" w:cs="仿宋"/>
          <w:sz w:val="32"/>
          <w:szCs w:val="32"/>
        </w:rPr>
        <w:t>75%</w:t>
      </w:r>
      <w:r>
        <w:rPr>
          <w:rFonts w:hint="eastAsia" w:ascii="仿宋" w:hAnsi="仿宋" w:eastAsia="仿宋" w:cs="仿宋"/>
          <w:sz w:val="32"/>
          <w:szCs w:val="32"/>
        </w:rPr>
        <w:t>。（</w:t>
      </w:r>
      <w:r>
        <w:rPr>
          <w:rFonts w:ascii="仿宋" w:hAnsi="仿宋" w:eastAsia="仿宋" w:cs="仿宋"/>
          <w:sz w:val="32"/>
          <w:szCs w:val="32"/>
        </w:rPr>
        <w:t xml:space="preserve"> </w:t>
      </w:r>
      <w:r>
        <w:rPr>
          <w:rFonts w:hint="eastAsia" w:ascii="仿宋" w:hAnsi="仿宋" w:eastAsia="仿宋" w:cs="仿宋"/>
          <w:sz w:val="32"/>
          <w:szCs w:val="32"/>
        </w:rPr>
        <w:t>）</w:t>
      </w:r>
    </w:p>
    <w:p>
      <w:pPr>
        <w:spacing w:line="360" w:lineRule="auto"/>
        <w:ind w:firstLine="640" w:firstLineChars="200"/>
        <w:outlineLvl w:val="2"/>
        <w:rPr>
          <w:rFonts w:ascii="仿宋" w:hAnsi="仿宋" w:eastAsia="仿宋"/>
          <w:sz w:val="32"/>
          <w:szCs w:val="32"/>
        </w:rPr>
      </w:pPr>
      <w:r>
        <w:rPr>
          <w:rFonts w:ascii="仿宋" w:hAnsi="仿宋" w:eastAsia="仿宋" w:cs="仿宋"/>
          <w:sz w:val="32"/>
          <w:szCs w:val="32"/>
        </w:rPr>
        <w:t>3</w:t>
      </w:r>
      <w:r>
        <w:rPr>
          <w:rFonts w:hint="eastAsia" w:ascii="仿宋" w:hAnsi="仿宋" w:eastAsia="仿宋" w:cs="仿宋"/>
          <w:sz w:val="32"/>
          <w:szCs w:val="32"/>
        </w:rPr>
        <w:t>、风灾阈值（理赔起点）设置为</w:t>
      </w:r>
      <w:r>
        <w:rPr>
          <w:rFonts w:ascii="仿宋" w:hAnsi="仿宋" w:eastAsia="仿宋" w:cs="仿宋"/>
          <w:sz w:val="32"/>
          <w:szCs w:val="32"/>
        </w:rPr>
        <w:t>8</w:t>
      </w:r>
      <w:r>
        <w:rPr>
          <w:rFonts w:hint="eastAsia" w:ascii="仿宋" w:hAnsi="仿宋" w:eastAsia="仿宋" w:cs="仿宋"/>
          <w:sz w:val="32"/>
          <w:szCs w:val="32"/>
        </w:rPr>
        <w:t>级，暴雨有国家标准，暴雨</w:t>
      </w:r>
      <w:r>
        <w:rPr>
          <w:rFonts w:hint="eastAsia" w:ascii="仿宋" w:hAnsi="仿宋" w:eastAsia="仿宋" w:cs="仿宋"/>
          <w:sz w:val="32"/>
          <w:szCs w:val="32"/>
          <w:lang w:val="en-US" w:eastAsia="zh-CN"/>
        </w:rPr>
        <w:t>是指</w:t>
      </w:r>
      <w:r>
        <w:rPr>
          <w:rFonts w:hint="eastAsia" w:ascii="仿宋" w:hAnsi="仿宋" w:eastAsia="仿宋" w:cs="仿宋"/>
          <w:sz w:val="32"/>
          <w:szCs w:val="32"/>
        </w:rPr>
        <w:t>降雨量每小时16mm以上，或连续12小时降雨量达30mm以上，或连续24小时降雨量达50mm以上。其他自然灾害不设致灾阈值，其他自然灾害（包括暴雨、内涝、风灾、雹灾、雷击、旱灾、地震、火灾等自然灾害）造成大棚损失，保险公司都要赔付须启动理赔程序。（</w:t>
      </w:r>
      <w:r>
        <w:rPr>
          <w:rFonts w:ascii="仿宋" w:hAnsi="仿宋" w:eastAsia="仿宋" w:cs="仿宋"/>
          <w:sz w:val="32"/>
          <w:szCs w:val="32"/>
        </w:rPr>
        <w:t xml:space="preserve"> </w:t>
      </w:r>
      <w:r>
        <w:rPr>
          <w:rFonts w:hint="eastAsia" w:ascii="仿宋" w:hAnsi="仿宋" w:eastAsia="仿宋" w:cs="仿宋"/>
          <w:sz w:val="32"/>
          <w:szCs w:val="32"/>
        </w:rPr>
        <w:t>）</w:t>
      </w:r>
    </w:p>
    <w:p>
      <w:pPr>
        <w:spacing w:line="360" w:lineRule="auto"/>
        <w:ind w:firstLine="640" w:firstLineChars="200"/>
        <w:outlineLvl w:val="2"/>
        <w:rPr>
          <w:rFonts w:ascii="仿宋" w:hAnsi="仿宋" w:eastAsia="仿宋"/>
          <w:sz w:val="32"/>
          <w:szCs w:val="32"/>
        </w:rPr>
      </w:pPr>
      <w:r>
        <w:rPr>
          <w:rFonts w:ascii="仿宋" w:hAnsi="仿宋" w:eastAsia="仿宋" w:cs="仿宋"/>
          <w:sz w:val="32"/>
          <w:szCs w:val="32"/>
        </w:rPr>
        <w:t>4</w:t>
      </w:r>
      <w:r>
        <w:rPr>
          <w:rFonts w:hint="eastAsia" w:ascii="仿宋" w:hAnsi="仿宋" w:eastAsia="仿宋" w:cs="仿宋"/>
          <w:sz w:val="32"/>
          <w:szCs w:val="32"/>
        </w:rPr>
        <w:t>、意向方已现场勘察，清晰掌握保险标的实况。（</w:t>
      </w:r>
      <w:r>
        <w:rPr>
          <w:rFonts w:ascii="仿宋" w:hAnsi="仿宋" w:eastAsia="仿宋" w:cs="仿宋"/>
          <w:sz w:val="32"/>
          <w:szCs w:val="32"/>
        </w:rPr>
        <w:t xml:space="preserve"> </w:t>
      </w:r>
      <w:r>
        <w:rPr>
          <w:rFonts w:hint="eastAsia" w:ascii="仿宋" w:hAnsi="仿宋" w:eastAsia="仿宋" w:cs="仿宋"/>
          <w:sz w:val="32"/>
          <w:szCs w:val="32"/>
        </w:rPr>
        <w:t>）</w:t>
      </w:r>
    </w:p>
    <w:p>
      <w:pPr>
        <w:spacing w:line="360" w:lineRule="auto"/>
        <w:ind w:firstLine="640" w:firstLineChars="200"/>
        <w:outlineLvl w:val="2"/>
        <w:rPr>
          <w:rFonts w:ascii="仿宋" w:hAnsi="仿宋" w:eastAsia="仿宋"/>
          <w:sz w:val="32"/>
          <w:szCs w:val="32"/>
        </w:rPr>
      </w:pPr>
      <w:r>
        <w:rPr>
          <w:rFonts w:ascii="仿宋" w:hAnsi="仿宋" w:eastAsia="仿宋" w:cs="仿宋"/>
          <w:sz w:val="32"/>
          <w:szCs w:val="32"/>
        </w:rPr>
        <w:t>5</w:t>
      </w:r>
      <w:r>
        <w:rPr>
          <w:rFonts w:hint="eastAsia" w:ascii="仿宋" w:hAnsi="仿宋" w:eastAsia="仿宋" w:cs="仿宋"/>
          <w:sz w:val="32"/>
          <w:szCs w:val="32"/>
        </w:rPr>
        <w:t>、保险标的遭受保险事故时，定损的评估公司须经投保方确认。保险公司自收到投保方的赔偿请求后，应</w:t>
      </w:r>
      <w:r>
        <w:rPr>
          <w:rFonts w:ascii="仿宋" w:hAnsi="仿宋" w:eastAsia="仿宋" w:cs="仿宋"/>
          <w:sz w:val="32"/>
          <w:szCs w:val="32"/>
        </w:rPr>
        <w:t>1</w:t>
      </w:r>
      <w:r>
        <w:rPr>
          <w:rFonts w:hint="eastAsia" w:ascii="仿宋" w:hAnsi="仿宋" w:eastAsia="仿宋" w:cs="仿宋"/>
          <w:sz w:val="32"/>
          <w:szCs w:val="32"/>
        </w:rPr>
        <w:t>小时内响应，</w:t>
      </w:r>
      <w:r>
        <w:rPr>
          <w:rFonts w:ascii="仿宋" w:hAnsi="仿宋" w:eastAsia="仿宋" w:cs="仿宋"/>
          <w:sz w:val="32"/>
          <w:szCs w:val="32"/>
        </w:rPr>
        <w:t>12</w:t>
      </w:r>
      <w:r>
        <w:rPr>
          <w:rFonts w:hint="eastAsia" w:ascii="仿宋" w:hAnsi="仿宋" w:eastAsia="仿宋" w:cs="仿宋"/>
          <w:sz w:val="32"/>
          <w:szCs w:val="32"/>
        </w:rPr>
        <w:t>小时内到达现场，</w:t>
      </w:r>
      <w:r>
        <w:rPr>
          <w:rFonts w:ascii="仿宋" w:hAnsi="仿宋" w:eastAsia="仿宋" w:cs="仿宋"/>
          <w:sz w:val="32"/>
          <w:szCs w:val="32"/>
        </w:rPr>
        <w:t>7</w:t>
      </w:r>
      <w:r>
        <w:rPr>
          <w:rFonts w:hint="eastAsia" w:ascii="仿宋" w:hAnsi="仿宋" w:eastAsia="仿宋" w:cs="仿宋"/>
          <w:sz w:val="32"/>
          <w:szCs w:val="32"/>
        </w:rPr>
        <w:t>个工作日内完成赔付。（情形复杂的，须在</w:t>
      </w:r>
      <w:r>
        <w:rPr>
          <w:rFonts w:ascii="仿宋" w:hAnsi="仿宋" w:eastAsia="仿宋" w:cs="仿宋"/>
          <w:sz w:val="32"/>
          <w:szCs w:val="32"/>
        </w:rPr>
        <w:t>30</w:t>
      </w:r>
      <w:r>
        <w:rPr>
          <w:rFonts w:hint="eastAsia" w:ascii="仿宋" w:hAnsi="仿宋" w:eastAsia="仿宋" w:cs="仿宋"/>
          <w:sz w:val="32"/>
          <w:szCs w:val="32"/>
        </w:rPr>
        <w:t>日内完成赔付）。（</w:t>
      </w:r>
      <w:r>
        <w:rPr>
          <w:rFonts w:ascii="仿宋" w:hAnsi="仿宋" w:eastAsia="仿宋" w:cs="仿宋"/>
          <w:sz w:val="32"/>
          <w:szCs w:val="32"/>
        </w:rPr>
        <w:t xml:space="preserve"> </w:t>
      </w:r>
      <w:r>
        <w:rPr>
          <w:rFonts w:hint="eastAsia" w:ascii="仿宋" w:hAnsi="仿宋" w:eastAsia="仿宋" w:cs="仿宋"/>
          <w:sz w:val="32"/>
          <w:szCs w:val="32"/>
        </w:rPr>
        <w:t>）</w:t>
      </w:r>
    </w:p>
    <w:p>
      <w:pPr>
        <w:pStyle w:val="2"/>
        <w:ind w:firstLine="640" w:firstLineChars="200"/>
        <w:rPr>
          <w:rFonts w:ascii="仿宋" w:hAnsi="仿宋" w:eastAsia="仿宋" w:cs="Times New Roman"/>
          <w:b w:val="0"/>
          <w:bCs w:val="0"/>
          <w:sz w:val="32"/>
          <w:szCs w:val="32"/>
        </w:rPr>
      </w:pPr>
      <w:r>
        <w:rPr>
          <w:rFonts w:ascii="仿宋" w:hAnsi="仿宋" w:eastAsia="仿宋" w:cs="仿宋"/>
          <w:b w:val="0"/>
          <w:bCs w:val="0"/>
          <w:sz w:val="32"/>
          <w:szCs w:val="32"/>
        </w:rPr>
        <w:t>6</w:t>
      </w:r>
      <w:r>
        <w:rPr>
          <w:rFonts w:hint="eastAsia" w:ascii="仿宋" w:hAnsi="仿宋" w:eastAsia="仿宋" w:cs="仿宋"/>
          <w:b w:val="0"/>
          <w:bCs w:val="0"/>
          <w:sz w:val="32"/>
          <w:szCs w:val="32"/>
        </w:rPr>
        <w:t>、免赔率</w:t>
      </w:r>
      <w:r>
        <w:rPr>
          <w:rFonts w:hint="eastAsia" w:ascii="仿宋" w:hAnsi="仿宋" w:eastAsia="仿宋" w:cs="仿宋"/>
          <w:b w:val="0"/>
          <w:bCs w:val="0"/>
          <w:sz w:val="32"/>
          <w:szCs w:val="32"/>
          <w:lang w:val="en-US" w:eastAsia="zh-CN"/>
        </w:rPr>
        <w:t>不大于</w:t>
      </w:r>
      <w:r>
        <w:rPr>
          <w:rFonts w:ascii="仿宋" w:hAnsi="仿宋" w:eastAsia="仿宋" w:cs="仿宋"/>
          <w:b w:val="0"/>
          <w:bCs w:val="0"/>
          <w:sz w:val="32"/>
          <w:szCs w:val="32"/>
        </w:rPr>
        <w:t>10%</w:t>
      </w:r>
      <w:r>
        <w:rPr>
          <w:rFonts w:hint="eastAsia" w:ascii="仿宋" w:hAnsi="仿宋" w:eastAsia="仿宋" w:cs="仿宋"/>
          <w:b w:val="0"/>
          <w:bCs w:val="0"/>
          <w:sz w:val="32"/>
          <w:szCs w:val="32"/>
        </w:rPr>
        <w:t>。（</w:t>
      </w:r>
      <w:r>
        <w:rPr>
          <w:rFonts w:ascii="仿宋" w:hAnsi="仿宋" w:eastAsia="仿宋" w:cs="仿宋"/>
          <w:b w:val="0"/>
          <w:bCs w:val="0"/>
          <w:sz w:val="32"/>
          <w:szCs w:val="32"/>
        </w:rPr>
        <w:t xml:space="preserve"> </w:t>
      </w:r>
      <w:r>
        <w:rPr>
          <w:rFonts w:hint="eastAsia" w:ascii="仿宋" w:hAnsi="仿宋" w:eastAsia="仿宋" w:cs="仿宋"/>
          <w:b w:val="0"/>
          <w:bCs w:val="0"/>
          <w:sz w:val="32"/>
          <w:szCs w:val="32"/>
        </w:rPr>
        <w:t>）</w:t>
      </w:r>
    </w:p>
    <w:p>
      <w:pPr>
        <w:spacing w:line="360" w:lineRule="auto"/>
        <w:ind w:firstLine="643" w:firstLineChars="200"/>
        <w:outlineLvl w:val="2"/>
        <w:rPr>
          <w:rFonts w:ascii="楷体" w:hAnsi="楷体" w:eastAsia="楷体"/>
          <w:b/>
          <w:bCs/>
          <w:sz w:val="32"/>
          <w:szCs w:val="32"/>
        </w:rPr>
      </w:pPr>
      <w:r>
        <w:rPr>
          <w:rFonts w:hint="eastAsia" w:ascii="楷体" w:hAnsi="楷体" w:eastAsia="楷体" w:cs="楷体"/>
          <w:b/>
          <w:bCs/>
          <w:sz w:val="32"/>
          <w:szCs w:val="32"/>
        </w:rPr>
        <w:t>（三）技术、商务、价格磋商</w:t>
      </w:r>
    </w:p>
    <w:p>
      <w:pPr>
        <w:spacing w:line="360" w:lineRule="auto"/>
        <w:ind w:firstLine="640" w:firstLineChars="200"/>
        <w:outlineLvl w:val="2"/>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、评审小组邀请全部通过资格审查的意向方分别进行单独磋商，磋商顺序以递交响应文件先后顺序确定。</w:t>
      </w:r>
    </w:p>
    <w:p>
      <w:pPr>
        <w:spacing w:line="360" w:lineRule="auto"/>
        <w:ind w:firstLine="640" w:firstLineChars="200"/>
        <w:outlineLvl w:val="2"/>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评审小组与响应供应商应围绕资格条件、技术、商务、合同条款等内容分别进行一轮或多轮的磋商。在磋商过程中，评审小组可以根据磋商文件和磋商情况实质性变动采购需求中的技术、服务要求以及合同草案条款。</w:t>
      </w:r>
    </w:p>
    <w:p>
      <w:pPr>
        <w:spacing w:line="360" w:lineRule="auto"/>
        <w:ind w:firstLine="640" w:firstLineChars="200"/>
        <w:outlineLvl w:val="2"/>
        <w:rPr>
          <w:rFonts w:ascii="仿宋" w:hAnsi="仿宋" w:eastAsia="仿宋"/>
          <w:sz w:val="32"/>
          <w:szCs w:val="32"/>
        </w:rPr>
      </w:pPr>
      <w:r>
        <w:rPr>
          <w:rFonts w:ascii="仿宋" w:hAnsi="仿宋" w:eastAsia="仿宋" w:cs="仿宋"/>
          <w:sz w:val="32"/>
          <w:szCs w:val="32"/>
        </w:rPr>
        <w:t>3</w:t>
      </w:r>
      <w:r>
        <w:rPr>
          <w:rFonts w:hint="eastAsia" w:ascii="仿宋" w:hAnsi="仿宋" w:eastAsia="仿宋" w:cs="仿宋"/>
          <w:sz w:val="32"/>
          <w:szCs w:val="32"/>
        </w:rPr>
        <w:t>、响应意向方按照磋商文件的变动情况和磋商评审小组的要求重新提交响应文件，并由其法定代表人或其授权代表签字或者加盖公章。</w:t>
      </w:r>
    </w:p>
    <w:p>
      <w:pPr>
        <w:spacing w:line="360" w:lineRule="auto"/>
        <w:ind w:firstLine="640" w:firstLineChars="200"/>
        <w:outlineLvl w:val="2"/>
        <w:rPr>
          <w:rFonts w:ascii="仿宋" w:hAnsi="仿宋" w:eastAsia="仿宋"/>
          <w:sz w:val="32"/>
          <w:szCs w:val="32"/>
        </w:rPr>
      </w:pPr>
      <w:r>
        <w:rPr>
          <w:rFonts w:ascii="仿宋" w:hAnsi="仿宋" w:eastAsia="仿宋" w:cs="仿宋"/>
          <w:sz w:val="32"/>
          <w:szCs w:val="32"/>
        </w:rPr>
        <w:t>4</w:t>
      </w:r>
      <w:r>
        <w:rPr>
          <w:rFonts w:hint="eastAsia" w:ascii="仿宋" w:hAnsi="仿宋" w:eastAsia="仿宋" w:cs="仿宋"/>
          <w:sz w:val="32"/>
          <w:szCs w:val="32"/>
        </w:rPr>
        <w:t>、最后报价：磋商结束后，响应供应商提交最后报价，最后报价不能高于第一次报价。</w:t>
      </w:r>
    </w:p>
    <w:p>
      <w:pPr>
        <w:spacing w:line="360" w:lineRule="auto"/>
        <w:ind w:firstLine="643" w:firstLineChars="200"/>
        <w:outlineLvl w:val="2"/>
        <w:rPr>
          <w:rFonts w:ascii="楷体" w:hAnsi="楷体" w:eastAsia="楷体"/>
          <w:b/>
          <w:bCs/>
          <w:sz w:val="32"/>
          <w:szCs w:val="32"/>
        </w:rPr>
      </w:pPr>
      <w:r>
        <w:rPr>
          <w:rFonts w:hint="eastAsia" w:ascii="楷体" w:hAnsi="楷体" w:eastAsia="楷体" w:cs="楷体"/>
          <w:b/>
          <w:bCs/>
          <w:sz w:val="32"/>
          <w:szCs w:val="32"/>
        </w:rPr>
        <w:t>（四）综合评分</w:t>
      </w:r>
    </w:p>
    <w:p>
      <w:pPr>
        <w:ind w:firstLine="640" w:firstLineChars="200"/>
        <w:rPr>
          <w:rFonts w:ascii="仿宋" w:hAnsi="仿宋" w:eastAsia="仿宋"/>
          <w:sz w:val="32"/>
          <w:szCs w:val="32"/>
        </w:rPr>
      </w:pPr>
      <w:r>
        <w:rPr>
          <w:rFonts w:hint="eastAsia" w:ascii="仿宋" w:hAnsi="仿宋" w:eastAsia="仿宋" w:cs="仿宋"/>
          <w:sz w:val="32"/>
          <w:szCs w:val="32"/>
        </w:rPr>
        <w:t>采用综合评分方法（评分标准见表</w:t>
      </w:r>
      <w:r>
        <w:rPr>
          <w:rFonts w:ascii="仿宋" w:hAnsi="仿宋" w:eastAsia="仿宋" w:cs="仿宋"/>
          <w:sz w:val="32"/>
          <w:szCs w:val="32"/>
        </w:rPr>
        <w:t>1</w:t>
      </w:r>
      <w:r>
        <w:rPr>
          <w:rFonts w:hint="eastAsia" w:ascii="仿宋" w:hAnsi="仿宋" w:eastAsia="仿宋" w:cs="仿宋"/>
          <w:sz w:val="32"/>
          <w:szCs w:val="32"/>
        </w:rPr>
        <w:t>）。评审小组各成员根据评审办法并结合意向方实际情况分别就各项指标进行独立打分（见表</w:t>
      </w: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 xml:space="preserve">2 </w:t>
      </w:r>
      <w:r>
        <w:rPr>
          <w:rFonts w:hint="eastAsia" w:ascii="仿宋" w:hAnsi="仿宋" w:eastAsia="仿宋" w:cs="仿宋"/>
          <w:sz w:val="32"/>
          <w:szCs w:val="32"/>
        </w:rPr>
        <w:t>），其中商务技术得分满分为</w:t>
      </w:r>
      <w:r>
        <w:rPr>
          <w:rFonts w:ascii="仿宋" w:hAnsi="仿宋" w:eastAsia="仿宋" w:cs="仿宋"/>
          <w:sz w:val="32"/>
          <w:szCs w:val="32"/>
        </w:rPr>
        <w:t>70</w:t>
      </w:r>
      <w:r>
        <w:rPr>
          <w:rFonts w:hint="eastAsia" w:ascii="仿宋" w:hAnsi="仿宋" w:eastAsia="仿宋" w:cs="仿宋"/>
          <w:sz w:val="32"/>
          <w:szCs w:val="32"/>
        </w:rPr>
        <w:t>分，价格得分满分为</w:t>
      </w:r>
      <w:r>
        <w:rPr>
          <w:rFonts w:ascii="仿宋" w:hAnsi="仿宋" w:eastAsia="仿宋" w:cs="仿宋"/>
          <w:sz w:val="32"/>
          <w:szCs w:val="32"/>
        </w:rPr>
        <w:t>30</w:t>
      </w:r>
      <w:r>
        <w:rPr>
          <w:rFonts w:hint="eastAsia" w:ascii="仿宋" w:hAnsi="仿宋" w:eastAsia="仿宋" w:cs="仿宋"/>
          <w:sz w:val="32"/>
          <w:szCs w:val="32"/>
        </w:rPr>
        <w:t>分，两项相加总分为</w:t>
      </w:r>
      <w:r>
        <w:rPr>
          <w:rFonts w:ascii="仿宋" w:hAnsi="仿宋" w:eastAsia="仿宋" w:cs="仿宋"/>
          <w:sz w:val="32"/>
          <w:szCs w:val="32"/>
        </w:rPr>
        <w:t>100</w:t>
      </w:r>
      <w:r>
        <w:rPr>
          <w:rFonts w:hint="eastAsia" w:ascii="仿宋" w:hAnsi="仿宋" w:eastAsia="仿宋" w:cs="仿宋"/>
          <w:sz w:val="32"/>
          <w:szCs w:val="32"/>
        </w:rPr>
        <w:t>分。</w:t>
      </w:r>
    </w:p>
    <w:p>
      <w:pPr>
        <w:pStyle w:val="2"/>
        <w:spacing w:line="240" w:lineRule="auto"/>
        <w:jc w:val="center"/>
        <w:rPr>
          <w:rFonts w:cs="Times New Roman"/>
        </w:rPr>
      </w:pPr>
      <w:r>
        <w:rPr>
          <w:rFonts w:hint="eastAsia" w:ascii="仿宋" w:hAnsi="仿宋" w:eastAsia="仿宋" w:cs="仿宋"/>
          <w:sz w:val="32"/>
          <w:szCs w:val="32"/>
        </w:rPr>
        <w:t>表</w:t>
      </w:r>
      <w:r>
        <w:rPr>
          <w:rFonts w:ascii="仿宋" w:hAnsi="仿宋" w:eastAsia="仿宋" w:cs="仿宋"/>
          <w:sz w:val="32"/>
          <w:szCs w:val="32"/>
        </w:rPr>
        <w:t>1</w:t>
      </w:r>
      <w:r>
        <w:rPr>
          <w:rFonts w:hint="eastAsia" w:ascii="仿宋" w:hAnsi="仿宋" w:eastAsia="仿宋" w:cs="仿宋"/>
          <w:sz w:val="32"/>
          <w:szCs w:val="32"/>
        </w:rPr>
        <w:t>综合评分标准表</w:t>
      </w:r>
    </w:p>
    <w:p>
      <w:pPr>
        <w:pStyle w:val="2"/>
        <w:rPr>
          <w:rFonts w:cs="Times New Roman"/>
        </w:rPr>
      </w:pPr>
    </w:p>
    <w:tbl>
      <w:tblPr>
        <w:tblStyle w:val="8"/>
        <w:tblpPr w:leftFromText="180" w:rightFromText="180" w:vertAnchor="text" w:horzAnchor="page" w:tblpX="1752" w:tblpY="765"/>
        <w:tblOverlap w:val="never"/>
        <w:tblW w:w="878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86"/>
        <w:gridCol w:w="923"/>
        <w:gridCol w:w="925"/>
        <w:gridCol w:w="659"/>
        <w:gridCol w:w="3725"/>
        <w:gridCol w:w="216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5" w:hRule="atLeast"/>
          <w:tblHeader/>
        </w:trPr>
        <w:tc>
          <w:tcPr>
            <w:tcW w:w="386" w:type="dxa"/>
            <w:tcBorders>
              <w:top w:val="double" w:color="auto" w:sz="4" w:space="0"/>
            </w:tcBorders>
            <w:shd w:val="clear" w:color="auto" w:fill="D9D9D9"/>
            <w:vAlign w:val="center"/>
          </w:tcPr>
          <w:p>
            <w:pPr>
              <w:jc w:val="center"/>
              <w:rPr>
                <w:rFonts w:ascii="宋体"/>
                <w:color w:val="000000"/>
                <w:sz w:val="18"/>
                <w:szCs w:val="18"/>
              </w:rPr>
            </w:pPr>
            <w:r>
              <w:rPr>
                <w:rFonts w:hint="eastAsia" w:ascii="宋体" w:hAnsi="宋体" w:cs="宋体"/>
                <w:color w:val="000000"/>
                <w:sz w:val="18"/>
                <w:szCs w:val="18"/>
              </w:rPr>
              <w:t>序号</w:t>
            </w:r>
          </w:p>
        </w:tc>
        <w:tc>
          <w:tcPr>
            <w:tcW w:w="1848" w:type="dxa"/>
            <w:gridSpan w:val="2"/>
            <w:tcBorders>
              <w:top w:val="double" w:color="auto" w:sz="4" w:space="0"/>
            </w:tcBorders>
            <w:shd w:val="clear" w:color="auto" w:fill="D9D9D9"/>
            <w:vAlign w:val="center"/>
          </w:tcPr>
          <w:p>
            <w:pPr>
              <w:jc w:val="center"/>
              <w:rPr>
                <w:rFonts w:ascii="宋体"/>
                <w:color w:val="000000"/>
                <w:sz w:val="18"/>
                <w:szCs w:val="18"/>
              </w:rPr>
            </w:pPr>
            <w:r>
              <w:rPr>
                <w:rFonts w:hint="eastAsia" w:ascii="宋体" w:hAnsi="宋体" w:cs="宋体"/>
                <w:color w:val="000000"/>
                <w:sz w:val="18"/>
                <w:szCs w:val="18"/>
              </w:rPr>
              <w:t>评审项目</w:t>
            </w:r>
          </w:p>
        </w:tc>
        <w:tc>
          <w:tcPr>
            <w:tcW w:w="659" w:type="dxa"/>
            <w:tcBorders>
              <w:top w:val="double" w:color="auto" w:sz="4" w:space="0"/>
            </w:tcBorders>
            <w:shd w:val="clear" w:color="auto" w:fill="D9D9D9"/>
            <w:vAlign w:val="center"/>
          </w:tcPr>
          <w:p>
            <w:pPr>
              <w:jc w:val="center"/>
              <w:rPr>
                <w:rFonts w:ascii="宋体"/>
                <w:color w:val="000000"/>
                <w:sz w:val="18"/>
                <w:szCs w:val="18"/>
              </w:rPr>
            </w:pPr>
            <w:r>
              <w:rPr>
                <w:rFonts w:hint="eastAsia" w:ascii="宋体" w:hAnsi="宋体" w:cs="宋体"/>
                <w:color w:val="000000"/>
                <w:sz w:val="18"/>
                <w:szCs w:val="18"/>
              </w:rPr>
              <w:t>分配分数</w:t>
            </w:r>
          </w:p>
        </w:tc>
        <w:tc>
          <w:tcPr>
            <w:tcW w:w="3725" w:type="dxa"/>
            <w:tcBorders>
              <w:top w:val="double" w:color="auto" w:sz="4" w:space="0"/>
            </w:tcBorders>
            <w:shd w:val="clear" w:color="auto" w:fill="D9D9D9"/>
            <w:vAlign w:val="center"/>
          </w:tcPr>
          <w:p>
            <w:pPr>
              <w:jc w:val="center"/>
              <w:rPr>
                <w:rFonts w:ascii="宋体"/>
                <w:color w:val="000000"/>
                <w:sz w:val="18"/>
                <w:szCs w:val="18"/>
              </w:rPr>
            </w:pPr>
            <w:r>
              <w:rPr>
                <w:rFonts w:hint="eastAsia" w:ascii="宋体" w:hAnsi="宋体" w:cs="宋体"/>
                <w:b/>
                <w:bCs/>
                <w:color w:val="000000"/>
                <w:sz w:val="18"/>
                <w:szCs w:val="18"/>
              </w:rPr>
              <w:t>评议内容</w:t>
            </w:r>
          </w:p>
        </w:tc>
        <w:tc>
          <w:tcPr>
            <w:tcW w:w="2167" w:type="dxa"/>
            <w:tcBorders>
              <w:top w:val="double" w:color="auto" w:sz="4" w:space="0"/>
            </w:tcBorders>
            <w:shd w:val="clear" w:color="auto" w:fill="D9D9D9"/>
            <w:vAlign w:val="center"/>
          </w:tcPr>
          <w:p>
            <w:pPr>
              <w:jc w:val="center"/>
              <w:rPr>
                <w:rFonts w:ascii="宋体"/>
                <w:b/>
                <w:bCs/>
                <w:color w:val="000000"/>
                <w:sz w:val="18"/>
                <w:szCs w:val="18"/>
              </w:rPr>
            </w:pPr>
            <w:r>
              <w:rPr>
                <w:rFonts w:hint="eastAsia" w:ascii="宋体" w:hAnsi="宋体" w:cs="宋体"/>
                <w:b/>
                <w:bCs/>
                <w:color w:val="000000"/>
                <w:sz w:val="18"/>
                <w:szCs w:val="18"/>
              </w:rPr>
              <w:t>评分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386" w:type="dxa"/>
            <w:vMerge w:val="restart"/>
            <w:vAlign w:val="center"/>
          </w:tcPr>
          <w:p>
            <w:pPr>
              <w:spacing w:line="220" w:lineRule="exact"/>
              <w:rPr>
                <w:rFonts w:ascii="宋体"/>
                <w:color w:val="000000"/>
                <w:sz w:val="18"/>
                <w:szCs w:val="18"/>
              </w:rPr>
            </w:pPr>
            <w:r>
              <w:rPr>
                <w:rFonts w:ascii="宋体" w:hAnsi="宋体" w:cs="宋体"/>
                <w:color w:val="000000"/>
                <w:sz w:val="18"/>
                <w:szCs w:val="18"/>
              </w:rPr>
              <w:t>1</w:t>
            </w:r>
          </w:p>
        </w:tc>
        <w:tc>
          <w:tcPr>
            <w:tcW w:w="923" w:type="dxa"/>
            <w:vMerge w:val="restart"/>
            <w:vAlign w:val="center"/>
          </w:tcPr>
          <w:p>
            <w:pPr>
              <w:spacing w:line="220" w:lineRule="exact"/>
              <w:jc w:val="center"/>
              <w:rPr>
                <w:rFonts w:ascii="宋体"/>
                <w:color w:val="000000"/>
                <w:sz w:val="18"/>
                <w:szCs w:val="18"/>
              </w:rPr>
            </w:pPr>
            <w:r>
              <w:rPr>
                <w:rFonts w:hint="eastAsia" w:ascii="宋体" w:hAnsi="宋体" w:cs="宋体"/>
                <w:color w:val="000000"/>
                <w:sz w:val="18"/>
                <w:szCs w:val="18"/>
              </w:rPr>
              <w:t>商务技术得分</w:t>
            </w:r>
          </w:p>
        </w:tc>
        <w:tc>
          <w:tcPr>
            <w:tcW w:w="925" w:type="dxa"/>
            <w:vMerge w:val="restart"/>
            <w:vAlign w:val="center"/>
          </w:tcPr>
          <w:p>
            <w:pPr>
              <w:spacing w:line="220" w:lineRule="exact"/>
              <w:jc w:val="center"/>
              <w:rPr>
                <w:rFonts w:ascii="宋体"/>
                <w:color w:val="000000"/>
                <w:sz w:val="18"/>
                <w:szCs w:val="18"/>
              </w:rPr>
            </w:pPr>
            <w:r>
              <w:rPr>
                <w:rFonts w:hint="eastAsia" w:ascii="宋体" w:hAnsi="宋体" w:cs="宋体"/>
                <w:sz w:val="18"/>
                <w:szCs w:val="18"/>
              </w:rPr>
              <w:t>承保方案</w:t>
            </w:r>
          </w:p>
        </w:tc>
        <w:tc>
          <w:tcPr>
            <w:tcW w:w="659" w:type="dxa"/>
            <w:vAlign w:val="center"/>
          </w:tcPr>
          <w:p>
            <w:pPr>
              <w:spacing w:line="220" w:lineRule="exact"/>
              <w:jc w:val="center"/>
              <w:rPr>
                <w:rFonts w:ascii="宋体"/>
                <w:color w:val="000000"/>
                <w:sz w:val="18"/>
                <w:szCs w:val="18"/>
              </w:rPr>
            </w:pPr>
            <w:r>
              <w:rPr>
                <w:rFonts w:ascii="宋体" w:hAnsi="宋体" w:cs="宋体"/>
                <w:color w:val="000000"/>
                <w:sz w:val="18"/>
                <w:szCs w:val="18"/>
              </w:rPr>
              <w:t>5</w:t>
            </w:r>
          </w:p>
        </w:tc>
        <w:tc>
          <w:tcPr>
            <w:tcW w:w="3725" w:type="dxa"/>
            <w:vAlign w:val="center"/>
          </w:tcPr>
          <w:p>
            <w:pPr>
              <w:jc w:val="left"/>
              <w:rPr>
                <w:rFonts w:ascii="宋体"/>
                <w:sz w:val="18"/>
                <w:szCs w:val="18"/>
              </w:rPr>
            </w:pPr>
            <w:r>
              <w:rPr>
                <w:rFonts w:ascii="宋体" w:hAnsi="宋体" w:cs="宋体"/>
                <w:sz w:val="18"/>
                <w:szCs w:val="18"/>
              </w:rPr>
              <w:t>1</w:t>
            </w:r>
            <w:r>
              <w:rPr>
                <w:rFonts w:hint="eastAsia" w:ascii="宋体" w:hAnsi="宋体" w:cs="宋体"/>
                <w:sz w:val="18"/>
                <w:szCs w:val="18"/>
              </w:rPr>
              <w:t>、</w:t>
            </w:r>
            <w:r>
              <w:rPr>
                <w:rFonts w:hint="eastAsia" w:ascii="宋体" w:hAnsi="宋体" w:cs="宋体"/>
                <w:b/>
                <w:bCs/>
                <w:sz w:val="18"/>
                <w:szCs w:val="18"/>
              </w:rPr>
              <w:t>有完善的适应项目所在地的温室大棚保险承保操作流程</w:t>
            </w:r>
            <w:r>
              <w:rPr>
                <w:rFonts w:hint="eastAsia" w:ascii="宋体" w:hAnsi="宋体" w:cs="宋体"/>
                <w:sz w:val="18"/>
                <w:szCs w:val="18"/>
              </w:rPr>
              <w:t>。重点考察操作流程的完整性、可行性、合理性：</w:t>
            </w:r>
          </w:p>
        </w:tc>
        <w:tc>
          <w:tcPr>
            <w:tcW w:w="2167" w:type="dxa"/>
            <w:vAlign w:val="center"/>
          </w:tcPr>
          <w:p>
            <w:pPr>
              <w:jc w:val="left"/>
              <w:rPr>
                <w:rFonts w:ascii="宋体"/>
                <w:sz w:val="18"/>
                <w:szCs w:val="18"/>
              </w:rPr>
            </w:pPr>
            <w:r>
              <w:rPr>
                <w:rFonts w:hint="eastAsia" w:ascii="宋体" w:hAnsi="宋体" w:cs="宋体"/>
                <w:sz w:val="18"/>
                <w:szCs w:val="18"/>
              </w:rPr>
              <w:t>满足要求得</w:t>
            </w:r>
            <w:r>
              <w:rPr>
                <w:rFonts w:ascii="宋体" w:hAnsi="宋体" w:cs="宋体"/>
                <w:sz w:val="18"/>
                <w:szCs w:val="18"/>
              </w:rPr>
              <w:t>5</w:t>
            </w:r>
            <w:r>
              <w:rPr>
                <w:rFonts w:hint="eastAsia" w:ascii="宋体" w:hAnsi="宋体" w:cs="宋体"/>
                <w:sz w:val="18"/>
                <w:szCs w:val="18"/>
              </w:rPr>
              <w:t>分，基本满足得</w:t>
            </w:r>
            <w:r>
              <w:rPr>
                <w:rFonts w:ascii="宋体" w:hAnsi="宋体" w:cs="宋体"/>
                <w:sz w:val="18"/>
                <w:szCs w:val="18"/>
              </w:rPr>
              <w:t>3</w:t>
            </w:r>
            <w:r>
              <w:rPr>
                <w:rFonts w:hint="eastAsia" w:ascii="宋体" w:hAnsi="宋体" w:cs="宋体"/>
                <w:sz w:val="18"/>
                <w:szCs w:val="18"/>
              </w:rPr>
              <w:t>分，无提供不得分。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386" w:type="dxa"/>
            <w:vMerge w:val="continue"/>
            <w:vAlign w:val="center"/>
          </w:tcPr>
          <w:p>
            <w:pPr>
              <w:spacing w:line="220" w:lineRule="exact"/>
            </w:pPr>
          </w:p>
        </w:tc>
        <w:tc>
          <w:tcPr>
            <w:tcW w:w="923" w:type="dxa"/>
            <w:vMerge w:val="continue"/>
            <w:vAlign w:val="center"/>
          </w:tcPr>
          <w:p>
            <w:pPr>
              <w:spacing w:line="220" w:lineRule="exact"/>
            </w:pPr>
          </w:p>
        </w:tc>
        <w:tc>
          <w:tcPr>
            <w:tcW w:w="925" w:type="dxa"/>
            <w:vMerge w:val="continue"/>
            <w:vAlign w:val="center"/>
          </w:tcPr>
          <w:p>
            <w:pPr>
              <w:spacing w:line="220" w:lineRule="exact"/>
              <w:rPr>
                <w:rFonts w:ascii="宋体"/>
                <w:sz w:val="18"/>
                <w:szCs w:val="18"/>
              </w:rPr>
            </w:pPr>
          </w:p>
        </w:tc>
        <w:tc>
          <w:tcPr>
            <w:tcW w:w="659" w:type="dxa"/>
            <w:vAlign w:val="center"/>
          </w:tcPr>
          <w:p>
            <w:pPr>
              <w:spacing w:line="220" w:lineRule="exact"/>
              <w:jc w:val="center"/>
              <w:rPr>
                <w:rFonts w:ascii="宋体"/>
                <w:sz w:val="18"/>
                <w:szCs w:val="18"/>
              </w:rPr>
            </w:pPr>
            <w:r>
              <w:rPr>
                <w:rFonts w:ascii="宋体" w:hAnsi="宋体" w:cs="宋体"/>
                <w:sz w:val="18"/>
                <w:szCs w:val="18"/>
              </w:rPr>
              <w:t>5</w:t>
            </w:r>
          </w:p>
        </w:tc>
        <w:tc>
          <w:tcPr>
            <w:tcW w:w="3725" w:type="dxa"/>
            <w:vAlign w:val="center"/>
          </w:tcPr>
          <w:p>
            <w:pPr>
              <w:jc w:val="left"/>
              <w:rPr>
                <w:rFonts w:ascii="宋体"/>
                <w:sz w:val="18"/>
                <w:szCs w:val="18"/>
              </w:rPr>
            </w:pPr>
            <w:r>
              <w:rPr>
                <w:rFonts w:ascii="宋体" w:hAnsi="宋体" w:cs="宋体"/>
                <w:sz w:val="18"/>
                <w:szCs w:val="18"/>
              </w:rPr>
              <w:t>2</w:t>
            </w:r>
            <w:r>
              <w:rPr>
                <w:rFonts w:hint="eastAsia" w:ascii="宋体" w:hAnsi="宋体" w:cs="宋体"/>
                <w:sz w:val="18"/>
                <w:szCs w:val="18"/>
              </w:rPr>
              <w:t>、</w:t>
            </w:r>
            <w:r>
              <w:rPr>
                <w:rFonts w:hint="eastAsia" w:ascii="宋体" w:hAnsi="宋体" w:cs="宋体"/>
                <w:b/>
                <w:bCs/>
                <w:sz w:val="18"/>
                <w:szCs w:val="18"/>
              </w:rPr>
              <w:t>有完善的适应项目所在地的温室大棚保险承保工作机制</w:t>
            </w:r>
            <w:r>
              <w:rPr>
                <w:rFonts w:hint="eastAsia" w:ascii="宋体" w:hAnsi="宋体" w:cs="宋体"/>
                <w:sz w:val="18"/>
                <w:szCs w:val="18"/>
              </w:rPr>
              <w:t>。重点考察工作机制的有效性、可行性：</w:t>
            </w:r>
          </w:p>
        </w:tc>
        <w:tc>
          <w:tcPr>
            <w:tcW w:w="2167" w:type="dxa"/>
            <w:vAlign w:val="center"/>
          </w:tcPr>
          <w:p>
            <w:pPr>
              <w:jc w:val="left"/>
              <w:rPr>
                <w:rFonts w:ascii="宋体"/>
                <w:sz w:val="18"/>
                <w:szCs w:val="18"/>
              </w:rPr>
            </w:pPr>
            <w:r>
              <w:rPr>
                <w:rFonts w:hint="eastAsia" w:ascii="宋体" w:hAnsi="宋体" w:cs="宋体"/>
                <w:sz w:val="18"/>
                <w:szCs w:val="18"/>
              </w:rPr>
              <w:t>满足要求得</w:t>
            </w:r>
            <w:r>
              <w:rPr>
                <w:rFonts w:ascii="宋体" w:hAnsi="宋体" w:cs="宋体"/>
                <w:sz w:val="18"/>
                <w:szCs w:val="18"/>
              </w:rPr>
              <w:t>5</w:t>
            </w:r>
            <w:r>
              <w:rPr>
                <w:rFonts w:hint="eastAsia" w:ascii="宋体" w:hAnsi="宋体" w:cs="宋体"/>
                <w:sz w:val="18"/>
                <w:szCs w:val="18"/>
              </w:rPr>
              <w:t>分，基本满足得</w:t>
            </w:r>
            <w:r>
              <w:rPr>
                <w:rFonts w:ascii="宋体" w:hAnsi="宋体" w:cs="宋体"/>
                <w:sz w:val="18"/>
                <w:szCs w:val="18"/>
              </w:rPr>
              <w:t>3</w:t>
            </w:r>
            <w:r>
              <w:rPr>
                <w:rFonts w:hint="eastAsia" w:ascii="宋体" w:hAnsi="宋体" w:cs="宋体"/>
                <w:sz w:val="18"/>
                <w:szCs w:val="18"/>
              </w:rPr>
              <w:t>分，无提供不得分。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7" w:hRule="atLeast"/>
        </w:trPr>
        <w:tc>
          <w:tcPr>
            <w:tcW w:w="386" w:type="dxa"/>
            <w:vMerge w:val="restart"/>
            <w:vAlign w:val="center"/>
          </w:tcPr>
          <w:p>
            <w:pPr>
              <w:spacing w:line="220" w:lineRule="exact"/>
              <w:rPr>
                <w:rFonts w:ascii="宋体"/>
                <w:color w:val="000000"/>
                <w:sz w:val="18"/>
                <w:szCs w:val="18"/>
              </w:rPr>
            </w:pPr>
            <w:r>
              <w:rPr>
                <w:rFonts w:ascii="宋体" w:hAnsi="宋体" w:cs="宋体"/>
                <w:color w:val="000000"/>
                <w:sz w:val="18"/>
                <w:szCs w:val="18"/>
              </w:rPr>
              <w:t>2</w:t>
            </w:r>
          </w:p>
        </w:tc>
        <w:tc>
          <w:tcPr>
            <w:tcW w:w="923" w:type="dxa"/>
            <w:vMerge w:val="continue"/>
            <w:vAlign w:val="center"/>
          </w:tcPr>
          <w:p>
            <w:pPr>
              <w:spacing w:line="220" w:lineRule="exact"/>
              <w:jc w:val="center"/>
              <w:rPr>
                <w:rFonts w:ascii="宋体"/>
                <w:color w:val="000000"/>
                <w:sz w:val="18"/>
                <w:szCs w:val="18"/>
              </w:rPr>
            </w:pPr>
          </w:p>
        </w:tc>
        <w:tc>
          <w:tcPr>
            <w:tcW w:w="925" w:type="dxa"/>
            <w:vMerge w:val="restart"/>
            <w:vAlign w:val="center"/>
          </w:tcPr>
          <w:p>
            <w:pPr>
              <w:spacing w:line="220" w:lineRule="exact"/>
              <w:jc w:val="center"/>
              <w:rPr>
                <w:rFonts w:ascii="宋体"/>
                <w:color w:val="000000"/>
                <w:sz w:val="18"/>
                <w:szCs w:val="18"/>
              </w:rPr>
            </w:pPr>
            <w:r>
              <w:rPr>
                <w:rFonts w:hint="eastAsia" w:ascii="宋体" w:hAnsi="宋体" w:cs="宋体"/>
                <w:sz w:val="18"/>
                <w:szCs w:val="18"/>
              </w:rPr>
              <w:t>定损方案</w:t>
            </w:r>
          </w:p>
        </w:tc>
        <w:tc>
          <w:tcPr>
            <w:tcW w:w="659" w:type="dxa"/>
            <w:vAlign w:val="center"/>
          </w:tcPr>
          <w:p>
            <w:pPr>
              <w:spacing w:line="220" w:lineRule="exact"/>
              <w:jc w:val="center"/>
              <w:rPr>
                <w:rFonts w:ascii="宋体"/>
                <w:color w:val="000000"/>
                <w:sz w:val="18"/>
                <w:szCs w:val="18"/>
              </w:rPr>
            </w:pPr>
            <w:r>
              <w:rPr>
                <w:rFonts w:ascii="宋体" w:hAnsi="宋体" w:cs="宋体"/>
                <w:color w:val="000000"/>
                <w:sz w:val="18"/>
                <w:szCs w:val="18"/>
              </w:rPr>
              <w:t>8</w:t>
            </w:r>
          </w:p>
        </w:tc>
        <w:tc>
          <w:tcPr>
            <w:tcW w:w="3725" w:type="dxa"/>
          </w:tcPr>
          <w:p>
            <w:pPr>
              <w:widowControl/>
              <w:jc w:val="left"/>
              <w:textAlignment w:val="center"/>
              <w:rPr>
                <w:rFonts w:ascii="宋体"/>
                <w:kern w:val="0"/>
                <w:sz w:val="18"/>
                <w:szCs w:val="18"/>
              </w:rPr>
            </w:pPr>
            <w:r>
              <w:rPr>
                <w:rFonts w:ascii="宋体" w:hAnsi="宋体" w:cs="宋体"/>
                <w:kern w:val="0"/>
                <w:sz w:val="18"/>
                <w:szCs w:val="18"/>
              </w:rPr>
              <w:t>1</w:t>
            </w:r>
            <w:r>
              <w:rPr>
                <w:rFonts w:hint="eastAsia" w:ascii="宋体" w:hAnsi="宋体" w:cs="宋体"/>
                <w:kern w:val="0"/>
                <w:sz w:val="18"/>
                <w:szCs w:val="18"/>
              </w:rPr>
              <w:t>、</w:t>
            </w:r>
            <w:r>
              <w:rPr>
                <w:rFonts w:hint="eastAsia" w:ascii="宋体" w:hAnsi="宋体" w:cs="宋体"/>
                <w:b/>
                <w:bCs/>
                <w:kern w:val="0"/>
                <w:sz w:val="18"/>
                <w:szCs w:val="18"/>
              </w:rPr>
              <w:t>有完善的适应项目所在地的</w:t>
            </w:r>
            <w:r>
              <w:rPr>
                <w:rFonts w:hint="eastAsia" w:ascii="宋体" w:hAnsi="宋体" w:cs="宋体"/>
                <w:b/>
                <w:bCs/>
                <w:sz w:val="18"/>
                <w:szCs w:val="18"/>
              </w:rPr>
              <w:t>温室大棚保险</w:t>
            </w:r>
            <w:r>
              <w:rPr>
                <w:rFonts w:hint="eastAsia" w:ascii="宋体" w:hAnsi="宋体" w:cs="宋体"/>
                <w:b/>
                <w:bCs/>
                <w:kern w:val="0"/>
                <w:sz w:val="18"/>
                <w:szCs w:val="18"/>
              </w:rPr>
              <w:t>查勘定损流程。</w:t>
            </w:r>
            <w:r>
              <w:rPr>
                <w:rFonts w:hint="eastAsia" w:ascii="宋体" w:hAnsi="宋体" w:cs="宋体"/>
                <w:kern w:val="0"/>
                <w:sz w:val="18"/>
                <w:szCs w:val="18"/>
              </w:rPr>
              <w:t>重点考察查勘定损的及时性、合理性、可行性：</w:t>
            </w:r>
          </w:p>
        </w:tc>
        <w:tc>
          <w:tcPr>
            <w:tcW w:w="2167" w:type="dxa"/>
          </w:tcPr>
          <w:p>
            <w:pPr>
              <w:widowControl/>
              <w:jc w:val="left"/>
              <w:textAlignment w:val="center"/>
              <w:rPr>
                <w:rFonts w:ascii="宋体"/>
                <w:kern w:val="0"/>
                <w:sz w:val="18"/>
                <w:szCs w:val="18"/>
              </w:rPr>
            </w:pPr>
            <w:r>
              <w:rPr>
                <w:rFonts w:hint="eastAsia" w:ascii="宋体" w:hAnsi="宋体" w:cs="宋体"/>
                <w:sz w:val="18"/>
                <w:szCs w:val="18"/>
              </w:rPr>
              <w:t>满足要求得</w:t>
            </w:r>
            <w:r>
              <w:rPr>
                <w:rFonts w:ascii="宋体" w:hAnsi="宋体" w:cs="宋体"/>
                <w:sz w:val="18"/>
                <w:szCs w:val="18"/>
              </w:rPr>
              <w:t>8</w:t>
            </w:r>
            <w:r>
              <w:rPr>
                <w:rFonts w:hint="eastAsia" w:ascii="宋体" w:hAnsi="宋体" w:cs="宋体"/>
                <w:sz w:val="18"/>
                <w:szCs w:val="18"/>
              </w:rPr>
              <w:t>分，基本满足得</w:t>
            </w:r>
            <w:r>
              <w:rPr>
                <w:rFonts w:ascii="宋体" w:hAnsi="宋体" w:cs="宋体"/>
                <w:sz w:val="18"/>
                <w:szCs w:val="18"/>
              </w:rPr>
              <w:t>5</w:t>
            </w:r>
            <w:r>
              <w:rPr>
                <w:rFonts w:hint="eastAsia" w:ascii="宋体" w:hAnsi="宋体" w:cs="宋体"/>
                <w:sz w:val="18"/>
                <w:szCs w:val="18"/>
              </w:rPr>
              <w:t>分，不完善得</w:t>
            </w:r>
            <w:r>
              <w:rPr>
                <w:rFonts w:ascii="宋体" w:hAnsi="宋体" w:cs="宋体"/>
                <w:sz w:val="18"/>
                <w:szCs w:val="18"/>
              </w:rPr>
              <w:t>3</w:t>
            </w:r>
            <w:r>
              <w:rPr>
                <w:rFonts w:hint="eastAsia" w:ascii="宋体" w:hAnsi="宋体" w:cs="宋体"/>
                <w:sz w:val="18"/>
                <w:szCs w:val="18"/>
              </w:rPr>
              <w:t>分，无提供不得分。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7" w:hRule="atLeast"/>
        </w:trPr>
        <w:tc>
          <w:tcPr>
            <w:tcW w:w="386" w:type="dxa"/>
            <w:vMerge w:val="continue"/>
            <w:vAlign w:val="center"/>
          </w:tcPr>
          <w:p>
            <w:pPr>
              <w:spacing w:line="220" w:lineRule="exact"/>
            </w:pPr>
          </w:p>
        </w:tc>
        <w:tc>
          <w:tcPr>
            <w:tcW w:w="923" w:type="dxa"/>
            <w:vMerge w:val="continue"/>
            <w:vAlign w:val="center"/>
          </w:tcPr>
          <w:p>
            <w:pPr>
              <w:spacing w:line="220" w:lineRule="exact"/>
            </w:pPr>
          </w:p>
        </w:tc>
        <w:tc>
          <w:tcPr>
            <w:tcW w:w="925" w:type="dxa"/>
            <w:vMerge w:val="continue"/>
            <w:vAlign w:val="center"/>
          </w:tcPr>
          <w:p>
            <w:pPr>
              <w:spacing w:line="220" w:lineRule="exact"/>
              <w:rPr>
                <w:rFonts w:ascii="宋体"/>
                <w:sz w:val="18"/>
                <w:szCs w:val="18"/>
              </w:rPr>
            </w:pPr>
          </w:p>
        </w:tc>
        <w:tc>
          <w:tcPr>
            <w:tcW w:w="659" w:type="dxa"/>
            <w:vAlign w:val="center"/>
          </w:tcPr>
          <w:p>
            <w:pPr>
              <w:spacing w:line="220" w:lineRule="exact"/>
              <w:jc w:val="center"/>
              <w:rPr>
                <w:rFonts w:ascii="宋体"/>
                <w:sz w:val="18"/>
                <w:szCs w:val="18"/>
              </w:rPr>
            </w:pPr>
            <w:r>
              <w:rPr>
                <w:rFonts w:ascii="宋体" w:hAnsi="宋体" w:cs="宋体"/>
                <w:sz w:val="18"/>
                <w:szCs w:val="18"/>
              </w:rPr>
              <w:t>8</w:t>
            </w:r>
          </w:p>
        </w:tc>
        <w:tc>
          <w:tcPr>
            <w:tcW w:w="3725" w:type="dxa"/>
          </w:tcPr>
          <w:p>
            <w:pPr>
              <w:widowControl/>
              <w:jc w:val="left"/>
              <w:textAlignment w:val="center"/>
              <w:rPr>
                <w:rFonts w:ascii="宋体"/>
                <w:kern w:val="0"/>
                <w:sz w:val="18"/>
                <w:szCs w:val="18"/>
              </w:rPr>
            </w:pPr>
            <w:r>
              <w:rPr>
                <w:rFonts w:ascii="宋体" w:hAnsi="宋体" w:cs="宋体"/>
                <w:kern w:val="0"/>
                <w:sz w:val="18"/>
                <w:szCs w:val="18"/>
              </w:rPr>
              <w:t>2</w:t>
            </w:r>
            <w:r>
              <w:rPr>
                <w:rFonts w:hint="eastAsia" w:ascii="宋体" w:hAnsi="宋体" w:cs="宋体"/>
                <w:kern w:val="0"/>
                <w:sz w:val="18"/>
                <w:szCs w:val="18"/>
              </w:rPr>
              <w:t>、</w:t>
            </w:r>
            <w:r>
              <w:rPr>
                <w:rFonts w:hint="eastAsia" w:ascii="宋体" w:hAnsi="宋体" w:cs="宋体"/>
                <w:b/>
                <w:bCs/>
                <w:kern w:val="0"/>
                <w:sz w:val="18"/>
                <w:szCs w:val="18"/>
              </w:rPr>
              <w:t>有完善的适应项目所在地的</w:t>
            </w:r>
            <w:r>
              <w:rPr>
                <w:rFonts w:hint="eastAsia" w:ascii="宋体" w:hAnsi="宋体" w:cs="宋体"/>
                <w:b/>
                <w:bCs/>
                <w:sz w:val="18"/>
                <w:szCs w:val="18"/>
              </w:rPr>
              <w:t>温室大棚保险</w:t>
            </w:r>
            <w:r>
              <w:rPr>
                <w:rFonts w:hint="eastAsia" w:ascii="宋体" w:hAnsi="宋体" w:cs="宋体"/>
                <w:b/>
                <w:bCs/>
                <w:kern w:val="0"/>
                <w:sz w:val="18"/>
                <w:szCs w:val="18"/>
              </w:rPr>
              <w:t>查勘定损办法和损失测量工作机制。</w:t>
            </w:r>
            <w:r>
              <w:rPr>
                <w:rFonts w:hint="eastAsia" w:ascii="宋体" w:hAnsi="宋体" w:cs="宋体"/>
                <w:kern w:val="0"/>
                <w:sz w:val="18"/>
                <w:szCs w:val="18"/>
              </w:rPr>
              <w:t>重点考察查勘定损办法的科学性、准确性</w:t>
            </w:r>
            <w:r>
              <w:rPr>
                <w:rFonts w:hint="eastAsia" w:ascii="宋体" w:hAnsi="宋体" w:cs="宋体"/>
                <w:sz w:val="18"/>
                <w:szCs w:val="18"/>
              </w:rPr>
              <w:t>：</w:t>
            </w:r>
          </w:p>
        </w:tc>
        <w:tc>
          <w:tcPr>
            <w:tcW w:w="2167" w:type="dxa"/>
          </w:tcPr>
          <w:p>
            <w:pPr>
              <w:widowControl/>
              <w:jc w:val="left"/>
              <w:textAlignment w:val="center"/>
              <w:rPr>
                <w:rFonts w:ascii="宋体"/>
                <w:kern w:val="0"/>
                <w:sz w:val="18"/>
                <w:szCs w:val="18"/>
              </w:rPr>
            </w:pPr>
            <w:r>
              <w:rPr>
                <w:rFonts w:hint="eastAsia" w:ascii="宋体" w:hAnsi="宋体" w:cs="宋体"/>
                <w:sz w:val="18"/>
                <w:szCs w:val="18"/>
              </w:rPr>
              <w:t>满足要求得</w:t>
            </w:r>
            <w:r>
              <w:rPr>
                <w:rFonts w:ascii="宋体" w:hAnsi="宋体" w:cs="宋体"/>
                <w:sz w:val="18"/>
                <w:szCs w:val="18"/>
              </w:rPr>
              <w:t>8</w:t>
            </w:r>
            <w:r>
              <w:rPr>
                <w:rFonts w:hint="eastAsia" w:ascii="宋体" w:hAnsi="宋体" w:cs="宋体"/>
                <w:sz w:val="18"/>
                <w:szCs w:val="18"/>
              </w:rPr>
              <w:t>分，基本满足得</w:t>
            </w:r>
            <w:r>
              <w:rPr>
                <w:rFonts w:ascii="宋体" w:hAnsi="宋体" w:cs="宋体"/>
                <w:sz w:val="18"/>
                <w:szCs w:val="18"/>
              </w:rPr>
              <w:t>5</w:t>
            </w:r>
            <w:r>
              <w:rPr>
                <w:rFonts w:hint="eastAsia" w:ascii="宋体" w:hAnsi="宋体" w:cs="宋体"/>
                <w:sz w:val="18"/>
                <w:szCs w:val="18"/>
              </w:rPr>
              <w:t>分，不完善得</w:t>
            </w:r>
            <w:r>
              <w:rPr>
                <w:rFonts w:ascii="宋体" w:hAnsi="宋体" w:cs="宋体"/>
                <w:sz w:val="18"/>
                <w:szCs w:val="18"/>
              </w:rPr>
              <w:t>3</w:t>
            </w:r>
            <w:r>
              <w:rPr>
                <w:rFonts w:hint="eastAsia" w:ascii="宋体" w:hAnsi="宋体" w:cs="宋体"/>
                <w:sz w:val="18"/>
                <w:szCs w:val="18"/>
              </w:rPr>
              <w:t>分，无提供不得分。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88" w:hRule="atLeast"/>
        </w:trPr>
        <w:tc>
          <w:tcPr>
            <w:tcW w:w="386" w:type="dxa"/>
            <w:vAlign w:val="center"/>
          </w:tcPr>
          <w:p>
            <w:pPr>
              <w:spacing w:line="220" w:lineRule="exact"/>
              <w:rPr>
                <w:rFonts w:ascii="宋体"/>
                <w:color w:val="000000"/>
                <w:sz w:val="18"/>
                <w:szCs w:val="18"/>
              </w:rPr>
            </w:pPr>
            <w:r>
              <w:rPr>
                <w:rFonts w:ascii="宋体" w:hAnsi="宋体" w:cs="宋体"/>
                <w:color w:val="000000"/>
                <w:sz w:val="18"/>
                <w:szCs w:val="18"/>
              </w:rPr>
              <w:t>3</w:t>
            </w:r>
          </w:p>
        </w:tc>
        <w:tc>
          <w:tcPr>
            <w:tcW w:w="923" w:type="dxa"/>
            <w:vMerge w:val="continue"/>
            <w:vAlign w:val="center"/>
          </w:tcPr>
          <w:p>
            <w:pPr>
              <w:spacing w:line="220" w:lineRule="exact"/>
              <w:jc w:val="center"/>
              <w:rPr>
                <w:rFonts w:ascii="宋体"/>
                <w:color w:val="000000"/>
                <w:sz w:val="18"/>
                <w:szCs w:val="18"/>
              </w:rPr>
            </w:pPr>
          </w:p>
        </w:tc>
        <w:tc>
          <w:tcPr>
            <w:tcW w:w="925" w:type="dxa"/>
            <w:vAlign w:val="center"/>
          </w:tcPr>
          <w:p>
            <w:pPr>
              <w:spacing w:line="220" w:lineRule="exact"/>
              <w:jc w:val="center"/>
              <w:rPr>
                <w:rFonts w:ascii="宋体"/>
                <w:color w:val="000000"/>
                <w:sz w:val="18"/>
                <w:szCs w:val="18"/>
              </w:rPr>
            </w:pPr>
            <w:r>
              <w:rPr>
                <w:rFonts w:hint="eastAsia" w:ascii="宋体" w:hAnsi="宋体" w:cs="宋体"/>
                <w:sz w:val="18"/>
                <w:szCs w:val="18"/>
              </w:rPr>
              <w:t>理赔方案</w:t>
            </w:r>
          </w:p>
        </w:tc>
        <w:tc>
          <w:tcPr>
            <w:tcW w:w="659" w:type="dxa"/>
            <w:vAlign w:val="center"/>
          </w:tcPr>
          <w:p>
            <w:pPr>
              <w:spacing w:line="220" w:lineRule="exact"/>
              <w:jc w:val="center"/>
              <w:rPr>
                <w:rFonts w:ascii="宋体"/>
                <w:color w:val="000000"/>
                <w:sz w:val="18"/>
                <w:szCs w:val="18"/>
              </w:rPr>
            </w:pPr>
            <w:r>
              <w:rPr>
                <w:rFonts w:ascii="宋体" w:hAnsi="宋体" w:cs="宋体"/>
                <w:color w:val="000000"/>
                <w:sz w:val="18"/>
                <w:szCs w:val="18"/>
              </w:rPr>
              <w:t>20</w:t>
            </w:r>
          </w:p>
        </w:tc>
        <w:tc>
          <w:tcPr>
            <w:tcW w:w="3725" w:type="dxa"/>
            <w:vAlign w:val="center"/>
          </w:tcPr>
          <w:p>
            <w:pPr>
              <w:spacing w:line="220" w:lineRule="exact"/>
              <w:rPr>
                <w:rFonts w:ascii="宋体"/>
                <w:color w:val="000000"/>
                <w:sz w:val="18"/>
                <w:szCs w:val="18"/>
              </w:rPr>
            </w:pPr>
            <w:r>
              <w:rPr>
                <w:rFonts w:hint="eastAsia" w:ascii="宋体" w:hAnsi="宋体" w:cs="宋体"/>
                <w:b/>
                <w:bCs/>
                <w:kern w:val="0"/>
                <w:sz w:val="18"/>
                <w:szCs w:val="18"/>
              </w:rPr>
              <w:t>有完善的适应项目所在地的温室大棚保险理赔操作流程</w:t>
            </w:r>
            <w:r>
              <w:rPr>
                <w:rFonts w:hint="eastAsia" w:ascii="宋体" w:hAnsi="宋体" w:cs="宋体"/>
                <w:kern w:val="0"/>
                <w:sz w:val="18"/>
                <w:szCs w:val="18"/>
              </w:rPr>
              <w:t>。重点考察理赔流程的方便性、时效性、准确性：</w:t>
            </w:r>
          </w:p>
        </w:tc>
        <w:tc>
          <w:tcPr>
            <w:tcW w:w="2167" w:type="dxa"/>
            <w:vAlign w:val="center"/>
          </w:tcPr>
          <w:p>
            <w:pPr>
              <w:spacing w:line="220" w:lineRule="exact"/>
              <w:rPr>
                <w:rFonts w:ascii="宋体"/>
                <w:kern w:val="0"/>
                <w:sz w:val="18"/>
                <w:szCs w:val="18"/>
              </w:rPr>
            </w:pPr>
            <w:r>
              <w:rPr>
                <w:rFonts w:hint="eastAsia" w:ascii="宋体" w:hAnsi="宋体" w:cs="宋体"/>
                <w:sz w:val="18"/>
                <w:szCs w:val="18"/>
              </w:rPr>
              <w:t>满足要求得</w:t>
            </w:r>
            <w:r>
              <w:rPr>
                <w:rFonts w:ascii="宋体" w:hAnsi="宋体" w:cs="宋体"/>
                <w:sz w:val="18"/>
                <w:szCs w:val="18"/>
              </w:rPr>
              <w:t>20</w:t>
            </w:r>
            <w:r>
              <w:rPr>
                <w:rFonts w:hint="eastAsia" w:ascii="宋体" w:hAnsi="宋体" w:cs="宋体"/>
                <w:sz w:val="18"/>
                <w:szCs w:val="18"/>
              </w:rPr>
              <w:t>分，基本满足得</w:t>
            </w:r>
            <w:r>
              <w:rPr>
                <w:rFonts w:ascii="宋体" w:hAnsi="宋体" w:cs="宋体"/>
                <w:sz w:val="18"/>
                <w:szCs w:val="18"/>
              </w:rPr>
              <w:t>15</w:t>
            </w:r>
            <w:r>
              <w:rPr>
                <w:rFonts w:hint="eastAsia" w:ascii="宋体" w:hAnsi="宋体" w:cs="宋体"/>
                <w:sz w:val="18"/>
                <w:szCs w:val="18"/>
              </w:rPr>
              <w:t>分，不完善得</w:t>
            </w:r>
            <w:r>
              <w:rPr>
                <w:rFonts w:ascii="宋体" w:hAnsi="宋体" w:cs="宋体"/>
                <w:sz w:val="18"/>
                <w:szCs w:val="18"/>
              </w:rPr>
              <w:t>10</w:t>
            </w:r>
            <w:r>
              <w:rPr>
                <w:rFonts w:hint="eastAsia" w:ascii="宋体" w:hAnsi="宋体" w:cs="宋体"/>
                <w:sz w:val="18"/>
                <w:szCs w:val="18"/>
              </w:rPr>
              <w:t>分，无提供不得分。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57" w:hRule="atLeast"/>
        </w:trPr>
        <w:tc>
          <w:tcPr>
            <w:tcW w:w="386" w:type="dxa"/>
            <w:vAlign w:val="center"/>
          </w:tcPr>
          <w:p>
            <w:pPr>
              <w:spacing w:line="220" w:lineRule="exact"/>
              <w:rPr>
                <w:rFonts w:ascii="宋体"/>
                <w:color w:val="000000"/>
                <w:sz w:val="18"/>
                <w:szCs w:val="18"/>
              </w:rPr>
            </w:pPr>
            <w:r>
              <w:rPr>
                <w:rFonts w:ascii="宋体" w:hAnsi="宋体" w:cs="宋体"/>
                <w:color w:val="000000"/>
                <w:sz w:val="18"/>
                <w:szCs w:val="18"/>
              </w:rPr>
              <w:t>4</w:t>
            </w:r>
          </w:p>
        </w:tc>
        <w:tc>
          <w:tcPr>
            <w:tcW w:w="923" w:type="dxa"/>
            <w:vMerge w:val="continue"/>
            <w:vAlign w:val="center"/>
          </w:tcPr>
          <w:p>
            <w:pPr>
              <w:spacing w:line="220" w:lineRule="exact"/>
              <w:jc w:val="center"/>
              <w:rPr>
                <w:rFonts w:ascii="宋体"/>
                <w:color w:val="000000"/>
                <w:sz w:val="18"/>
                <w:szCs w:val="18"/>
              </w:rPr>
            </w:pPr>
          </w:p>
        </w:tc>
        <w:tc>
          <w:tcPr>
            <w:tcW w:w="925" w:type="dxa"/>
            <w:vAlign w:val="center"/>
          </w:tcPr>
          <w:p>
            <w:pPr>
              <w:spacing w:line="220" w:lineRule="exact"/>
              <w:jc w:val="center"/>
              <w:rPr>
                <w:rFonts w:ascii="宋体"/>
                <w:color w:val="000000"/>
                <w:sz w:val="18"/>
                <w:szCs w:val="18"/>
              </w:rPr>
            </w:pPr>
            <w:r>
              <w:rPr>
                <w:rFonts w:hint="eastAsia" w:ascii="宋体" w:hAnsi="宋体" w:cs="宋体"/>
                <w:kern w:val="0"/>
                <w:sz w:val="18"/>
                <w:szCs w:val="18"/>
              </w:rPr>
              <w:t>经营业绩</w:t>
            </w:r>
          </w:p>
        </w:tc>
        <w:tc>
          <w:tcPr>
            <w:tcW w:w="659" w:type="dxa"/>
            <w:vAlign w:val="center"/>
          </w:tcPr>
          <w:p>
            <w:pPr>
              <w:spacing w:line="220" w:lineRule="exact"/>
              <w:jc w:val="center"/>
              <w:rPr>
                <w:rFonts w:ascii="宋体"/>
                <w:color w:val="000000"/>
                <w:sz w:val="18"/>
                <w:szCs w:val="18"/>
              </w:rPr>
            </w:pPr>
            <w:r>
              <w:rPr>
                <w:rFonts w:ascii="宋体" w:hAnsi="宋体" w:cs="宋体"/>
                <w:color w:val="000000"/>
                <w:sz w:val="18"/>
                <w:szCs w:val="18"/>
              </w:rPr>
              <w:t>5</w:t>
            </w:r>
          </w:p>
        </w:tc>
        <w:tc>
          <w:tcPr>
            <w:tcW w:w="3725" w:type="dxa"/>
            <w:vAlign w:val="center"/>
          </w:tcPr>
          <w:p>
            <w:pPr>
              <w:widowControl/>
              <w:jc w:val="left"/>
              <w:textAlignment w:val="center"/>
              <w:rPr>
                <w:rFonts w:ascii="宋体"/>
                <w:kern w:val="0"/>
                <w:sz w:val="18"/>
                <w:szCs w:val="18"/>
              </w:rPr>
            </w:pPr>
            <w:r>
              <w:rPr>
                <w:rFonts w:hint="eastAsia" w:ascii="宋体" w:hAnsi="宋体" w:cs="宋体"/>
                <w:b/>
                <w:bCs/>
                <w:kern w:val="0"/>
                <w:sz w:val="18"/>
                <w:szCs w:val="18"/>
              </w:rPr>
              <w:t>考察意向方</w:t>
            </w:r>
            <w:r>
              <w:rPr>
                <w:rFonts w:ascii="宋体" w:hAnsi="宋体" w:cs="宋体"/>
                <w:b/>
                <w:bCs/>
                <w:kern w:val="0"/>
                <w:sz w:val="18"/>
                <w:szCs w:val="18"/>
              </w:rPr>
              <w:t>2019</w:t>
            </w:r>
            <w:r>
              <w:rPr>
                <w:rFonts w:hint="eastAsia" w:ascii="宋体" w:hAnsi="宋体" w:cs="宋体"/>
                <w:b/>
                <w:bCs/>
                <w:kern w:val="0"/>
                <w:sz w:val="18"/>
                <w:szCs w:val="18"/>
              </w:rPr>
              <w:t>年</w:t>
            </w:r>
            <w:r>
              <w:rPr>
                <w:rFonts w:ascii="宋体" w:hAnsi="宋体" w:cs="宋体"/>
                <w:b/>
                <w:bCs/>
                <w:kern w:val="0"/>
                <w:sz w:val="18"/>
                <w:szCs w:val="18"/>
              </w:rPr>
              <w:t>1</w:t>
            </w:r>
            <w:r>
              <w:rPr>
                <w:rFonts w:hint="eastAsia" w:ascii="宋体" w:hAnsi="宋体" w:cs="宋体"/>
                <w:b/>
                <w:bCs/>
                <w:kern w:val="0"/>
                <w:sz w:val="18"/>
                <w:szCs w:val="18"/>
              </w:rPr>
              <w:t>月</w:t>
            </w:r>
            <w:r>
              <w:rPr>
                <w:rFonts w:ascii="宋体" w:hAnsi="宋体" w:cs="宋体"/>
                <w:b/>
                <w:bCs/>
                <w:kern w:val="0"/>
                <w:sz w:val="18"/>
                <w:szCs w:val="18"/>
              </w:rPr>
              <w:t>1</w:t>
            </w:r>
            <w:r>
              <w:rPr>
                <w:rFonts w:hint="eastAsia" w:ascii="宋体" w:hAnsi="宋体" w:cs="宋体"/>
                <w:b/>
                <w:bCs/>
                <w:kern w:val="0"/>
                <w:sz w:val="18"/>
                <w:szCs w:val="18"/>
              </w:rPr>
              <w:t>日以来有全省温室大棚保险业绩经验</w:t>
            </w:r>
            <w:r>
              <w:rPr>
                <w:rFonts w:hint="eastAsia" w:ascii="宋体" w:hAnsi="宋体" w:cs="宋体"/>
                <w:kern w:val="0"/>
                <w:sz w:val="18"/>
                <w:szCs w:val="18"/>
              </w:rPr>
              <w:t>。</w:t>
            </w:r>
          </w:p>
          <w:p>
            <w:pPr>
              <w:spacing w:line="220" w:lineRule="exact"/>
              <w:rPr>
                <w:rFonts w:ascii="宋体"/>
                <w:color w:val="000000"/>
                <w:sz w:val="18"/>
                <w:szCs w:val="18"/>
              </w:rPr>
            </w:pPr>
            <w:r>
              <w:rPr>
                <w:rFonts w:hint="eastAsia" w:ascii="宋体" w:hAnsi="宋体" w:cs="宋体"/>
                <w:kern w:val="0"/>
                <w:sz w:val="18"/>
                <w:szCs w:val="18"/>
              </w:rPr>
              <w:t>注：须提供温室大棚保险保单复印件及相关证明材料并加盖公章。</w:t>
            </w:r>
          </w:p>
        </w:tc>
        <w:tc>
          <w:tcPr>
            <w:tcW w:w="2167" w:type="dxa"/>
            <w:vAlign w:val="center"/>
          </w:tcPr>
          <w:p>
            <w:pPr>
              <w:widowControl/>
              <w:jc w:val="left"/>
              <w:textAlignment w:val="center"/>
              <w:rPr>
                <w:rFonts w:ascii="宋体"/>
                <w:kern w:val="0"/>
                <w:sz w:val="18"/>
                <w:szCs w:val="18"/>
              </w:rPr>
            </w:pPr>
            <w:r>
              <w:rPr>
                <w:rFonts w:hint="eastAsia" w:ascii="宋体" w:hAnsi="宋体" w:cs="宋体"/>
                <w:kern w:val="0"/>
                <w:sz w:val="18"/>
                <w:szCs w:val="18"/>
              </w:rPr>
              <w:t>有温室大棚保险承保理赔经验的得</w:t>
            </w:r>
            <w:r>
              <w:rPr>
                <w:rFonts w:ascii="宋体" w:hAnsi="宋体" w:cs="宋体"/>
                <w:kern w:val="0"/>
                <w:sz w:val="18"/>
                <w:szCs w:val="18"/>
              </w:rPr>
              <w:t>5</w:t>
            </w:r>
            <w:r>
              <w:rPr>
                <w:rFonts w:hint="eastAsia" w:ascii="宋体" w:hAnsi="宋体" w:cs="宋体"/>
                <w:kern w:val="0"/>
                <w:sz w:val="18"/>
                <w:szCs w:val="18"/>
              </w:rPr>
              <w:t>分，没有不得分。</w:t>
            </w:r>
          </w:p>
          <w:p>
            <w:pPr>
              <w:spacing w:line="220" w:lineRule="exact"/>
              <w:rPr>
                <w:rFonts w:ascii="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63" w:hRule="atLeast"/>
        </w:trPr>
        <w:tc>
          <w:tcPr>
            <w:tcW w:w="386" w:type="dxa"/>
            <w:vAlign w:val="center"/>
          </w:tcPr>
          <w:p>
            <w:pPr>
              <w:spacing w:line="220" w:lineRule="exact"/>
              <w:rPr>
                <w:rFonts w:ascii="宋体"/>
                <w:color w:val="000000"/>
                <w:sz w:val="18"/>
                <w:szCs w:val="18"/>
              </w:rPr>
            </w:pPr>
            <w:r>
              <w:rPr>
                <w:rFonts w:ascii="宋体" w:hAnsi="宋体" w:cs="宋体"/>
                <w:color w:val="000000"/>
                <w:sz w:val="18"/>
                <w:szCs w:val="18"/>
              </w:rPr>
              <w:t>5</w:t>
            </w:r>
          </w:p>
        </w:tc>
        <w:tc>
          <w:tcPr>
            <w:tcW w:w="923" w:type="dxa"/>
            <w:vMerge w:val="continue"/>
            <w:vAlign w:val="center"/>
          </w:tcPr>
          <w:p>
            <w:pPr>
              <w:spacing w:line="220" w:lineRule="exact"/>
              <w:jc w:val="center"/>
              <w:rPr>
                <w:rFonts w:ascii="宋体"/>
                <w:color w:val="000000"/>
                <w:sz w:val="18"/>
                <w:szCs w:val="18"/>
              </w:rPr>
            </w:pPr>
          </w:p>
        </w:tc>
        <w:tc>
          <w:tcPr>
            <w:tcW w:w="925" w:type="dxa"/>
            <w:vAlign w:val="center"/>
          </w:tcPr>
          <w:p>
            <w:pPr>
              <w:spacing w:line="220" w:lineRule="exact"/>
              <w:jc w:val="center"/>
              <w:rPr>
                <w:rFonts w:ascii="宋体"/>
                <w:color w:val="000000"/>
                <w:sz w:val="18"/>
                <w:szCs w:val="18"/>
              </w:rPr>
            </w:pPr>
            <w:r>
              <w:rPr>
                <w:rFonts w:hint="eastAsia" w:ascii="宋体" w:hAnsi="宋体" w:cs="宋体"/>
                <w:kern w:val="0"/>
                <w:sz w:val="18"/>
                <w:szCs w:val="18"/>
              </w:rPr>
              <w:t>分类监管评价</w:t>
            </w:r>
          </w:p>
        </w:tc>
        <w:tc>
          <w:tcPr>
            <w:tcW w:w="659" w:type="dxa"/>
            <w:vAlign w:val="center"/>
          </w:tcPr>
          <w:p>
            <w:pPr>
              <w:spacing w:line="220" w:lineRule="exact"/>
              <w:jc w:val="center"/>
              <w:rPr>
                <w:rFonts w:ascii="宋体"/>
                <w:color w:val="000000"/>
                <w:sz w:val="18"/>
                <w:szCs w:val="18"/>
              </w:rPr>
            </w:pPr>
            <w:r>
              <w:rPr>
                <w:rFonts w:ascii="宋体" w:hAnsi="宋体" w:cs="宋体"/>
                <w:color w:val="000000"/>
                <w:sz w:val="18"/>
                <w:szCs w:val="18"/>
              </w:rPr>
              <w:t>4</w:t>
            </w:r>
          </w:p>
        </w:tc>
        <w:tc>
          <w:tcPr>
            <w:tcW w:w="3725" w:type="dxa"/>
            <w:vAlign w:val="center"/>
          </w:tcPr>
          <w:p>
            <w:pPr>
              <w:widowControl/>
              <w:jc w:val="left"/>
              <w:textAlignment w:val="center"/>
              <w:rPr>
                <w:rFonts w:ascii="宋体"/>
                <w:b/>
                <w:bCs/>
                <w:kern w:val="0"/>
                <w:sz w:val="18"/>
                <w:szCs w:val="18"/>
              </w:rPr>
            </w:pPr>
            <w:r>
              <w:rPr>
                <w:rFonts w:hint="eastAsia" w:ascii="宋体" w:hAnsi="宋体" w:cs="宋体"/>
                <w:b/>
                <w:bCs/>
                <w:kern w:val="0"/>
                <w:sz w:val="18"/>
                <w:szCs w:val="18"/>
              </w:rPr>
              <w:t>根据意向方或上级公司</w:t>
            </w:r>
            <w:r>
              <w:rPr>
                <w:rFonts w:ascii="宋体" w:hAnsi="宋体" w:cs="宋体"/>
                <w:b/>
                <w:bCs/>
                <w:kern w:val="0"/>
                <w:sz w:val="18"/>
                <w:szCs w:val="18"/>
              </w:rPr>
              <w:t>2019</w:t>
            </w:r>
            <w:r>
              <w:rPr>
                <w:rFonts w:hint="eastAsia" w:ascii="宋体" w:hAnsi="宋体" w:cs="宋体"/>
                <w:b/>
                <w:bCs/>
                <w:kern w:val="0"/>
                <w:sz w:val="18"/>
                <w:szCs w:val="18"/>
              </w:rPr>
              <w:t>年以来分类监管评价结果进行评审。</w:t>
            </w:r>
          </w:p>
          <w:p>
            <w:pPr>
              <w:spacing w:line="220" w:lineRule="exact"/>
              <w:rPr>
                <w:rFonts w:ascii="宋体"/>
                <w:color w:val="000000"/>
                <w:sz w:val="18"/>
                <w:szCs w:val="18"/>
              </w:rPr>
            </w:pPr>
            <w:r>
              <w:rPr>
                <w:rFonts w:hint="eastAsia" w:ascii="宋体" w:hAnsi="宋体" w:cs="宋体"/>
                <w:kern w:val="0"/>
                <w:sz w:val="18"/>
                <w:szCs w:val="18"/>
              </w:rPr>
              <w:t>注：须提供银保监部门公布的服务评价结果证明文件并加盖意向方公章，否则不得分。</w:t>
            </w:r>
          </w:p>
        </w:tc>
        <w:tc>
          <w:tcPr>
            <w:tcW w:w="2167" w:type="dxa"/>
            <w:vAlign w:val="center"/>
          </w:tcPr>
          <w:p>
            <w:pPr>
              <w:widowControl/>
              <w:jc w:val="left"/>
              <w:textAlignment w:val="center"/>
              <w:rPr>
                <w:rFonts w:ascii="宋体"/>
                <w:kern w:val="0"/>
                <w:sz w:val="18"/>
                <w:szCs w:val="18"/>
              </w:rPr>
            </w:pPr>
            <w:r>
              <w:rPr>
                <w:rFonts w:hint="eastAsia" w:ascii="宋体" w:hAnsi="宋体" w:cs="宋体"/>
                <w:kern w:val="0"/>
                <w:sz w:val="18"/>
                <w:szCs w:val="18"/>
              </w:rPr>
              <w:t>获得</w:t>
            </w:r>
            <w:r>
              <w:rPr>
                <w:rFonts w:ascii="宋体" w:hAnsi="宋体" w:cs="宋体"/>
                <w:kern w:val="0"/>
                <w:sz w:val="18"/>
                <w:szCs w:val="18"/>
              </w:rPr>
              <w:t>A</w:t>
            </w:r>
            <w:r>
              <w:rPr>
                <w:rFonts w:hint="eastAsia" w:ascii="宋体" w:hAnsi="宋体" w:cs="宋体"/>
                <w:kern w:val="0"/>
                <w:sz w:val="18"/>
                <w:szCs w:val="18"/>
              </w:rPr>
              <w:t>评价等级得</w:t>
            </w:r>
            <w:r>
              <w:rPr>
                <w:rFonts w:ascii="宋体" w:hAnsi="宋体" w:cs="宋体"/>
                <w:kern w:val="0"/>
                <w:sz w:val="18"/>
                <w:szCs w:val="18"/>
              </w:rPr>
              <w:t>4</w:t>
            </w:r>
            <w:r>
              <w:rPr>
                <w:rFonts w:hint="eastAsia" w:ascii="宋体" w:hAnsi="宋体" w:cs="宋体"/>
                <w:kern w:val="0"/>
                <w:sz w:val="18"/>
                <w:szCs w:val="18"/>
              </w:rPr>
              <w:t>分，获得</w:t>
            </w:r>
            <w:r>
              <w:rPr>
                <w:rFonts w:ascii="宋体" w:hAnsi="宋体" w:cs="宋体"/>
                <w:kern w:val="0"/>
                <w:sz w:val="18"/>
                <w:szCs w:val="18"/>
              </w:rPr>
              <w:t>B</w:t>
            </w:r>
            <w:r>
              <w:rPr>
                <w:rFonts w:hint="eastAsia" w:ascii="宋体" w:hAnsi="宋体" w:cs="宋体"/>
                <w:kern w:val="0"/>
                <w:sz w:val="18"/>
                <w:szCs w:val="18"/>
              </w:rPr>
              <w:t>评价等级得</w:t>
            </w:r>
            <w:r>
              <w:rPr>
                <w:rFonts w:ascii="宋体" w:hAnsi="宋体" w:cs="宋体"/>
                <w:kern w:val="0"/>
                <w:sz w:val="18"/>
                <w:szCs w:val="18"/>
              </w:rPr>
              <w:t>3</w:t>
            </w:r>
            <w:r>
              <w:rPr>
                <w:rFonts w:hint="eastAsia" w:ascii="宋体" w:hAnsi="宋体" w:cs="宋体"/>
                <w:kern w:val="0"/>
                <w:sz w:val="18"/>
                <w:szCs w:val="18"/>
              </w:rPr>
              <w:t>分，获得</w:t>
            </w:r>
            <w:r>
              <w:rPr>
                <w:rFonts w:ascii="宋体" w:hAnsi="宋体" w:cs="宋体"/>
                <w:kern w:val="0"/>
                <w:sz w:val="18"/>
                <w:szCs w:val="18"/>
              </w:rPr>
              <w:t>C</w:t>
            </w:r>
            <w:r>
              <w:rPr>
                <w:rFonts w:hint="eastAsia" w:ascii="宋体" w:hAnsi="宋体" w:cs="宋体"/>
                <w:kern w:val="0"/>
                <w:sz w:val="18"/>
                <w:szCs w:val="18"/>
              </w:rPr>
              <w:t>评价等级得</w:t>
            </w:r>
            <w:r>
              <w:rPr>
                <w:rFonts w:ascii="宋体" w:hAnsi="宋体" w:cs="宋体"/>
                <w:kern w:val="0"/>
                <w:sz w:val="18"/>
                <w:szCs w:val="18"/>
              </w:rPr>
              <w:t>2</w:t>
            </w:r>
            <w:r>
              <w:rPr>
                <w:rFonts w:hint="eastAsia" w:ascii="宋体" w:hAnsi="宋体" w:cs="宋体"/>
                <w:kern w:val="0"/>
                <w:sz w:val="18"/>
                <w:szCs w:val="18"/>
              </w:rPr>
              <w:t>分，获得</w:t>
            </w:r>
            <w:r>
              <w:rPr>
                <w:rFonts w:ascii="宋体" w:hAnsi="宋体" w:cs="宋体"/>
                <w:kern w:val="0"/>
                <w:sz w:val="18"/>
                <w:szCs w:val="18"/>
              </w:rPr>
              <w:t>D</w:t>
            </w:r>
            <w:r>
              <w:rPr>
                <w:rFonts w:hint="eastAsia" w:ascii="宋体" w:hAnsi="宋体" w:cs="宋体"/>
                <w:kern w:val="0"/>
                <w:sz w:val="18"/>
                <w:szCs w:val="18"/>
              </w:rPr>
              <w:t>（含）以下评价等级或不提供的不得分。</w:t>
            </w:r>
          </w:p>
          <w:p>
            <w:pPr>
              <w:spacing w:line="220" w:lineRule="exact"/>
              <w:rPr>
                <w:rFonts w:ascii="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83" w:hRule="atLeast"/>
        </w:trPr>
        <w:tc>
          <w:tcPr>
            <w:tcW w:w="386" w:type="dxa"/>
            <w:vAlign w:val="center"/>
          </w:tcPr>
          <w:p>
            <w:pPr>
              <w:spacing w:line="220" w:lineRule="exact"/>
              <w:rPr>
                <w:rFonts w:ascii="宋体"/>
                <w:color w:val="000000"/>
                <w:sz w:val="18"/>
                <w:szCs w:val="18"/>
              </w:rPr>
            </w:pPr>
            <w:r>
              <w:rPr>
                <w:rFonts w:ascii="宋体" w:hAnsi="宋体" w:cs="宋体"/>
                <w:color w:val="000000"/>
                <w:sz w:val="18"/>
                <w:szCs w:val="18"/>
              </w:rPr>
              <w:t>6</w:t>
            </w:r>
          </w:p>
        </w:tc>
        <w:tc>
          <w:tcPr>
            <w:tcW w:w="923" w:type="dxa"/>
            <w:vMerge w:val="continue"/>
            <w:vAlign w:val="center"/>
          </w:tcPr>
          <w:p>
            <w:pPr>
              <w:spacing w:line="220" w:lineRule="exact"/>
              <w:jc w:val="center"/>
              <w:rPr>
                <w:rFonts w:ascii="宋体"/>
                <w:color w:val="000000"/>
                <w:sz w:val="18"/>
                <w:szCs w:val="18"/>
              </w:rPr>
            </w:pPr>
          </w:p>
        </w:tc>
        <w:tc>
          <w:tcPr>
            <w:tcW w:w="925" w:type="dxa"/>
            <w:vAlign w:val="center"/>
          </w:tcPr>
          <w:p>
            <w:pPr>
              <w:spacing w:line="220" w:lineRule="exact"/>
              <w:jc w:val="center"/>
              <w:rPr>
                <w:rFonts w:ascii="宋体"/>
                <w:color w:val="000000"/>
                <w:sz w:val="18"/>
                <w:szCs w:val="18"/>
              </w:rPr>
            </w:pPr>
            <w:r>
              <w:rPr>
                <w:rFonts w:hint="eastAsia" w:ascii="宋体" w:hAnsi="宋体" w:cs="宋体"/>
                <w:kern w:val="0"/>
                <w:sz w:val="18"/>
                <w:szCs w:val="18"/>
              </w:rPr>
              <w:t>消费投诉处理工作评价</w:t>
            </w:r>
          </w:p>
        </w:tc>
        <w:tc>
          <w:tcPr>
            <w:tcW w:w="659" w:type="dxa"/>
            <w:vAlign w:val="center"/>
          </w:tcPr>
          <w:p>
            <w:pPr>
              <w:spacing w:line="220" w:lineRule="exact"/>
              <w:jc w:val="center"/>
              <w:rPr>
                <w:rFonts w:ascii="宋体"/>
                <w:color w:val="000000"/>
                <w:sz w:val="18"/>
                <w:szCs w:val="18"/>
              </w:rPr>
            </w:pPr>
            <w:r>
              <w:rPr>
                <w:rFonts w:ascii="宋体" w:hAnsi="宋体" w:cs="宋体"/>
                <w:color w:val="000000"/>
                <w:sz w:val="18"/>
                <w:szCs w:val="18"/>
              </w:rPr>
              <w:t>10</w:t>
            </w:r>
          </w:p>
        </w:tc>
        <w:tc>
          <w:tcPr>
            <w:tcW w:w="3725" w:type="dxa"/>
            <w:vAlign w:val="center"/>
          </w:tcPr>
          <w:p>
            <w:pPr>
              <w:widowControl/>
              <w:jc w:val="left"/>
              <w:textAlignment w:val="center"/>
              <w:rPr>
                <w:rFonts w:ascii="宋体"/>
                <w:kern w:val="0"/>
                <w:sz w:val="18"/>
                <w:szCs w:val="18"/>
              </w:rPr>
            </w:pPr>
            <w:r>
              <w:rPr>
                <w:rFonts w:hint="eastAsia" w:ascii="宋体" w:hAnsi="宋体" w:cs="宋体"/>
                <w:b/>
                <w:bCs/>
                <w:kern w:val="0"/>
                <w:sz w:val="18"/>
                <w:szCs w:val="18"/>
              </w:rPr>
              <w:t>为保障消费者权益，完善社会治理体系，根据《广东保险公司保险消费投诉处理工作评价暂行办法》，意向方</w:t>
            </w:r>
            <w:r>
              <w:rPr>
                <w:rFonts w:ascii="宋体" w:hAnsi="宋体" w:cs="宋体"/>
                <w:b/>
                <w:bCs/>
                <w:kern w:val="0"/>
                <w:sz w:val="18"/>
                <w:szCs w:val="18"/>
              </w:rPr>
              <w:t>2019</w:t>
            </w:r>
            <w:r>
              <w:rPr>
                <w:rFonts w:hint="eastAsia" w:ascii="宋体" w:hAnsi="宋体" w:cs="宋体"/>
                <w:b/>
                <w:bCs/>
                <w:kern w:val="0"/>
                <w:sz w:val="18"/>
                <w:szCs w:val="18"/>
              </w:rPr>
              <w:t>年以来的保险公司保险投诉评价结果，亿元保费投诉率由低至高进行综合对比。</w:t>
            </w:r>
          </w:p>
          <w:p>
            <w:pPr>
              <w:spacing w:line="220" w:lineRule="exact"/>
              <w:rPr>
                <w:rFonts w:ascii="宋体"/>
                <w:color w:val="000000"/>
                <w:sz w:val="18"/>
                <w:szCs w:val="18"/>
              </w:rPr>
            </w:pPr>
            <w:r>
              <w:rPr>
                <w:rFonts w:hint="eastAsia" w:ascii="宋体" w:hAnsi="宋体" w:cs="宋体"/>
                <w:kern w:val="0"/>
                <w:sz w:val="18"/>
                <w:szCs w:val="18"/>
              </w:rPr>
              <w:t>注：须提供广东银保监部门近年对意向方开展保险消费者投诉处理工作评价的证明材料复印件作为评审依据。</w:t>
            </w:r>
          </w:p>
        </w:tc>
        <w:tc>
          <w:tcPr>
            <w:tcW w:w="2167" w:type="dxa"/>
            <w:vAlign w:val="center"/>
          </w:tcPr>
          <w:p>
            <w:pPr>
              <w:spacing w:line="220" w:lineRule="exact"/>
              <w:rPr>
                <w:rFonts w:ascii="宋体"/>
                <w:kern w:val="0"/>
                <w:sz w:val="18"/>
                <w:szCs w:val="18"/>
              </w:rPr>
            </w:pPr>
            <w:r>
              <w:rPr>
                <w:rFonts w:hint="eastAsia" w:ascii="宋体" w:hAnsi="宋体" w:cs="宋体"/>
                <w:kern w:val="0"/>
                <w:sz w:val="18"/>
                <w:szCs w:val="18"/>
              </w:rPr>
              <w:t>第一名得</w:t>
            </w:r>
            <w:r>
              <w:rPr>
                <w:rFonts w:ascii="宋体" w:hAnsi="宋体" w:cs="宋体"/>
                <w:kern w:val="0"/>
                <w:sz w:val="18"/>
                <w:szCs w:val="18"/>
              </w:rPr>
              <w:t>10</w:t>
            </w:r>
            <w:r>
              <w:rPr>
                <w:rFonts w:hint="eastAsia" w:ascii="宋体" w:hAnsi="宋体" w:cs="宋体"/>
                <w:kern w:val="0"/>
                <w:sz w:val="18"/>
                <w:szCs w:val="18"/>
              </w:rPr>
              <w:t>分，第二名得</w:t>
            </w:r>
            <w:r>
              <w:rPr>
                <w:rFonts w:ascii="宋体" w:hAnsi="宋体" w:cs="宋体"/>
                <w:kern w:val="0"/>
                <w:sz w:val="18"/>
                <w:szCs w:val="18"/>
              </w:rPr>
              <w:t>7</w:t>
            </w:r>
            <w:r>
              <w:rPr>
                <w:rFonts w:hint="eastAsia" w:ascii="宋体" w:hAnsi="宋体" w:cs="宋体"/>
                <w:kern w:val="0"/>
                <w:sz w:val="18"/>
                <w:szCs w:val="18"/>
              </w:rPr>
              <w:t>分，第三名得</w:t>
            </w:r>
            <w:r>
              <w:rPr>
                <w:rFonts w:ascii="宋体" w:hAnsi="宋体" w:cs="宋体"/>
                <w:kern w:val="0"/>
                <w:sz w:val="18"/>
                <w:szCs w:val="18"/>
              </w:rPr>
              <w:t>3</w:t>
            </w:r>
            <w:r>
              <w:rPr>
                <w:rFonts w:hint="eastAsia" w:ascii="宋体" w:hAnsi="宋体" w:cs="宋体"/>
                <w:kern w:val="0"/>
                <w:sz w:val="18"/>
                <w:szCs w:val="18"/>
              </w:rPr>
              <w:t>分，不提供的不得分。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83" w:hRule="atLeast"/>
        </w:trPr>
        <w:tc>
          <w:tcPr>
            <w:tcW w:w="386" w:type="dxa"/>
            <w:vAlign w:val="center"/>
          </w:tcPr>
          <w:p>
            <w:pPr>
              <w:spacing w:line="220" w:lineRule="exact"/>
              <w:rPr>
                <w:rFonts w:ascii="宋体"/>
                <w:color w:val="000000"/>
                <w:sz w:val="18"/>
                <w:szCs w:val="18"/>
              </w:rPr>
            </w:pPr>
            <w:r>
              <w:rPr>
                <w:rFonts w:ascii="宋体" w:hAnsi="宋体" w:cs="宋体"/>
                <w:color w:val="000000"/>
                <w:sz w:val="18"/>
                <w:szCs w:val="18"/>
              </w:rPr>
              <w:t>7</w:t>
            </w:r>
          </w:p>
        </w:tc>
        <w:tc>
          <w:tcPr>
            <w:tcW w:w="923" w:type="dxa"/>
            <w:vMerge w:val="continue"/>
            <w:vAlign w:val="center"/>
          </w:tcPr>
          <w:p>
            <w:pPr>
              <w:spacing w:line="220" w:lineRule="exact"/>
              <w:jc w:val="center"/>
              <w:rPr>
                <w:rFonts w:ascii="宋体"/>
                <w:color w:val="000000"/>
                <w:sz w:val="18"/>
                <w:szCs w:val="18"/>
              </w:rPr>
            </w:pPr>
          </w:p>
        </w:tc>
        <w:tc>
          <w:tcPr>
            <w:tcW w:w="925" w:type="dxa"/>
            <w:vAlign w:val="center"/>
          </w:tcPr>
          <w:p>
            <w:pPr>
              <w:spacing w:line="220" w:lineRule="exact"/>
              <w:jc w:val="center"/>
              <w:rPr>
                <w:rFonts w:ascii="宋体"/>
                <w:kern w:val="0"/>
                <w:sz w:val="18"/>
                <w:szCs w:val="18"/>
              </w:rPr>
            </w:pPr>
            <w:r>
              <w:rPr>
                <w:rFonts w:hint="eastAsia" w:ascii="宋体" w:hAnsi="宋体" w:cs="宋体"/>
                <w:kern w:val="0"/>
                <w:sz w:val="18"/>
                <w:szCs w:val="18"/>
              </w:rPr>
              <w:t>其他增值服务</w:t>
            </w:r>
          </w:p>
        </w:tc>
        <w:tc>
          <w:tcPr>
            <w:tcW w:w="659" w:type="dxa"/>
            <w:vAlign w:val="center"/>
          </w:tcPr>
          <w:p>
            <w:pPr>
              <w:spacing w:line="220" w:lineRule="exact"/>
              <w:jc w:val="center"/>
              <w:rPr>
                <w:rFonts w:ascii="宋体"/>
                <w:color w:val="000000"/>
                <w:sz w:val="18"/>
                <w:szCs w:val="18"/>
              </w:rPr>
            </w:pPr>
            <w:r>
              <w:rPr>
                <w:rFonts w:ascii="宋体" w:hAnsi="宋体" w:cs="宋体"/>
                <w:color w:val="000000"/>
                <w:sz w:val="18"/>
                <w:szCs w:val="18"/>
              </w:rPr>
              <w:t>5</w:t>
            </w:r>
          </w:p>
        </w:tc>
        <w:tc>
          <w:tcPr>
            <w:tcW w:w="3725" w:type="dxa"/>
            <w:vAlign w:val="center"/>
          </w:tcPr>
          <w:p>
            <w:pPr>
              <w:spacing w:line="220" w:lineRule="exact"/>
              <w:rPr>
                <w:rFonts w:ascii="宋体"/>
                <w:kern w:val="0"/>
                <w:sz w:val="18"/>
                <w:szCs w:val="18"/>
              </w:rPr>
            </w:pPr>
            <w:r>
              <w:rPr>
                <w:rFonts w:hint="eastAsia" w:ascii="宋体" w:hAnsi="宋体" w:cs="宋体"/>
                <w:kern w:val="0"/>
                <w:sz w:val="18"/>
                <w:szCs w:val="18"/>
              </w:rPr>
              <w:t>考察增值服务内容，综合评定。</w:t>
            </w:r>
          </w:p>
        </w:tc>
        <w:tc>
          <w:tcPr>
            <w:tcW w:w="2167" w:type="dxa"/>
            <w:vAlign w:val="center"/>
          </w:tcPr>
          <w:p>
            <w:pPr>
              <w:spacing w:line="220" w:lineRule="exact"/>
              <w:rPr>
                <w:rFonts w:ascii="宋体"/>
                <w:kern w:val="0"/>
                <w:sz w:val="18"/>
                <w:szCs w:val="18"/>
              </w:rPr>
            </w:pPr>
            <w:r>
              <w:rPr>
                <w:rFonts w:hint="eastAsia" w:ascii="宋体" w:hAnsi="宋体" w:cs="宋体"/>
                <w:kern w:val="0"/>
                <w:sz w:val="18"/>
                <w:szCs w:val="18"/>
              </w:rPr>
              <w:t>增值服务内容较好得</w:t>
            </w:r>
            <w:r>
              <w:rPr>
                <w:rFonts w:ascii="宋体" w:hAnsi="宋体" w:cs="宋体"/>
                <w:kern w:val="0"/>
                <w:sz w:val="18"/>
                <w:szCs w:val="18"/>
              </w:rPr>
              <w:t>5</w:t>
            </w:r>
            <w:r>
              <w:rPr>
                <w:rFonts w:hint="eastAsia" w:ascii="宋体" w:hAnsi="宋体" w:cs="宋体"/>
                <w:kern w:val="0"/>
                <w:sz w:val="18"/>
                <w:szCs w:val="18"/>
              </w:rPr>
              <w:t>分，一般得</w:t>
            </w:r>
            <w:r>
              <w:rPr>
                <w:rFonts w:ascii="宋体" w:hAnsi="宋体" w:cs="宋体"/>
                <w:kern w:val="0"/>
                <w:sz w:val="18"/>
                <w:szCs w:val="18"/>
              </w:rPr>
              <w:t>3</w:t>
            </w:r>
            <w:r>
              <w:rPr>
                <w:rFonts w:hint="eastAsia" w:ascii="宋体" w:hAnsi="宋体" w:cs="宋体"/>
                <w:kern w:val="0"/>
                <w:sz w:val="18"/>
                <w:szCs w:val="18"/>
              </w:rPr>
              <w:t>分，</w:t>
            </w:r>
            <w:r>
              <w:rPr>
                <w:rFonts w:hint="eastAsia" w:ascii="宋体" w:hAnsi="宋体" w:cs="宋体"/>
                <w:sz w:val="18"/>
                <w:szCs w:val="18"/>
              </w:rPr>
              <w:t>无提供不得分</w:t>
            </w:r>
            <w:r>
              <w:rPr>
                <w:rFonts w:hint="eastAsia" w:ascii="宋体" w:hAnsi="宋体" w:cs="宋体"/>
                <w:kern w:val="0"/>
                <w:sz w:val="18"/>
                <w:szCs w:val="18"/>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86" w:type="dxa"/>
            <w:tcBorders>
              <w:bottom w:val="double" w:color="auto" w:sz="4" w:space="0"/>
            </w:tcBorders>
            <w:vAlign w:val="center"/>
          </w:tcPr>
          <w:p>
            <w:pPr>
              <w:spacing w:line="220" w:lineRule="exact"/>
              <w:rPr>
                <w:rFonts w:ascii="宋体"/>
                <w:color w:val="000000"/>
                <w:sz w:val="18"/>
                <w:szCs w:val="18"/>
              </w:rPr>
            </w:pPr>
            <w:r>
              <w:rPr>
                <w:rFonts w:ascii="宋体" w:hAnsi="宋体" w:cs="宋体"/>
                <w:color w:val="000000"/>
                <w:sz w:val="18"/>
                <w:szCs w:val="18"/>
              </w:rPr>
              <w:t>8</w:t>
            </w:r>
          </w:p>
        </w:tc>
        <w:tc>
          <w:tcPr>
            <w:tcW w:w="1848" w:type="dxa"/>
            <w:gridSpan w:val="2"/>
            <w:tcBorders>
              <w:bottom w:val="double" w:color="auto" w:sz="4" w:space="0"/>
            </w:tcBorders>
            <w:vAlign w:val="center"/>
          </w:tcPr>
          <w:p>
            <w:pPr>
              <w:spacing w:line="220" w:lineRule="exact"/>
              <w:jc w:val="center"/>
              <w:rPr>
                <w:rFonts w:ascii="宋体"/>
                <w:color w:val="000000"/>
                <w:sz w:val="18"/>
                <w:szCs w:val="18"/>
              </w:rPr>
            </w:pPr>
            <w:r>
              <w:rPr>
                <w:rFonts w:hint="eastAsia" w:ascii="宋体" w:hAnsi="宋体" w:cs="宋体"/>
                <w:color w:val="000000"/>
                <w:sz w:val="18"/>
                <w:szCs w:val="18"/>
              </w:rPr>
              <w:t>价格得分</w:t>
            </w:r>
          </w:p>
        </w:tc>
        <w:tc>
          <w:tcPr>
            <w:tcW w:w="659" w:type="dxa"/>
            <w:tcBorders>
              <w:bottom w:val="double" w:color="auto" w:sz="4" w:space="0"/>
            </w:tcBorders>
            <w:vAlign w:val="center"/>
          </w:tcPr>
          <w:p>
            <w:pPr>
              <w:spacing w:line="220" w:lineRule="exact"/>
              <w:jc w:val="center"/>
              <w:rPr>
                <w:rFonts w:ascii="宋体"/>
                <w:color w:val="000000"/>
                <w:sz w:val="18"/>
                <w:szCs w:val="18"/>
              </w:rPr>
            </w:pPr>
            <w:r>
              <w:rPr>
                <w:rFonts w:ascii="宋体" w:hAnsi="宋体" w:cs="宋体"/>
                <w:color w:val="000000"/>
                <w:sz w:val="18"/>
                <w:szCs w:val="18"/>
              </w:rPr>
              <w:t>30</w:t>
            </w:r>
          </w:p>
        </w:tc>
        <w:tc>
          <w:tcPr>
            <w:tcW w:w="3725" w:type="dxa"/>
            <w:tcBorders>
              <w:bottom w:val="double" w:color="auto" w:sz="4" w:space="0"/>
            </w:tcBorders>
            <w:vAlign w:val="center"/>
          </w:tcPr>
          <w:p>
            <w:pPr>
              <w:spacing w:line="220" w:lineRule="exact"/>
              <w:rPr>
                <w:rFonts w:ascii="宋体"/>
                <w:color w:val="000000"/>
                <w:sz w:val="18"/>
                <w:szCs w:val="18"/>
              </w:rPr>
            </w:pPr>
            <w:r>
              <w:rPr>
                <w:rFonts w:hint="eastAsia" w:ascii="宋体" w:hAnsi="宋体" w:cs="宋体"/>
                <w:color w:val="000000"/>
                <w:sz w:val="18"/>
                <w:szCs w:val="18"/>
              </w:rPr>
              <w:t>按照服务商报价情况进行打分</w:t>
            </w:r>
            <w:bookmarkStart w:id="0" w:name="_GoBack"/>
            <w:bookmarkEnd w:id="0"/>
          </w:p>
        </w:tc>
        <w:tc>
          <w:tcPr>
            <w:tcW w:w="2167" w:type="dxa"/>
            <w:tcBorders>
              <w:bottom w:val="double" w:color="auto" w:sz="4" w:space="0"/>
            </w:tcBorders>
            <w:vAlign w:val="center"/>
          </w:tcPr>
          <w:p>
            <w:pPr>
              <w:spacing w:line="220" w:lineRule="exact"/>
              <w:rPr>
                <w:rFonts w:hint="eastAsia" w:ascii="宋体" w:hAnsi="宋体" w:cs="宋体"/>
                <w:kern w:val="0"/>
                <w:sz w:val="18"/>
                <w:szCs w:val="18"/>
              </w:rPr>
            </w:pPr>
            <w:r>
              <w:rPr>
                <w:rFonts w:hint="eastAsia" w:ascii="宋体" w:hAnsi="宋体" w:cs="宋体"/>
                <w:kern w:val="0"/>
                <w:sz w:val="18"/>
                <w:szCs w:val="18"/>
              </w:rPr>
              <w:t>投标报价得分=(评标基准价/投标报价)x价格分值[注:满足招标</w:t>
            </w:r>
            <w:r>
              <w:rPr>
                <w:rFonts w:hint="eastAsia" w:ascii="宋体" w:hAnsi="宋体" w:cs="宋体"/>
                <w:kern w:val="0"/>
                <w:sz w:val="18"/>
                <w:szCs w:val="18"/>
                <w:lang w:val="en-US" w:eastAsia="zh-CN"/>
              </w:rPr>
              <w:t>文件</w:t>
            </w:r>
            <w:r>
              <w:rPr>
                <w:rFonts w:hint="eastAsia" w:ascii="宋体" w:hAnsi="宋体" w:cs="宋体"/>
                <w:kern w:val="0"/>
                <w:sz w:val="18"/>
                <w:szCs w:val="18"/>
              </w:rPr>
              <w:t>要求且投标价格最低的投标报价为评标基准价。]最低报价不是中标的</w:t>
            </w:r>
            <w:r>
              <w:rPr>
                <w:rFonts w:hint="eastAsia" w:ascii="宋体" w:hAnsi="宋体" w:cs="宋体"/>
                <w:kern w:val="0"/>
                <w:sz w:val="18"/>
                <w:szCs w:val="18"/>
                <w:lang w:val="en-US" w:eastAsia="zh-CN"/>
              </w:rPr>
              <w:t>唯一</w:t>
            </w:r>
            <w:r>
              <w:rPr>
                <w:rFonts w:hint="eastAsia" w:ascii="宋体" w:hAnsi="宋体" w:cs="宋体"/>
                <w:kern w:val="0"/>
                <w:sz w:val="18"/>
                <w:szCs w:val="18"/>
              </w:rPr>
              <w:t>依据。因落实政府采购政策进行价格调整的，以调整后的价格计算评</w:t>
            </w:r>
          </w:p>
          <w:p>
            <w:pPr>
              <w:spacing w:line="220" w:lineRule="exact"/>
              <w:rPr>
                <w:rFonts w:ascii="宋体"/>
                <w:color w:val="000000"/>
                <w:sz w:val="18"/>
                <w:szCs w:val="18"/>
              </w:rPr>
            </w:pPr>
            <w:r>
              <w:rPr>
                <w:rFonts w:hint="eastAsia" w:ascii="宋体" w:hAnsi="宋体" w:cs="宋体"/>
                <w:kern w:val="0"/>
                <w:sz w:val="18"/>
                <w:szCs w:val="18"/>
              </w:rPr>
              <w:t>基准价和投标报价。</w:t>
            </w:r>
          </w:p>
        </w:tc>
      </w:tr>
    </w:tbl>
    <w:p>
      <w:pPr>
        <w:ind w:firstLine="321" w:firstLineChars="100"/>
        <w:jc w:val="center"/>
        <w:rPr>
          <w:rFonts w:ascii="仿宋" w:hAnsi="仿宋" w:eastAsia="仿宋"/>
          <w:b/>
          <w:bCs/>
          <w:sz w:val="32"/>
          <w:szCs w:val="32"/>
        </w:rPr>
      </w:pPr>
      <w:r>
        <w:rPr>
          <w:rFonts w:hint="eastAsia" w:ascii="仿宋" w:hAnsi="仿宋" w:eastAsia="仿宋" w:cs="仿宋"/>
          <w:b/>
          <w:bCs/>
          <w:sz w:val="32"/>
          <w:szCs w:val="32"/>
        </w:rPr>
        <w:t>表</w:t>
      </w:r>
      <w:r>
        <w:rPr>
          <w:rFonts w:ascii="仿宋" w:hAnsi="仿宋" w:eastAsia="仿宋" w:cs="仿宋"/>
          <w:b/>
          <w:bCs/>
          <w:sz w:val="32"/>
          <w:szCs w:val="32"/>
        </w:rPr>
        <w:t>2</w:t>
      </w:r>
      <w:r>
        <w:rPr>
          <w:rFonts w:hint="eastAsia" w:ascii="仿宋" w:hAnsi="仿宋" w:eastAsia="仿宋" w:cs="仿宋"/>
          <w:b/>
          <w:bCs/>
          <w:sz w:val="32"/>
          <w:szCs w:val="32"/>
        </w:rPr>
        <w:t>商务技术评分表</w:t>
      </w:r>
    </w:p>
    <w:tbl>
      <w:tblPr>
        <w:tblStyle w:val="8"/>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017"/>
        <w:gridCol w:w="905"/>
        <w:gridCol w:w="1039"/>
        <w:gridCol w:w="924"/>
        <w:gridCol w:w="905"/>
        <w:gridCol w:w="968"/>
        <w:gridCol w:w="968"/>
        <w:gridCol w:w="96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rPr>
                <w:kern w:val="0"/>
                <w:sz w:val="20"/>
                <w:szCs w:val="20"/>
              </w:rPr>
            </w:pPr>
            <w:r>
              <w:rPr>
                <w:rFonts w:hint="eastAsia" w:cs="宋体"/>
                <w:kern w:val="0"/>
                <w:sz w:val="20"/>
                <w:szCs w:val="20"/>
              </w:rPr>
              <w:t>序号</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rPr>
            </w:pPr>
            <w:r>
              <w:rPr>
                <w:rFonts w:hint="eastAsia" w:cs="宋体"/>
                <w:kern w:val="0"/>
                <w:sz w:val="20"/>
                <w:szCs w:val="20"/>
              </w:rPr>
              <w:t>意向方</w:t>
            </w:r>
          </w:p>
        </w:tc>
        <w:tc>
          <w:tcPr>
            <w:tcW w:w="9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rPr>
            </w:pPr>
            <w:r>
              <w:rPr>
                <w:rFonts w:hint="eastAsia" w:ascii="宋体" w:hAnsi="宋体" w:cs="宋体"/>
                <w:color w:val="000000"/>
              </w:rPr>
              <w:t>承保方案</w:t>
            </w:r>
            <w:r>
              <w:rPr>
                <w:rFonts w:ascii="宋体" w:hAnsi="宋体" w:cs="宋体"/>
                <w:color w:val="000000"/>
              </w:rPr>
              <w:t>(10</w:t>
            </w:r>
            <w:r>
              <w:rPr>
                <w:rFonts w:hint="eastAsia" w:ascii="宋体" w:hAnsi="宋体" w:cs="宋体"/>
                <w:color w:val="000000"/>
              </w:rPr>
              <w:t>分</w:t>
            </w:r>
            <w:r>
              <w:rPr>
                <w:rFonts w:ascii="宋体" w:hAnsi="宋体" w:cs="宋体"/>
                <w:color w:val="000000"/>
              </w:rPr>
              <w:t>)</w:t>
            </w:r>
          </w:p>
        </w:tc>
        <w:tc>
          <w:tcPr>
            <w:tcW w:w="1039" w:type="dxa"/>
            <w:tcBorders>
              <w:left w:val="single" w:color="000000" w:sz="4" w:space="0"/>
            </w:tcBorders>
            <w:vAlign w:val="center"/>
          </w:tcPr>
          <w:p>
            <w:pPr>
              <w:jc w:val="center"/>
              <w:rPr>
                <w:rFonts w:ascii="宋体"/>
                <w:color w:val="000000"/>
              </w:rPr>
            </w:pPr>
            <w:r>
              <w:rPr>
                <w:rFonts w:hint="eastAsia" w:ascii="宋体" w:hAnsi="宋体" w:cs="宋体"/>
                <w:color w:val="000000"/>
              </w:rPr>
              <w:t>定损方案</w:t>
            </w:r>
            <w:r>
              <w:rPr>
                <w:rFonts w:ascii="宋体" w:hAnsi="宋体" w:cs="宋体"/>
                <w:color w:val="000000"/>
              </w:rPr>
              <w:t>(16</w:t>
            </w:r>
            <w:r>
              <w:rPr>
                <w:rFonts w:hint="eastAsia" w:ascii="宋体" w:hAnsi="宋体" w:cs="宋体"/>
                <w:color w:val="000000"/>
              </w:rPr>
              <w:t>分</w:t>
            </w:r>
            <w:r>
              <w:rPr>
                <w:rFonts w:ascii="宋体" w:hAnsi="宋体" w:cs="宋体"/>
                <w:color w:val="000000"/>
              </w:rPr>
              <w:t>)</w:t>
            </w:r>
          </w:p>
        </w:tc>
        <w:tc>
          <w:tcPr>
            <w:tcW w:w="924" w:type="dxa"/>
            <w:vAlign w:val="center"/>
          </w:tcPr>
          <w:p>
            <w:pPr>
              <w:jc w:val="center"/>
              <w:rPr>
                <w:rFonts w:ascii="宋体"/>
                <w:color w:val="000000"/>
              </w:rPr>
            </w:pPr>
            <w:r>
              <w:rPr>
                <w:rFonts w:hint="eastAsia" w:ascii="宋体" w:hAnsi="宋体" w:cs="宋体"/>
                <w:color w:val="000000"/>
              </w:rPr>
              <w:t>理赔方案</w:t>
            </w:r>
            <w:r>
              <w:rPr>
                <w:rFonts w:ascii="宋体" w:hAnsi="宋体" w:cs="宋体"/>
                <w:color w:val="000000"/>
              </w:rPr>
              <w:t>(20</w:t>
            </w:r>
            <w:r>
              <w:rPr>
                <w:rFonts w:hint="eastAsia" w:ascii="宋体" w:hAnsi="宋体" w:cs="宋体"/>
                <w:color w:val="000000"/>
              </w:rPr>
              <w:t>分</w:t>
            </w:r>
            <w:r>
              <w:rPr>
                <w:rFonts w:ascii="宋体" w:hAnsi="宋体" w:cs="宋体"/>
                <w:color w:val="000000"/>
              </w:rPr>
              <w:t>)</w:t>
            </w:r>
          </w:p>
        </w:tc>
        <w:tc>
          <w:tcPr>
            <w:tcW w:w="905" w:type="dxa"/>
            <w:vAlign w:val="center"/>
          </w:tcPr>
          <w:p>
            <w:pPr>
              <w:jc w:val="center"/>
              <w:rPr>
                <w:rFonts w:ascii="宋体"/>
                <w:color w:val="000000"/>
              </w:rPr>
            </w:pPr>
            <w:r>
              <w:rPr>
                <w:rFonts w:hint="eastAsia" w:ascii="宋体" w:hAnsi="宋体" w:cs="宋体"/>
                <w:color w:val="000000"/>
              </w:rPr>
              <w:t>经营业绩</w:t>
            </w:r>
            <w:r>
              <w:rPr>
                <w:rFonts w:ascii="宋体" w:hAnsi="宋体" w:cs="宋体"/>
                <w:color w:val="000000"/>
              </w:rPr>
              <w:t>(5</w:t>
            </w:r>
            <w:r>
              <w:rPr>
                <w:rFonts w:hint="eastAsia" w:ascii="宋体" w:hAnsi="宋体" w:cs="宋体"/>
                <w:color w:val="000000"/>
              </w:rPr>
              <w:t>分</w:t>
            </w:r>
            <w:r>
              <w:rPr>
                <w:rFonts w:ascii="宋体" w:hAnsi="宋体" w:cs="宋体"/>
                <w:color w:val="000000"/>
              </w:rPr>
              <w:t>)</w:t>
            </w:r>
          </w:p>
        </w:tc>
        <w:tc>
          <w:tcPr>
            <w:tcW w:w="968" w:type="dxa"/>
            <w:vAlign w:val="center"/>
          </w:tcPr>
          <w:p>
            <w:pPr>
              <w:jc w:val="center"/>
              <w:rPr>
                <w:rFonts w:ascii="宋体"/>
                <w:color w:val="000000"/>
              </w:rPr>
            </w:pPr>
            <w:r>
              <w:rPr>
                <w:rFonts w:hint="eastAsia" w:ascii="宋体" w:hAnsi="宋体" w:cs="宋体"/>
                <w:color w:val="000000"/>
              </w:rPr>
              <w:t>分类监管评价</w:t>
            </w:r>
            <w:r>
              <w:rPr>
                <w:rFonts w:ascii="宋体" w:hAnsi="宋体" w:cs="宋体"/>
                <w:color w:val="000000"/>
              </w:rPr>
              <w:t>(4</w:t>
            </w:r>
            <w:r>
              <w:rPr>
                <w:rFonts w:hint="eastAsia" w:ascii="宋体" w:hAnsi="宋体" w:cs="宋体"/>
                <w:color w:val="000000"/>
              </w:rPr>
              <w:t>分</w:t>
            </w:r>
            <w:r>
              <w:rPr>
                <w:rFonts w:ascii="宋体" w:hAnsi="宋体" w:cs="宋体"/>
                <w:color w:val="000000"/>
              </w:rPr>
              <w:t>)</w:t>
            </w:r>
          </w:p>
        </w:tc>
        <w:tc>
          <w:tcPr>
            <w:tcW w:w="968" w:type="dxa"/>
            <w:vAlign w:val="center"/>
          </w:tcPr>
          <w:p>
            <w:pPr>
              <w:jc w:val="center"/>
              <w:rPr>
                <w:rFonts w:ascii="宋体"/>
                <w:color w:val="000000"/>
              </w:rPr>
            </w:pPr>
            <w:r>
              <w:rPr>
                <w:rFonts w:hint="eastAsia" w:ascii="宋体" w:hAnsi="宋体" w:cs="宋体"/>
                <w:color w:val="000000"/>
              </w:rPr>
              <w:t>消费投诉处理工作评价</w:t>
            </w:r>
            <w:r>
              <w:rPr>
                <w:rFonts w:ascii="宋体" w:hAnsi="宋体" w:cs="宋体"/>
                <w:color w:val="000000"/>
              </w:rPr>
              <w:t>(10</w:t>
            </w:r>
            <w:r>
              <w:rPr>
                <w:rFonts w:hint="eastAsia" w:ascii="宋体" w:hAnsi="宋体" w:cs="宋体"/>
                <w:color w:val="000000"/>
              </w:rPr>
              <w:t>分</w:t>
            </w:r>
            <w:r>
              <w:rPr>
                <w:rFonts w:ascii="宋体" w:hAnsi="宋体" w:cs="宋体"/>
                <w:color w:val="000000"/>
              </w:rPr>
              <w:t>)</w:t>
            </w:r>
          </w:p>
        </w:tc>
        <w:tc>
          <w:tcPr>
            <w:tcW w:w="968" w:type="dxa"/>
            <w:vAlign w:val="center"/>
          </w:tcPr>
          <w:p>
            <w:pPr>
              <w:jc w:val="center"/>
              <w:rPr>
                <w:rFonts w:ascii="宋体"/>
                <w:color w:val="000000"/>
              </w:rPr>
            </w:pPr>
            <w:r>
              <w:rPr>
                <w:rFonts w:hint="eastAsia" w:ascii="宋体" w:hAnsi="宋体" w:cs="宋体"/>
                <w:color w:val="000000"/>
              </w:rPr>
              <w:t>其他增值服务（</w:t>
            </w:r>
            <w:r>
              <w:rPr>
                <w:rFonts w:ascii="宋体" w:hAnsi="宋体" w:cs="宋体"/>
                <w:color w:val="000000"/>
              </w:rPr>
              <w:t>5</w:t>
            </w:r>
            <w:r>
              <w:rPr>
                <w:rFonts w:hint="eastAsia" w:ascii="宋体" w:hAnsi="宋体" w:cs="宋体"/>
                <w:color w:val="000000"/>
              </w:rPr>
              <w:t>分）</w:t>
            </w:r>
          </w:p>
        </w:tc>
        <w:tc>
          <w:tcPr>
            <w:tcW w:w="968" w:type="dxa"/>
            <w:vAlign w:val="center"/>
          </w:tcPr>
          <w:p>
            <w:pPr>
              <w:jc w:val="center"/>
              <w:rPr>
                <w:rFonts w:ascii="宋体"/>
                <w:color w:val="000000"/>
              </w:rPr>
            </w:pPr>
            <w:r>
              <w:rPr>
                <w:rFonts w:hint="eastAsia" w:ascii="宋体" w:hAnsi="宋体" w:cs="宋体"/>
                <w:color w:val="00000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rPr>
                <w:b/>
                <w:bCs/>
                <w:kern w:val="0"/>
                <w:sz w:val="20"/>
                <w:szCs w:val="20"/>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b/>
                <w:bCs/>
                <w:kern w:val="0"/>
                <w:sz w:val="20"/>
                <w:szCs w:val="20"/>
              </w:rPr>
            </w:pPr>
          </w:p>
        </w:tc>
        <w:tc>
          <w:tcPr>
            <w:tcW w:w="905" w:type="dxa"/>
            <w:tcBorders>
              <w:top w:val="single" w:color="000000" w:sz="4" w:space="0"/>
              <w:left w:val="single" w:color="000000" w:sz="4" w:space="0"/>
              <w:bottom w:val="single" w:color="000000" w:sz="4" w:space="0"/>
              <w:right w:val="single" w:color="000000" w:sz="4" w:space="0"/>
            </w:tcBorders>
            <w:vAlign w:val="center"/>
          </w:tcPr>
          <w:p>
            <w:pPr>
              <w:jc w:val="center"/>
              <w:rPr>
                <w:b/>
                <w:bCs/>
                <w:kern w:val="0"/>
                <w:sz w:val="20"/>
                <w:szCs w:val="20"/>
              </w:rPr>
            </w:pPr>
          </w:p>
        </w:tc>
        <w:tc>
          <w:tcPr>
            <w:tcW w:w="1039" w:type="dxa"/>
            <w:tcBorders>
              <w:left w:val="single" w:color="000000" w:sz="4" w:space="0"/>
            </w:tcBorders>
            <w:vAlign w:val="center"/>
          </w:tcPr>
          <w:p>
            <w:pPr>
              <w:jc w:val="center"/>
              <w:rPr>
                <w:b/>
                <w:bCs/>
                <w:kern w:val="0"/>
                <w:sz w:val="20"/>
                <w:szCs w:val="20"/>
              </w:rPr>
            </w:pPr>
          </w:p>
        </w:tc>
        <w:tc>
          <w:tcPr>
            <w:tcW w:w="924" w:type="dxa"/>
            <w:vAlign w:val="center"/>
          </w:tcPr>
          <w:p>
            <w:pPr>
              <w:jc w:val="center"/>
              <w:rPr>
                <w:b/>
                <w:bCs/>
                <w:kern w:val="0"/>
                <w:sz w:val="20"/>
                <w:szCs w:val="20"/>
              </w:rPr>
            </w:pPr>
          </w:p>
        </w:tc>
        <w:tc>
          <w:tcPr>
            <w:tcW w:w="905" w:type="dxa"/>
          </w:tcPr>
          <w:p>
            <w:pPr>
              <w:jc w:val="center"/>
              <w:rPr>
                <w:b/>
                <w:bCs/>
                <w:kern w:val="0"/>
                <w:sz w:val="20"/>
                <w:szCs w:val="20"/>
              </w:rPr>
            </w:pPr>
          </w:p>
        </w:tc>
        <w:tc>
          <w:tcPr>
            <w:tcW w:w="968" w:type="dxa"/>
          </w:tcPr>
          <w:p>
            <w:pPr>
              <w:jc w:val="center"/>
              <w:rPr>
                <w:b/>
                <w:bCs/>
                <w:kern w:val="0"/>
                <w:sz w:val="20"/>
                <w:szCs w:val="20"/>
              </w:rPr>
            </w:pPr>
          </w:p>
        </w:tc>
        <w:tc>
          <w:tcPr>
            <w:tcW w:w="968" w:type="dxa"/>
          </w:tcPr>
          <w:p>
            <w:pPr>
              <w:jc w:val="center"/>
              <w:rPr>
                <w:b/>
                <w:bCs/>
                <w:kern w:val="0"/>
                <w:sz w:val="20"/>
                <w:szCs w:val="20"/>
              </w:rPr>
            </w:pPr>
          </w:p>
        </w:tc>
        <w:tc>
          <w:tcPr>
            <w:tcW w:w="968" w:type="dxa"/>
          </w:tcPr>
          <w:p>
            <w:pPr>
              <w:jc w:val="center"/>
              <w:rPr>
                <w:b/>
                <w:bCs/>
                <w:kern w:val="0"/>
                <w:sz w:val="20"/>
                <w:szCs w:val="20"/>
              </w:rPr>
            </w:pPr>
          </w:p>
        </w:tc>
        <w:tc>
          <w:tcPr>
            <w:tcW w:w="968" w:type="dxa"/>
          </w:tcPr>
          <w:p>
            <w:pPr>
              <w:jc w:val="center"/>
              <w:rPr>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69" w:type="dxa"/>
            <w:tcBorders>
              <w:top w:val="single" w:color="000000" w:sz="4" w:space="0"/>
            </w:tcBorders>
            <w:vAlign w:val="center"/>
          </w:tcPr>
          <w:p>
            <w:pPr>
              <w:jc w:val="center"/>
              <w:rPr>
                <w:b/>
                <w:bCs/>
                <w:kern w:val="0"/>
                <w:sz w:val="20"/>
                <w:szCs w:val="20"/>
              </w:rPr>
            </w:pPr>
          </w:p>
        </w:tc>
        <w:tc>
          <w:tcPr>
            <w:tcW w:w="1017" w:type="dxa"/>
            <w:tcBorders>
              <w:top w:val="single" w:color="000000" w:sz="4" w:space="0"/>
            </w:tcBorders>
            <w:vAlign w:val="center"/>
          </w:tcPr>
          <w:p>
            <w:pPr>
              <w:jc w:val="center"/>
              <w:rPr>
                <w:b/>
                <w:bCs/>
                <w:kern w:val="0"/>
                <w:sz w:val="20"/>
                <w:szCs w:val="20"/>
              </w:rPr>
            </w:pPr>
          </w:p>
        </w:tc>
        <w:tc>
          <w:tcPr>
            <w:tcW w:w="905" w:type="dxa"/>
            <w:tcBorders>
              <w:top w:val="single" w:color="000000" w:sz="4" w:space="0"/>
            </w:tcBorders>
            <w:vAlign w:val="center"/>
          </w:tcPr>
          <w:p>
            <w:pPr>
              <w:jc w:val="center"/>
              <w:rPr>
                <w:b/>
                <w:bCs/>
                <w:kern w:val="0"/>
                <w:sz w:val="20"/>
                <w:szCs w:val="20"/>
              </w:rPr>
            </w:pPr>
          </w:p>
        </w:tc>
        <w:tc>
          <w:tcPr>
            <w:tcW w:w="1039" w:type="dxa"/>
            <w:vAlign w:val="center"/>
          </w:tcPr>
          <w:p>
            <w:pPr>
              <w:jc w:val="center"/>
              <w:rPr>
                <w:b/>
                <w:bCs/>
                <w:kern w:val="0"/>
                <w:sz w:val="20"/>
                <w:szCs w:val="20"/>
              </w:rPr>
            </w:pPr>
          </w:p>
        </w:tc>
        <w:tc>
          <w:tcPr>
            <w:tcW w:w="924" w:type="dxa"/>
            <w:vAlign w:val="center"/>
          </w:tcPr>
          <w:p>
            <w:pPr>
              <w:jc w:val="center"/>
              <w:rPr>
                <w:b/>
                <w:bCs/>
                <w:kern w:val="0"/>
                <w:sz w:val="20"/>
                <w:szCs w:val="20"/>
              </w:rPr>
            </w:pPr>
          </w:p>
        </w:tc>
        <w:tc>
          <w:tcPr>
            <w:tcW w:w="905" w:type="dxa"/>
          </w:tcPr>
          <w:p>
            <w:pPr>
              <w:jc w:val="center"/>
              <w:rPr>
                <w:b/>
                <w:bCs/>
                <w:kern w:val="0"/>
                <w:sz w:val="20"/>
                <w:szCs w:val="20"/>
              </w:rPr>
            </w:pPr>
          </w:p>
        </w:tc>
        <w:tc>
          <w:tcPr>
            <w:tcW w:w="968" w:type="dxa"/>
          </w:tcPr>
          <w:p>
            <w:pPr>
              <w:jc w:val="center"/>
              <w:rPr>
                <w:b/>
                <w:bCs/>
                <w:kern w:val="0"/>
                <w:sz w:val="20"/>
                <w:szCs w:val="20"/>
              </w:rPr>
            </w:pPr>
          </w:p>
        </w:tc>
        <w:tc>
          <w:tcPr>
            <w:tcW w:w="968" w:type="dxa"/>
          </w:tcPr>
          <w:p>
            <w:pPr>
              <w:jc w:val="center"/>
              <w:rPr>
                <w:b/>
                <w:bCs/>
                <w:kern w:val="0"/>
                <w:sz w:val="20"/>
                <w:szCs w:val="20"/>
              </w:rPr>
            </w:pPr>
          </w:p>
        </w:tc>
        <w:tc>
          <w:tcPr>
            <w:tcW w:w="968" w:type="dxa"/>
          </w:tcPr>
          <w:p>
            <w:pPr>
              <w:jc w:val="center"/>
              <w:rPr>
                <w:b/>
                <w:bCs/>
                <w:kern w:val="0"/>
                <w:sz w:val="20"/>
                <w:szCs w:val="20"/>
              </w:rPr>
            </w:pPr>
          </w:p>
        </w:tc>
        <w:tc>
          <w:tcPr>
            <w:tcW w:w="968" w:type="dxa"/>
          </w:tcPr>
          <w:p>
            <w:pPr>
              <w:jc w:val="center"/>
              <w:rPr>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69" w:type="dxa"/>
            <w:vAlign w:val="center"/>
          </w:tcPr>
          <w:p>
            <w:pPr>
              <w:jc w:val="center"/>
              <w:rPr>
                <w:b/>
                <w:bCs/>
                <w:kern w:val="0"/>
                <w:sz w:val="20"/>
                <w:szCs w:val="20"/>
              </w:rPr>
            </w:pPr>
          </w:p>
        </w:tc>
        <w:tc>
          <w:tcPr>
            <w:tcW w:w="1017" w:type="dxa"/>
            <w:vAlign w:val="center"/>
          </w:tcPr>
          <w:p>
            <w:pPr>
              <w:jc w:val="center"/>
              <w:rPr>
                <w:b/>
                <w:bCs/>
                <w:kern w:val="0"/>
                <w:sz w:val="20"/>
                <w:szCs w:val="20"/>
              </w:rPr>
            </w:pPr>
          </w:p>
        </w:tc>
        <w:tc>
          <w:tcPr>
            <w:tcW w:w="905" w:type="dxa"/>
            <w:vAlign w:val="center"/>
          </w:tcPr>
          <w:p>
            <w:pPr>
              <w:jc w:val="center"/>
              <w:rPr>
                <w:b/>
                <w:bCs/>
                <w:kern w:val="0"/>
                <w:sz w:val="20"/>
                <w:szCs w:val="20"/>
              </w:rPr>
            </w:pPr>
          </w:p>
        </w:tc>
        <w:tc>
          <w:tcPr>
            <w:tcW w:w="1039" w:type="dxa"/>
            <w:vAlign w:val="center"/>
          </w:tcPr>
          <w:p>
            <w:pPr>
              <w:jc w:val="center"/>
              <w:rPr>
                <w:b/>
                <w:bCs/>
                <w:kern w:val="0"/>
                <w:sz w:val="20"/>
                <w:szCs w:val="20"/>
              </w:rPr>
            </w:pPr>
          </w:p>
        </w:tc>
        <w:tc>
          <w:tcPr>
            <w:tcW w:w="924" w:type="dxa"/>
            <w:vAlign w:val="center"/>
          </w:tcPr>
          <w:p>
            <w:pPr>
              <w:jc w:val="center"/>
              <w:rPr>
                <w:b/>
                <w:bCs/>
                <w:kern w:val="0"/>
                <w:sz w:val="20"/>
                <w:szCs w:val="20"/>
              </w:rPr>
            </w:pPr>
          </w:p>
        </w:tc>
        <w:tc>
          <w:tcPr>
            <w:tcW w:w="905" w:type="dxa"/>
          </w:tcPr>
          <w:p>
            <w:pPr>
              <w:jc w:val="center"/>
              <w:rPr>
                <w:b/>
                <w:bCs/>
                <w:kern w:val="0"/>
                <w:sz w:val="20"/>
                <w:szCs w:val="20"/>
              </w:rPr>
            </w:pPr>
          </w:p>
        </w:tc>
        <w:tc>
          <w:tcPr>
            <w:tcW w:w="968" w:type="dxa"/>
          </w:tcPr>
          <w:p>
            <w:pPr>
              <w:jc w:val="center"/>
              <w:rPr>
                <w:b/>
                <w:bCs/>
                <w:kern w:val="0"/>
                <w:sz w:val="20"/>
                <w:szCs w:val="20"/>
              </w:rPr>
            </w:pPr>
          </w:p>
        </w:tc>
        <w:tc>
          <w:tcPr>
            <w:tcW w:w="968" w:type="dxa"/>
          </w:tcPr>
          <w:p>
            <w:pPr>
              <w:jc w:val="center"/>
              <w:rPr>
                <w:b/>
                <w:bCs/>
                <w:kern w:val="0"/>
                <w:sz w:val="20"/>
                <w:szCs w:val="20"/>
              </w:rPr>
            </w:pPr>
          </w:p>
        </w:tc>
        <w:tc>
          <w:tcPr>
            <w:tcW w:w="968" w:type="dxa"/>
          </w:tcPr>
          <w:p>
            <w:pPr>
              <w:jc w:val="center"/>
              <w:rPr>
                <w:b/>
                <w:bCs/>
                <w:kern w:val="0"/>
                <w:sz w:val="20"/>
                <w:szCs w:val="20"/>
              </w:rPr>
            </w:pPr>
          </w:p>
        </w:tc>
        <w:tc>
          <w:tcPr>
            <w:tcW w:w="968" w:type="dxa"/>
          </w:tcPr>
          <w:p>
            <w:pPr>
              <w:jc w:val="center"/>
              <w:rPr>
                <w:b/>
                <w:bCs/>
                <w:kern w:val="0"/>
                <w:sz w:val="20"/>
                <w:szCs w:val="20"/>
              </w:rPr>
            </w:pPr>
          </w:p>
        </w:tc>
      </w:tr>
    </w:tbl>
    <w:p>
      <w:pPr>
        <w:rPr>
          <w:rFonts w:ascii="仿宋" w:hAnsi="仿宋" w:eastAsia="仿宋"/>
          <w:b/>
          <w:bCs/>
        </w:rPr>
      </w:pPr>
    </w:p>
    <w:p>
      <w:pPr>
        <w:ind w:firstLine="321" w:firstLineChars="100"/>
        <w:jc w:val="center"/>
        <w:rPr>
          <w:rFonts w:ascii="仿宋" w:hAnsi="仿宋" w:eastAsia="仿宋"/>
          <w:b/>
          <w:bCs/>
          <w:sz w:val="32"/>
          <w:szCs w:val="32"/>
        </w:rPr>
      </w:pPr>
      <w:r>
        <w:rPr>
          <w:rFonts w:hint="eastAsia" w:ascii="仿宋" w:hAnsi="仿宋" w:eastAsia="仿宋" w:cs="仿宋"/>
          <w:b/>
          <w:bCs/>
          <w:sz w:val="32"/>
          <w:szCs w:val="32"/>
        </w:rPr>
        <w:t>表</w:t>
      </w:r>
      <w:r>
        <w:rPr>
          <w:rFonts w:ascii="仿宋" w:hAnsi="仿宋" w:eastAsia="仿宋" w:cs="仿宋"/>
          <w:b/>
          <w:bCs/>
          <w:sz w:val="32"/>
          <w:szCs w:val="32"/>
        </w:rPr>
        <w:t>3</w:t>
      </w:r>
      <w:r>
        <w:rPr>
          <w:rFonts w:hint="eastAsia" w:ascii="仿宋" w:hAnsi="仿宋" w:eastAsia="仿宋" w:cs="仿宋"/>
          <w:b/>
          <w:bCs/>
          <w:sz w:val="32"/>
          <w:szCs w:val="32"/>
        </w:rPr>
        <w:t>价格评分表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2283"/>
        <w:gridCol w:w="3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33" w:type="dxa"/>
            <w:vAlign w:val="center"/>
          </w:tcPr>
          <w:p>
            <w:pPr>
              <w:jc w:val="center"/>
              <w:rPr>
                <w:kern w:val="0"/>
                <w:sz w:val="20"/>
                <w:szCs w:val="20"/>
              </w:rPr>
            </w:pPr>
            <w:r>
              <w:rPr>
                <w:rFonts w:hint="eastAsia" w:cs="宋体"/>
                <w:kern w:val="0"/>
                <w:sz w:val="20"/>
                <w:szCs w:val="20"/>
              </w:rPr>
              <w:t>意向方</w:t>
            </w:r>
          </w:p>
        </w:tc>
        <w:tc>
          <w:tcPr>
            <w:tcW w:w="2283" w:type="dxa"/>
            <w:vAlign w:val="center"/>
          </w:tcPr>
          <w:p>
            <w:pPr>
              <w:jc w:val="center"/>
              <w:rPr>
                <w:kern w:val="0"/>
                <w:sz w:val="20"/>
                <w:szCs w:val="20"/>
              </w:rPr>
            </w:pPr>
            <w:r>
              <w:rPr>
                <w:rFonts w:hint="eastAsia" w:cs="宋体"/>
                <w:kern w:val="0"/>
                <w:sz w:val="20"/>
                <w:szCs w:val="20"/>
              </w:rPr>
              <w:t>报价</w:t>
            </w:r>
          </w:p>
        </w:tc>
        <w:tc>
          <w:tcPr>
            <w:tcW w:w="3034" w:type="dxa"/>
            <w:vAlign w:val="center"/>
          </w:tcPr>
          <w:p>
            <w:pPr>
              <w:jc w:val="center"/>
              <w:rPr>
                <w:kern w:val="0"/>
                <w:sz w:val="20"/>
                <w:szCs w:val="20"/>
              </w:rPr>
            </w:pPr>
            <w:r>
              <w:rPr>
                <w:rFonts w:hint="eastAsia" w:cs="宋体"/>
                <w:kern w:val="0"/>
                <w:sz w:val="20"/>
                <w:szCs w:val="20"/>
              </w:rPr>
              <w:t>价格得分（</w:t>
            </w:r>
            <w:r>
              <w:rPr>
                <w:kern w:val="0"/>
                <w:sz w:val="20"/>
                <w:szCs w:val="20"/>
              </w:rPr>
              <w:t>30</w:t>
            </w:r>
            <w:r>
              <w:rPr>
                <w:rFonts w:hint="eastAsia"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833" w:type="dxa"/>
            <w:vAlign w:val="center"/>
          </w:tcPr>
          <w:p>
            <w:pPr>
              <w:jc w:val="center"/>
              <w:rPr>
                <w:kern w:val="0"/>
                <w:sz w:val="20"/>
                <w:szCs w:val="20"/>
              </w:rPr>
            </w:pPr>
          </w:p>
        </w:tc>
        <w:tc>
          <w:tcPr>
            <w:tcW w:w="2283" w:type="dxa"/>
            <w:vAlign w:val="center"/>
          </w:tcPr>
          <w:p>
            <w:pPr>
              <w:jc w:val="center"/>
              <w:rPr>
                <w:kern w:val="0"/>
                <w:sz w:val="20"/>
                <w:szCs w:val="20"/>
              </w:rPr>
            </w:pPr>
          </w:p>
        </w:tc>
        <w:tc>
          <w:tcPr>
            <w:tcW w:w="3034" w:type="dxa"/>
            <w:vAlign w:val="center"/>
          </w:tcPr>
          <w:p>
            <w:pPr>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33" w:type="dxa"/>
            <w:vAlign w:val="center"/>
          </w:tcPr>
          <w:p>
            <w:pPr>
              <w:jc w:val="center"/>
              <w:rPr>
                <w:kern w:val="0"/>
                <w:sz w:val="20"/>
                <w:szCs w:val="20"/>
              </w:rPr>
            </w:pPr>
          </w:p>
        </w:tc>
        <w:tc>
          <w:tcPr>
            <w:tcW w:w="2283" w:type="dxa"/>
            <w:vAlign w:val="center"/>
          </w:tcPr>
          <w:p>
            <w:pPr>
              <w:jc w:val="center"/>
              <w:rPr>
                <w:kern w:val="0"/>
                <w:sz w:val="20"/>
                <w:szCs w:val="20"/>
              </w:rPr>
            </w:pPr>
          </w:p>
        </w:tc>
        <w:tc>
          <w:tcPr>
            <w:tcW w:w="3034" w:type="dxa"/>
            <w:vAlign w:val="center"/>
          </w:tcPr>
          <w:p>
            <w:pPr>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33" w:type="dxa"/>
            <w:vAlign w:val="center"/>
          </w:tcPr>
          <w:p>
            <w:pPr>
              <w:jc w:val="center"/>
              <w:rPr>
                <w:b/>
                <w:bCs/>
                <w:kern w:val="0"/>
                <w:sz w:val="20"/>
                <w:szCs w:val="20"/>
              </w:rPr>
            </w:pPr>
          </w:p>
        </w:tc>
        <w:tc>
          <w:tcPr>
            <w:tcW w:w="2283" w:type="dxa"/>
            <w:vAlign w:val="center"/>
          </w:tcPr>
          <w:p>
            <w:pPr>
              <w:jc w:val="center"/>
              <w:rPr>
                <w:b/>
                <w:bCs/>
                <w:kern w:val="0"/>
                <w:sz w:val="20"/>
                <w:szCs w:val="20"/>
              </w:rPr>
            </w:pPr>
          </w:p>
        </w:tc>
        <w:tc>
          <w:tcPr>
            <w:tcW w:w="3034" w:type="dxa"/>
            <w:vAlign w:val="center"/>
          </w:tcPr>
          <w:p>
            <w:pPr>
              <w:jc w:val="center"/>
              <w:rPr>
                <w:b/>
                <w:bCs/>
                <w:kern w:val="0"/>
                <w:sz w:val="20"/>
                <w:szCs w:val="20"/>
              </w:rPr>
            </w:pPr>
          </w:p>
        </w:tc>
      </w:tr>
    </w:tbl>
    <w:p>
      <w:pPr>
        <w:ind w:firstLine="321" w:firstLineChars="100"/>
        <w:jc w:val="center"/>
        <w:rPr>
          <w:rFonts w:ascii="仿宋" w:hAnsi="仿宋" w:eastAsia="仿宋"/>
          <w:b/>
          <w:bCs/>
          <w:sz w:val="32"/>
          <w:szCs w:val="32"/>
        </w:rPr>
      </w:pPr>
    </w:p>
    <w:p>
      <w:pPr>
        <w:jc w:val="center"/>
        <w:rPr>
          <w:rFonts w:ascii="仿宋" w:hAnsi="仿宋" w:eastAsia="仿宋"/>
          <w:b/>
          <w:bCs/>
          <w:sz w:val="32"/>
          <w:szCs w:val="32"/>
        </w:rPr>
      </w:pPr>
      <w:r>
        <w:rPr>
          <w:rFonts w:hint="eastAsia" w:ascii="仿宋" w:hAnsi="仿宋" w:eastAsia="仿宋" w:cs="仿宋"/>
          <w:b/>
          <w:bCs/>
          <w:sz w:val="32"/>
          <w:szCs w:val="32"/>
        </w:rPr>
        <w:t>表</w:t>
      </w:r>
      <w:r>
        <w:rPr>
          <w:rFonts w:ascii="仿宋" w:hAnsi="仿宋" w:eastAsia="仿宋" w:cs="仿宋"/>
          <w:b/>
          <w:bCs/>
          <w:sz w:val="32"/>
          <w:szCs w:val="32"/>
        </w:rPr>
        <w:t>4</w:t>
      </w:r>
      <w:r>
        <w:rPr>
          <w:rFonts w:hint="eastAsia" w:ascii="仿宋" w:hAnsi="仿宋" w:eastAsia="仿宋" w:cs="仿宋"/>
          <w:b/>
          <w:bCs/>
          <w:sz w:val="32"/>
          <w:szCs w:val="32"/>
        </w:rPr>
        <w:t>综合评分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564"/>
        <w:gridCol w:w="1565"/>
        <w:gridCol w:w="1564"/>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802" w:type="dxa"/>
            <w:vAlign w:val="center"/>
          </w:tcPr>
          <w:p>
            <w:pPr>
              <w:ind w:firstLine="321" w:firstLineChars="100"/>
              <w:jc w:val="center"/>
              <w:rPr>
                <w:rFonts w:ascii="仿宋" w:hAnsi="仿宋" w:eastAsia="仿宋"/>
                <w:b/>
                <w:bCs/>
                <w:sz w:val="32"/>
                <w:szCs w:val="32"/>
              </w:rPr>
            </w:pPr>
            <w:r>
              <w:rPr>
                <w:rFonts w:hint="eastAsia" w:ascii="仿宋" w:hAnsi="仿宋" w:eastAsia="仿宋" w:cs="仿宋"/>
                <w:b/>
                <w:bCs/>
                <w:sz w:val="32"/>
                <w:szCs w:val="32"/>
              </w:rPr>
              <w:t>意向方</w:t>
            </w:r>
          </w:p>
        </w:tc>
        <w:tc>
          <w:tcPr>
            <w:tcW w:w="1564" w:type="dxa"/>
            <w:vAlign w:val="center"/>
          </w:tcPr>
          <w:p>
            <w:pPr>
              <w:ind w:firstLine="321" w:firstLineChars="100"/>
              <w:jc w:val="center"/>
              <w:rPr>
                <w:rFonts w:ascii="仿宋" w:hAnsi="仿宋" w:eastAsia="仿宋"/>
                <w:b/>
                <w:bCs/>
                <w:sz w:val="32"/>
                <w:szCs w:val="32"/>
              </w:rPr>
            </w:pPr>
            <w:r>
              <w:rPr>
                <w:rFonts w:hint="eastAsia" w:ascii="仿宋" w:hAnsi="仿宋" w:eastAsia="仿宋" w:cs="仿宋"/>
                <w:b/>
                <w:bCs/>
                <w:sz w:val="32"/>
                <w:szCs w:val="32"/>
              </w:rPr>
              <w:t>商务技术得分均值</w:t>
            </w:r>
          </w:p>
        </w:tc>
        <w:tc>
          <w:tcPr>
            <w:tcW w:w="1565" w:type="dxa"/>
            <w:vAlign w:val="center"/>
          </w:tcPr>
          <w:p>
            <w:pPr>
              <w:ind w:firstLine="321" w:firstLineChars="100"/>
              <w:jc w:val="center"/>
              <w:rPr>
                <w:rFonts w:ascii="仿宋" w:hAnsi="仿宋" w:eastAsia="仿宋"/>
                <w:b/>
                <w:bCs/>
                <w:sz w:val="32"/>
                <w:szCs w:val="32"/>
              </w:rPr>
            </w:pPr>
            <w:r>
              <w:rPr>
                <w:rFonts w:hint="eastAsia" w:ascii="仿宋" w:hAnsi="仿宋" w:eastAsia="仿宋" w:cs="仿宋"/>
                <w:b/>
                <w:bCs/>
                <w:sz w:val="32"/>
                <w:szCs w:val="32"/>
              </w:rPr>
              <w:t>价格得分</w:t>
            </w:r>
          </w:p>
        </w:tc>
        <w:tc>
          <w:tcPr>
            <w:tcW w:w="1564" w:type="dxa"/>
            <w:vAlign w:val="center"/>
          </w:tcPr>
          <w:p>
            <w:pPr>
              <w:ind w:firstLine="321" w:firstLineChars="100"/>
              <w:jc w:val="center"/>
              <w:rPr>
                <w:rFonts w:ascii="仿宋" w:hAnsi="仿宋" w:eastAsia="仿宋"/>
                <w:b/>
                <w:bCs/>
                <w:sz w:val="32"/>
                <w:szCs w:val="32"/>
              </w:rPr>
            </w:pPr>
            <w:r>
              <w:rPr>
                <w:rFonts w:hint="eastAsia" w:ascii="仿宋" w:hAnsi="仿宋" w:eastAsia="仿宋" w:cs="仿宋"/>
                <w:b/>
                <w:bCs/>
                <w:sz w:val="32"/>
                <w:szCs w:val="32"/>
              </w:rPr>
              <w:t>综合得分</w:t>
            </w:r>
          </w:p>
        </w:tc>
        <w:tc>
          <w:tcPr>
            <w:tcW w:w="1565" w:type="dxa"/>
            <w:vAlign w:val="center"/>
          </w:tcPr>
          <w:p>
            <w:pPr>
              <w:ind w:firstLine="321" w:firstLineChars="100"/>
              <w:jc w:val="center"/>
              <w:rPr>
                <w:rFonts w:ascii="仿宋" w:hAnsi="仿宋" w:eastAsia="仿宋"/>
                <w:b/>
                <w:bCs/>
                <w:sz w:val="32"/>
                <w:szCs w:val="32"/>
              </w:rPr>
            </w:pPr>
            <w:r>
              <w:rPr>
                <w:rFonts w:hint="eastAsia" w:ascii="仿宋" w:hAnsi="仿宋" w:eastAsia="仿宋" w:cs="仿宋"/>
                <w:b/>
                <w:bCs/>
                <w:sz w:val="32"/>
                <w:szCs w:val="32"/>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802" w:type="dxa"/>
            <w:vAlign w:val="center"/>
          </w:tcPr>
          <w:p>
            <w:pPr>
              <w:ind w:firstLine="321" w:firstLineChars="100"/>
              <w:jc w:val="center"/>
              <w:rPr>
                <w:rFonts w:ascii="仿宋" w:hAnsi="仿宋" w:eastAsia="仿宋"/>
                <w:b/>
                <w:bCs/>
                <w:sz w:val="32"/>
                <w:szCs w:val="32"/>
              </w:rPr>
            </w:pPr>
          </w:p>
        </w:tc>
        <w:tc>
          <w:tcPr>
            <w:tcW w:w="1564" w:type="dxa"/>
            <w:vAlign w:val="center"/>
          </w:tcPr>
          <w:p>
            <w:pPr>
              <w:ind w:firstLine="321" w:firstLineChars="100"/>
              <w:jc w:val="center"/>
              <w:rPr>
                <w:rFonts w:ascii="仿宋" w:hAnsi="仿宋" w:eastAsia="仿宋"/>
                <w:b/>
                <w:bCs/>
                <w:sz w:val="32"/>
                <w:szCs w:val="32"/>
              </w:rPr>
            </w:pPr>
          </w:p>
        </w:tc>
        <w:tc>
          <w:tcPr>
            <w:tcW w:w="1565" w:type="dxa"/>
            <w:vAlign w:val="center"/>
          </w:tcPr>
          <w:p>
            <w:pPr>
              <w:ind w:firstLine="321" w:firstLineChars="100"/>
              <w:jc w:val="center"/>
              <w:rPr>
                <w:rFonts w:ascii="仿宋" w:hAnsi="仿宋" w:eastAsia="仿宋"/>
                <w:b/>
                <w:bCs/>
                <w:sz w:val="32"/>
                <w:szCs w:val="32"/>
              </w:rPr>
            </w:pPr>
          </w:p>
        </w:tc>
        <w:tc>
          <w:tcPr>
            <w:tcW w:w="1564" w:type="dxa"/>
            <w:vAlign w:val="center"/>
          </w:tcPr>
          <w:p>
            <w:pPr>
              <w:ind w:firstLine="321" w:firstLineChars="100"/>
              <w:jc w:val="center"/>
              <w:rPr>
                <w:rFonts w:ascii="仿宋" w:hAnsi="仿宋" w:eastAsia="仿宋"/>
                <w:b/>
                <w:bCs/>
                <w:sz w:val="32"/>
                <w:szCs w:val="32"/>
              </w:rPr>
            </w:pPr>
          </w:p>
        </w:tc>
        <w:tc>
          <w:tcPr>
            <w:tcW w:w="1565" w:type="dxa"/>
            <w:vAlign w:val="center"/>
          </w:tcPr>
          <w:p>
            <w:pPr>
              <w:ind w:firstLine="321" w:firstLineChars="100"/>
              <w:jc w:val="center"/>
              <w:rPr>
                <w:rFonts w:ascii="仿宋" w:hAnsi="仿宋" w:eastAsia="仿宋"/>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802" w:type="dxa"/>
            <w:vAlign w:val="center"/>
          </w:tcPr>
          <w:p>
            <w:pPr>
              <w:ind w:firstLine="321" w:firstLineChars="100"/>
              <w:jc w:val="center"/>
              <w:rPr>
                <w:rFonts w:ascii="仿宋" w:hAnsi="仿宋" w:eastAsia="仿宋"/>
                <w:b/>
                <w:bCs/>
                <w:sz w:val="32"/>
                <w:szCs w:val="32"/>
              </w:rPr>
            </w:pPr>
          </w:p>
        </w:tc>
        <w:tc>
          <w:tcPr>
            <w:tcW w:w="1564" w:type="dxa"/>
            <w:vAlign w:val="center"/>
          </w:tcPr>
          <w:p>
            <w:pPr>
              <w:ind w:firstLine="321" w:firstLineChars="100"/>
              <w:jc w:val="center"/>
              <w:rPr>
                <w:rFonts w:ascii="仿宋" w:hAnsi="仿宋" w:eastAsia="仿宋"/>
                <w:b/>
                <w:bCs/>
                <w:sz w:val="32"/>
                <w:szCs w:val="32"/>
              </w:rPr>
            </w:pPr>
          </w:p>
        </w:tc>
        <w:tc>
          <w:tcPr>
            <w:tcW w:w="1565" w:type="dxa"/>
            <w:vAlign w:val="center"/>
          </w:tcPr>
          <w:p>
            <w:pPr>
              <w:ind w:firstLine="321" w:firstLineChars="100"/>
              <w:jc w:val="center"/>
              <w:rPr>
                <w:rFonts w:ascii="仿宋" w:hAnsi="仿宋" w:eastAsia="仿宋"/>
                <w:b/>
                <w:bCs/>
                <w:sz w:val="32"/>
                <w:szCs w:val="32"/>
              </w:rPr>
            </w:pPr>
          </w:p>
        </w:tc>
        <w:tc>
          <w:tcPr>
            <w:tcW w:w="1564" w:type="dxa"/>
            <w:vAlign w:val="center"/>
          </w:tcPr>
          <w:p>
            <w:pPr>
              <w:ind w:firstLine="321" w:firstLineChars="100"/>
              <w:jc w:val="center"/>
              <w:rPr>
                <w:rFonts w:ascii="仿宋" w:hAnsi="仿宋" w:eastAsia="仿宋"/>
                <w:b/>
                <w:bCs/>
                <w:sz w:val="32"/>
                <w:szCs w:val="32"/>
              </w:rPr>
            </w:pPr>
          </w:p>
        </w:tc>
        <w:tc>
          <w:tcPr>
            <w:tcW w:w="1565" w:type="dxa"/>
            <w:vAlign w:val="center"/>
          </w:tcPr>
          <w:p>
            <w:pPr>
              <w:ind w:firstLine="321" w:firstLineChars="100"/>
              <w:jc w:val="center"/>
              <w:rPr>
                <w:rFonts w:ascii="仿宋" w:hAnsi="仿宋" w:eastAsia="仿宋"/>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802" w:type="dxa"/>
            <w:vAlign w:val="center"/>
          </w:tcPr>
          <w:p>
            <w:pPr>
              <w:ind w:firstLine="321" w:firstLineChars="100"/>
              <w:jc w:val="center"/>
              <w:rPr>
                <w:rFonts w:ascii="仿宋" w:hAnsi="仿宋" w:eastAsia="仿宋"/>
                <w:b/>
                <w:bCs/>
                <w:sz w:val="32"/>
                <w:szCs w:val="32"/>
              </w:rPr>
            </w:pPr>
          </w:p>
        </w:tc>
        <w:tc>
          <w:tcPr>
            <w:tcW w:w="1564" w:type="dxa"/>
            <w:vAlign w:val="center"/>
          </w:tcPr>
          <w:p>
            <w:pPr>
              <w:ind w:firstLine="321" w:firstLineChars="100"/>
              <w:jc w:val="center"/>
              <w:rPr>
                <w:rFonts w:ascii="仿宋" w:hAnsi="仿宋" w:eastAsia="仿宋"/>
                <w:b/>
                <w:bCs/>
                <w:sz w:val="32"/>
                <w:szCs w:val="32"/>
              </w:rPr>
            </w:pPr>
          </w:p>
        </w:tc>
        <w:tc>
          <w:tcPr>
            <w:tcW w:w="1565" w:type="dxa"/>
            <w:vAlign w:val="center"/>
          </w:tcPr>
          <w:p>
            <w:pPr>
              <w:ind w:firstLine="321" w:firstLineChars="100"/>
              <w:jc w:val="center"/>
              <w:rPr>
                <w:rFonts w:ascii="仿宋" w:hAnsi="仿宋" w:eastAsia="仿宋"/>
                <w:b/>
                <w:bCs/>
                <w:sz w:val="32"/>
                <w:szCs w:val="32"/>
              </w:rPr>
            </w:pPr>
          </w:p>
        </w:tc>
        <w:tc>
          <w:tcPr>
            <w:tcW w:w="1564" w:type="dxa"/>
            <w:vAlign w:val="center"/>
          </w:tcPr>
          <w:p>
            <w:pPr>
              <w:ind w:firstLine="321" w:firstLineChars="100"/>
              <w:jc w:val="center"/>
              <w:rPr>
                <w:rFonts w:ascii="仿宋" w:hAnsi="仿宋" w:eastAsia="仿宋"/>
                <w:b/>
                <w:bCs/>
                <w:sz w:val="32"/>
                <w:szCs w:val="32"/>
              </w:rPr>
            </w:pPr>
          </w:p>
        </w:tc>
        <w:tc>
          <w:tcPr>
            <w:tcW w:w="1565" w:type="dxa"/>
            <w:vAlign w:val="center"/>
          </w:tcPr>
          <w:p>
            <w:pPr>
              <w:ind w:firstLine="321" w:firstLineChars="100"/>
              <w:jc w:val="center"/>
              <w:rPr>
                <w:rFonts w:ascii="仿宋" w:hAnsi="仿宋" w:eastAsia="仿宋"/>
                <w:b/>
                <w:bCs/>
                <w:sz w:val="32"/>
                <w:szCs w:val="32"/>
              </w:rPr>
            </w:pPr>
          </w:p>
        </w:tc>
      </w:tr>
    </w:tbl>
    <w:p>
      <w:pPr>
        <w:ind w:firstLine="482" w:firstLineChars="150"/>
        <w:rPr>
          <w:rFonts w:ascii="楷体" w:hAnsi="楷体" w:eastAsia="楷体"/>
          <w:b/>
          <w:bCs/>
          <w:sz w:val="32"/>
          <w:szCs w:val="32"/>
        </w:rPr>
      </w:pPr>
    </w:p>
    <w:p>
      <w:pPr>
        <w:numPr>
          <w:ilvl w:val="0"/>
          <w:numId w:val="1"/>
        </w:numPr>
        <w:spacing w:line="360" w:lineRule="auto"/>
        <w:ind w:firstLine="643" w:firstLineChars="200"/>
        <w:outlineLvl w:val="2"/>
        <w:rPr>
          <w:rFonts w:ascii="楷体" w:hAnsi="楷体" w:eastAsia="楷体"/>
          <w:b/>
          <w:bCs/>
          <w:sz w:val="32"/>
          <w:szCs w:val="32"/>
        </w:rPr>
      </w:pPr>
      <w:r>
        <w:rPr>
          <w:rFonts w:hint="eastAsia" w:ascii="楷体" w:hAnsi="楷体" w:eastAsia="楷体" w:cs="楷体"/>
          <w:b/>
          <w:bCs/>
          <w:sz w:val="32"/>
          <w:szCs w:val="32"/>
        </w:rPr>
        <w:t>确定中标候选服务商</w:t>
      </w:r>
    </w:p>
    <w:p>
      <w:pPr>
        <w:spacing w:line="360" w:lineRule="auto"/>
        <w:ind w:firstLine="640" w:firstLineChars="200"/>
        <w:outlineLvl w:val="2"/>
        <w:rPr>
          <w:rFonts w:ascii="仿宋" w:hAnsi="仿宋" w:eastAsia="仿宋"/>
          <w:sz w:val="32"/>
          <w:szCs w:val="32"/>
        </w:rPr>
      </w:pPr>
      <w:r>
        <w:rPr>
          <w:rFonts w:hint="eastAsia" w:ascii="仿宋" w:hAnsi="仿宋" w:eastAsia="仿宋" w:cs="仿宋"/>
          <w:sz w:val="32"/>
          <w:szCs w:val="32"/>
        </w:rPr>
        <w:t>意向方综合得分相同的，在满足采购人所有特定要求的基础上，推荐能提供更优的承保方案的意向方为候选服务商。</w:t>
      </w:r>
    </w:p>
    <w:p>
      <w:pPr>
        <w:spacing w:line="360" w:lineRule="auto"/>
        <w:ind w:firstLine="640" w:firstLineChars="200"/>
        <w:outlineLvl w:val="2"/>
        <w:rPr>
          <w:rFonts w:ascii="仿宋" w:hAnsi="仿宋" w:eastAsia="仿宋"/>
          <w:sz w:val="32"/>
          <w:szCs w:val="32"/>
        </w:rPr>
      </w:pPr>
      <w:r>
        <w:rPr>
          <w:rFonts w:hint="eastAsia" w:ascii="仿宋" w:hAnsi="仿宋" w:eastAsia="仿宋" w:cs="仿宋"/>
          <w:sz w:val="32"/>
          <w:szCs w:val="32"/>
        </w:rPr>
        <w:t>意向方综合得分不相同的，推荐综合得分最高的意向方为候选服务商。</w:t>
      </w:r>
    </w:p>
    <w:p>
      <w:pPr>
        <w:ind w:firstLine="640" w:firstLineChars="200"/>
        <w:rPr>
          <w:rFonts w:ascii="黑体" w:hAnsi="黑体" w:eastAsia="黑体"/>
          <w:sz w:val="32"/>
          <w:szCs w:val="32"/>
        </w:rPr>
      </w:pPr>
      <w:r>
        <w:rPr>
          <w:rFonts w:hint="eastAsia" w:ascii="黑体" w:hAnsi="黑体" w:eastAsia="黑体" w:cs="黑体"/>
          <w:sz w:val="32"/>
          <w:szCs w:val="32"/>
        </w:rPr>
        <w:t>五、评审结果公示</w:t>
      </w:r>
    </w:p>
    <w:p>
      <w:pPr>
        <w:spacing w:line="360" w:lineRule="auto"/>
        <w:ind w:firstLine="640" w:firstLineChars="200"/>
        <w:outlineLvl w:val="2"/>
        <w:rPr>
          <w:rFonts w:ascii="仿宋" w:hAnsi="仿宋" w:eastAsia="仿宋"/>
          <w:sz w:val="32"/>
          <w:szCs w:val="32"/>
        </w:rPr>
      </w:pPr>
      <w:r>
        <w:rPr>
          <w:rFonts w:hint="eastAsia" w:ascii="仿宋" w:hAnsi="仿宋" w:eastAsia="仿宋" w:cs="仿宋"/>
          <w:sz w:val="32"/>
          <w:szCs w:val="32"/>
        </w:rPr>
        <w:t>评审结果在江门市人民政府门户网站江门市农业农村局信息网公示</w:t>
      </w:r>
      <w:r>
        <w:rPr>
          <w:rFonts w:ascii="仿宋" w:hAnsi="仿宋" w:eastAsia="仿宋" w:cs="仿宋"/>
          <w:sz w:val="32"/>
          <w:szCs w:val="32"/>
        </w:rPr>
        <w:t>5</w:t>
      </w:r>
      <w:r>
        <w:rPr>
          <w:rFonts w:hint="eastAsia" w:ascii="仿宋" w:hAnsi="仿宋" w:eastAsia="仿宋" w:cs="仿宋"/>
          <w:sz w:val="32"/>
          <w:szCs w:val="32"/>
        </w:rPr>
        <w:t>日。</w:t>
      </w:r>
    </w:p>
    <w:p/>
    <w:p>
      <w:pPr>
        <w:tabs>
          <w:tab w:val="left" w:pos="1155"/>
        </w:tabs>
        <w:rPr>
          <w:rFonts w:ascii="仿宋_GB2312" w:eastAsia="仿宋_GB2312"/>
          <w:sz w:val="32"/>
          <w:szCs w:val="32"/>
        </w:rPr>
      </w:pPr>
    </w:p>
    <w:p>
      <w:pPr>
        <w:spacing w:line="360" w:lineRule="auto"/>
        <w:jc w:val="right"/>
        <w:outlineLvl w:val="2"/>
        <w:rPr>
          <w:rFonts w:ascii="仿宋" w:hAnsi="仿宋" w:eastAsia="仿宋"/>
          <w:sz w:val="32"/>
          <w:szCs w:val="32"/>
        </w:rPr>
      </w:pPr>
      <w:r>
        <w:rPr>
          <w:rFonts w:hint="eastAsia" w:ascii="仿宋" w:hAnsi="仿宋" w:eastAsia="仿宋" w:cs="仿宋"/>
          <w:sz w:val="32"/>
          <w:szCs w:val="32"/>
        </w:rPr>
        <w:t>江门市农业科技创新中心</w:t>
      </w:r>
    </w:p>
    <w:p>
      <w:pPr>
        <w:spacing w:line="360" w:lineRule="auto"/>
        <w:ind w:firstLine="640" w:firstLineChars="200"/>
        <w:jc w:val="right"/>
        <w:outlineLvl w:val="2"/>
        <w:rPr>
          <w:rFonts w:ascii="仿宋" w:hAnsi="仿宋" w:eastAsia="仿宋"/>
          <w:sz w:val="32"/>
          <w:szCs w:val="32"/>
        </w:rPr>
      </w:pPr>
      <w:r>
        <w:rPr>
          <w:rFonts w:ascii="仿宋" w:hAnsi="仿宋" w:eastAsia="仿宋" w:cs="仿宋"/>
          <w:sz w:val="32"/>
          <w:szCs w:val="32"/>
        </w:rPr>
        <w:t xml:space="preserve">                                 2022</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p>
    <w:sectPr>
      <w:headerReference r:id="rId3" w:type="default"/>
      <w:footerReference r:id="rId4" w:type="default"/>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03D8B7"/>
    <w:multiLevelType w:val="singleLevel"/>
    <w:tmpl w:val="6C03D8B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lhYTk1ZmY5MDA4NDY3ZDhlNzRjODg5ZDkzY2UzZjYifQ=="/>
  </w:docVars>
  <w:rsids>
    <w:rsidRoot w:val="7B904393"/>
    <w:rsid w:val="00060055"/>
    <w:rsid w:val="006D1E5D"/>
    <w:rsid w:val="008143D6"/>
    <w:rsid w:val="00BA4A86"/>
    <w:rsid w:val="00BD3600"/>
    <w:rsid w:val="00E4777D"/>
    <w:rsid w:val="00F21CE7"/>
    <w:rsid w:val="02C6153D"/>
    <w:rsid w:val="03D80B70"/>
    <w:rsid w:val="045C354F"/>
    <w:rsid w:val="070F61CC"/>
    <w:rsid w:val="08C2389F"/>
    <w:rsid w:val="09067F2D"/>
    <w:rsid w:val="09B01C47"/>
    <w:rsid w:val="0A2914F1"/>
    <w:rsid w:val="0A344626"/>
    <w:rsid w:val="0A857D22"/>
    <w:rsid w:val="0CC16150"/>
    <w:rsid w:val="0CDF2F6F"/>
    <w:rsid w:val="0CE118E4"/>
    <w:rsid w:val="0E250E55"/>
    <w:rsid w:val="0F0200F5"/>
    <w:rsid w:val="12F65714"/>
    <w:rsid w:val="14A62AA5"/>
    <w:rsid w:val="15EC276B"/>
    <w:rsid w:val="1B0B13D3"/>
    <w:rsid w:val="20B4528D"/>
    <w:rsid w:val="21FE759C"/>
    <w:rsid w:val="26B635FE"/>
    <w:rsid w:val="27FA56CD"/>
    <w:rsid w:val="287C2081"/>
    <w:rsid w:val="2A19534F"/>
    <w:rsid w:val="2B136AEA"/>
    <w:rsid w:val="2B48462C"/>
    <w:rsid w:val="2C610E53"/>
    <w:rsid w:val="2DE42613"/>
    <w:rsid w:val="340239AB"/>
    <w:rsid w:val="34606612"/>
    <w:rsid w:val="37A74959"/>
    <w:rsid w:val="399A1E48"/>
    <w:rsid w:val="3AD1189A"/>
    <w:rsid w:val="412C1E99"/>
    <w:rsid w:val="4418604C"/>
    <w:rsid w:val="46767799"/>
    <w:rsid w:val="46C92000"/>
    <w:rsid w:val="47E86474"/>
    <w:rsid w:val="4A731145"/>
    <w:rsid w:val="4B7778D4"/>
    <w:rsid w:val="4C365A00"/>
    <w:rsid w:val="4EAF1A9A"/>
    <w:rsid w:val="4EFE032C"/>
    <w:rsid w:val="4FAC52FD"/>
    <w:rsid w:val="51BF0246"/>
    <w:rsid w:val="530B3464"/>
    <w:rsid w:val="541B7C39"/>
    <w:rsid w:val="54FA755E"/>
    <w:rsid w:val="57D00194"/>
    <w:rsid w:val="583A0B86"/>
    <w:rsid w:val="595B3C5E"/>
    <w:rsid w:val="5A717049"/>
    <w:rsid w:val="5AAD1584"/>
    <w:rsid w:val="5EBD08E6"/>
    <w:rsid w:val="5ECF26F0"/>
    <w:rsid w:val="5F4B136B"/>
    <w:rsid w:val="5F4E4E5A"/>
    <w:rsid w:val="5FCD135E"/>
    <w:rsid w:val="64990EAF"/>
    <w:rsid w:val="64DF052F"/>
    <w:rsid w:val="65B401B4"/>
    <w:rsid w:val="6A427BAA"/>
    <w:rsid w:val="6C7270AD"/>
    <w:rsid w:val="6E581500"/>
    <w:rsid w:val="6F836B40"/>
    <w:rsid w:val="6F927492"/>
    <w:rsid w:val="707B1384"/>
    <w:rsid w:val="786B31B2"/>
    <w:rsid w:val="7B904393"/>
    <w:rsid w:val="7CCF434D"/>
    <w:rsid w:val="7DFA7D8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iPriority w:val="99"/>
    <w:pPr>
      <w:spacing w:line="480" w:lineRule="atLeast"/>
    </w:pPr>
    <w:rPr>
      <w:rFonts w:ascii="楷体_GB2312" w:eastAsia="楷体_GB2312" w:cs="楷体_GB2312"/>
      <w:b/>
      <w:bCs/>
      <w:sz w:val="30"/>
      <w:szCs w:val="30"/>
    </w:rPr>
  </w:style>
  <w:style w:type="paragraph" w:styleId="3">
    <w:name w:val="Body Text Indent"/>
    <w:basedOn w:val="1"/>
    <w:link w:val="11"/>
    <w:qFormat/>
    <w:uiPriority w:val="99"/>
    <w:pPr>
      <w:autoSpaceDE w:val="0"/>
      <w:autoSpaceDN w:val="0"/>
      <w:adjustRightInd w:val="0"/>
      <w:spacing w:line="480" w:lineRule="exact"/>
      <w:ind w:left="850" w:hanging="249"/>
      <w:textAlignment w:val="baseline"/>
    </w:pPr>
    <w:rPr>
      <w:rFonts w:ascii="仿宋_GB2312" w:eastAsia="仿宋_GB2312" w:cs="仿宋_GB2312"/>
      <w:kern w:val="0"/>
      <w:sz w:val="28"/>
      <w:szCs w:val="2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2"/>
    <w:semiHidden/>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qFormat/>
    <w:uiPriority w:val="99"/>
    <w:pPr>
      <w:spacing w:beforeAutospacing="1" w:afterAutospacing="1"/>
      <w:jc w:val="left"/>
    </w:pPr>
    <w:rPr>
      <w:kern w:val="0"/>
      <w:sz w:val="24"/>
      <w:szCs w:val="24"/>
    </w:rPr>
  </w:style>
  <w:style w:type="paragraph" w:styleId="7">
    <w:name w:val="Body Text First Indent 2"/>
    <w:basedOn w:val="3"/>
    <w:link w:val="13"/>
    <w:uiPriority w:val="99"/>
    <w:pPr>
      <w:ind w:firstLine="420" w:firstLineChars="200"/>
    </w:pPr>
  </w:style>
  <w:style w:type="character" w:customStyle="1" w:styleId="10">
    <w:name w:val="Body Text Char"/>
    <w:basedOn w:val="9"/>
    <w:link w:val="2"/>
    <w:semiHidden/>
    <w:qFormat/>
    <w:uiPriority w:val="99"/>
    <w:rPr>
      <w:szCs w:val="21"/>
    </w:rPr>
  </w:style>
  <w:style w:type="character" w:customStyle="1" w:styleId="11">
    <w:name w:val="Body Text Indent Char"/>
    <w:basedOn w:val="9"/>
    <w:link w:val="3"/>
    <w:semiHidden/>
    <w:qFormat/>
    <w:uiPriority w:val="99"/>
    <w:rPr>
      <w:szCs w:val="21"/>
    </w:rPr>
  </w:style>
  <w:style w:type="character" w:customStyle="1" w:styleId="12">
    <w:name w:val="Header Char"/>
    <w:basedOn w:val="9"/>
    <w:link w:val="5"/>
    <w:semiHidden/>
    <w:qFormat/>
    <w:uiPriority w:val="99"/>
    <w:rPr>
      <w:sz w:val="18"/>
      <w:szCs w:val="18"/>
    </w:rPr>
  </w:style>
  <w:style w:type="character" w:customStyle="1" w:styleId="13">
    <w:name w:val="Body Text First Indent 2 Char"/>
    <w:basedOn w:val="11"/>
    <w:link w:val="7"/>
    <w:semiHidden/>
    <w:qFormat/>
    <w:uiPriority w:val="99"/>
  </w:style>
  <w:style w:type="character" w:customStyle="1" w:styleId="14">
    <w:name w:val="Footer Char"/>
    <w:basedOn w:val="9"/>
    <w:link w:val="4"/>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CXZX</Company>
  <Pages>6</Pages>
  <Words>2562</Words>
  <Characters>2643</Characters>
  <Lines>0</Lines>
  <Paragraphs>0</Paragraphs>
  <TotalTime>1357</TotalTime>
  <ScaleCrop>false</ScaleCrop>
  <LinksUpToDate>false</LinksUpToDate>
  <CharactersWithSpaces>2689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2021-03-08T02:31:00Z</dcterms:created>
  <dc:creator>Administrator</dc:creator>
  <cp:lastModifiedBy>源1420645436</cp:lastModifiedBy>
  <cp:lastPrinted>2022-06-29T06:35:00Z</cp:lastPrinted>
  <dcterms:modified xsi:type="dcterms:W3CDTF">2022-07-01T07:57:30Z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B971757EDD46414BB95C1ACDFC72CC57</vt:lpwstr>
  </property>
</Properties>
</file>