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sz w:val="30"/>
          <w:szCs w:val="30"/>
          <w:lang w:val="en-US" w:eastAsia="zh-CN"/>
        </w:rPr>
      </w:pPr>
      <w:bookmarkStart w:id="0" w:name="_GoBack"/>
      <w:bookmarkEnd w:id="0"/>
      <w:r>
        <w:rPr>
          <w:rFonts w:hint="eastAsia" w:ascii="仿宋" w:hAnsi="仿宋" w:eastAsia="仿宋" w:cs="仿宋"/>
          <w:b w:val="0"/>
          <w:bCs/>
          <w:sz w:val="30"/>
          <w:szCs w:val="30"/>
          <w:lang w:val="en-US" w:eastAsia="zh-CN"/>
        </w:rPr>
        <w:t>附件1：</w:t>
      </w:r>
    </w:p>
    <w:p>
      <w:pPr>
        <w:jc w:val="center"/>
        <w:rPr>
          <w:rFonts w:asciiTheme="minorEastAsia" w:hAnsiTheme="minorEastAsia"/>
          <w:b/>
          <w:sz w:val="44"/>
        </w:rPr>
      </w:pPr>
      <w:r>
        <w:rPr>
          <w:rFonts w:hint="eastAsia" w:asciiTheme="minorEastAsia" w:hAnsiTheme="minorEastAsia"/>
          <w:b/>
          <w:sz w:val="44"/>
        </w:rPr>
        <w:t>江门市202</w:t>
      </w:r>
      <w:r>
        <w:rPr>
          <w:rFonts w:hint="eastAsia" w:asciiTheme="minorEastAsia" w:hAnsiTheme="minorEastAsia"/>
          <w:b/>
          <w:sz w:val="44"/>
          <w:lang w:val="en-US" w:eastAsia="zh-CN"/>
        </w:rPr>
        <w:t>2</w:t>
      </w:r>
      <w:r>
        <w:rPr>
          <w:rFonts w:hint="eastAsia" w:asciiTheme="minorEastAsia" w:hAnsiTheme="minorEastAsia"/>
          <w:b/>
          <w:sz w:val="44"/>
        </w:rPr>
        <w:t>年</w:t>
      </w:r>
      <w:r>
        <w:rPr>
          <w:rFonts w:hint="eastAsia" w:asciiTheme="minorEastAsia" w:hAnsiTheme="minorEastAsia"/>
          <w:b/>
          <w:sz w:val="44"/>
          <w:lang w:eastAsia="zh-CN"/>
        </w:rPr>
        <w:t>度</w:t>
      </w:r>
      <w:r>
        <w:rPr>
          <w:rFonts w:hint="eastAsia" w:asciiTheme="minorEastAsia" w:hAnsiTheme="minorEastAsia"/>
          <w:b/>
          <w:sz w:val="44"/>
        </w:rPr>
        <w:t>“三支一扶”人员</w:t>
      </w:r>
    </w:p>
    <w:p>
      <w:pPr>
        <w:jc w:val="center"/>
        <w:rPr>
          <w:rFonts w:asciiTheme="minorEastAsia" w:hAnsiTheme="minorEastAsia"/>
          <w:b/>
          <w:sz w:val="44"/>
        </w:rPr>
      </w:pPr>
      <w:r>
        <w:rPr>
          <w:rFonts w:hint="eastAsia" w:asciiTheme="minorEastAsia" w:hAnsiTheme="minorEastAsia"/>
          <w:b/>
          <w:sz w:val="44"/>
        </w:rPr>
        <w:t>培训采购需求</w:t>
      </w:r>
    </w:p>
    <w:p>
      <w:pPr>
        <w:pStyle w:val="2"/>
        <w:ind w:firstLine="640" w:firstLineChars="0"/>
        <w:rPr>
          <w:rFonts w:ascii="仿宋_GB2312" w:eastAsia="仿宋_GB2312"/>
          <w:sz w:val="32"/>
        </w:rPr>
      </w:pPr>
    </w:p>
    <w:p>
      <w:pPr>
        <w:pStyle w:val="2"/>
        <w:ind w:firstLine="640" w:firstLineChars="0"/>
        <w:rPr>
          <w:rFonts w:ascii="仿宋_GB2312" w:eastAsia="仿宋_GB2312"/>
          <w:sz w:val="32"/>
        </w:rPr>
      </w:pPr>
      <w:r>
        <w:rPr>
          <w:rFonts w:hint="eastAsia" w:ascii="黑体" w:hAnsi="黑体" w:eastAsia="黑体"/>
          <w:sz w:val="32"/>
        </w:rPr>
        <w:t>一、项目名称：</w:t>
      </w:r>
      <w:r>
        <w:rPr>
          <w:rFonts w:hint="eastAsia" w:ascii="仿宋_GB2312" w:eastAsia="仿宋_GB2312"/>
          <w:sz w:val="32"/>
        </w:rPr>
        <w:t>江门市202</w:t>
      </w:r>
      <w:r>
        <w:rPr>
          <w:rFonts w:hint="eastAsia" w:ascii="仿宋_GB2312" w:eastAsia="仿宋_GB2312"/>
          <w:sz w:val="32"/>
          <w:lang w:val="en-US" w:eastAsia="zh-CN"/>
        </w:rPr>
        <w:t>2</w:t>
      </w:r>
      <w:r>
        <w:rPr>
          <w:rFonts w:hint="eastAsia" w:ascii="仿宋_GB2312" w:eastAsia="仿宋_GB2312"/>
          <w:sz w:val="32"/>
        </w:rPr>
        <w:t>年</w:t>
      </w:r>
      <w:r>
        <w:rPr>
          <w:rFonts w:hint="eastAsia" w:ascii="仿宋_GB2312" w:eastAsia="仿宋_GB2312"/>
          <w:sz w:val="32"/>
          <w:lang w:eastAsia="zh-CN"/>
        </w:rPr>
        <w:t>度</w:t>
      </w:r>
      <w:r>
        <w:rPr>
          <w:rFonts w:hint="eastAsia" w:ascii="仿宋_GB2312" w:eastAsia="仿宋_GB2312"/>
          <w:sz w:val="32"/>
        </w:rPr>
        <w:t>“三支一扶”人员培训</w:t>
      </w:r>
    </w:p>
    <w:p>
      <w:pPr>
        <w:pStyle w:val="2"/>
        <w:ind w:firstLine="640" w:firstLineChars="0"/>
        <w:rPr>
          <w:rFonts w:ascii="仿宋_GB2312" w:eastAsia="仿宋_GB2312"/>
          <w:sz w:val="32"/>
        </w:rPr>
      </w:pPr>
      <w:r>
        <w:rPr>
          <w:rFonts w:ascii="黑体" w:hAnsi="黑体" w:eastAsia="黑体"/>
          <w:sz w:val="32"/>
        </w:rPr>
        <w:t>二、</w:t>
      </w:r>
      <w:r>
        <w:rPr>
          <w:rFonts w:hint="eastAsia" w:ascii="黑体" w:hAnsi="黑体" w:eastAsia="黑体"/>
          <w:sz w:val="32"/>
          <w:lang w:eastAsia="zh-CN"/>
        </w:rPr>
        <w:t>预算</w:t>
      </w:r>
      <w:r>
        <w:rPr>
          <w:rFonts w:ascii="黑体" w:hAnsi="黑体" w:eastAsia="黑体"/>
          <w:sz w:val="32"/>
        </w:rPr>
        <w:t>价格：</w:t>
      </w:r>
      <w:r>
        <w:rPr>
          <w:rFonts w:hint="eastAsia" w:ascii="仿宋_GB2312" w:eastAsia="仿宋_GB2312"/>
          <w:sz w:val="32"/>
          <w:lang w:val="en-US" w:eastAsia="zh-CN"/>
        </w:rPr>
        <w:t>700</w:t>
      </w:r>
      <w:r>
        <w:rPr>
          <w:rFonts w:ascii="仿宋_GB2312" w:eastAsia="仿宋_GB2312"/>
          <w:sz w:val="32"/>
        </w:rPr>
        <w:t>,</w:t>
      </w:r>
      <w:r>
        <w:rPr>
          <w:rFonts w:hint="eastAsia" w:ascii="仿宋_GB2312" w:eastAsia="仿宋_GB2312"/>
          <w:sz w:val="32"/>
        </w:rPr>
        <w:t>000元</w:t>
      </w:r>
    </w:p>
    <w:p>
      <w:pPr>
        <w:pStyle w:val="2"/>
        <w:ind w:firstLine="640" w:firstLineChars="0"/>
        <w:rPr>
          <w:rFonts w:ascii="仿宋_GB2312" w:eastAsia="仿宋_GB2312"/>
          <w:sz w:val="32"/>
        </w:rPr>
      </w:pPr>
      <w:r>
        <w:rPr>
          <w:rFonts w:ascii="黑体" w:hAnsi="黑体" w:eastAsia="黑体"/>
          <w:sz w:val="32"/>
        </w:rPr>
        <w:t>三、项目概况：</w:t>
      </w:r>
      <w:r>
        <w:rPr>
          <w:rFonts w:hint="eastAsia" w:ascii="仿宋_GB2312" w:eastAsia="仿宋_GB2312"/>
          <w:sz w:val="32"/>
        </w:rPr>
        <w:t>为</w:t>
      </w:r>
      <w:r>
        <w:rPr>
          <w:rFonts w:hint="eastAsia" w:ascii="仿宋_GB2312" w:eastAsia="仿宋_GB2312"/>
          <w:sz w:val="32"/>
          <w:lang w:eastAsia="zh-CN"/>
        </w:rPr>
        <w:t>持续</w:t>
      </w:r>
      <w:r>
        <w:rPr>
          <w:rFonts w:hint="eastAsia" w:ascii="仿宋_GB2312" w:eastAsia="仿宋_GB2312"/>
          <w:sz w:val="32"/>
        </w:rPr>
        <w:t>做好我市“三支一扶”培训工作，</w:t>
      </w:r>
      <w:r>
        <w:rPr>
          <w:rFonts w:hint="eastAsia" w:ascii="仿宋_GB2312" w:eastAsia="仿宋_GB2312"/>
          <w:sz w:val="32"/>
          <w:lang w:eastAsia="zh-CN"/>
        </w:rPr>
        <w:t>构建良好的</w:t>
      </w:r>
      <w:r>
        <w:rPr>
          <w:rFonts w:hint="eastAsia" w:ascii="仿宋_GB2312" w:eastAsia="仿宋_GB2312"/>
          <w:sz w:val="32"/>
        </w:rPr>
        <w:t>“三支一扶”人员培训体系，</w:t>
      </w:r>
      <w:r>
        <w:rPr>
          <w:rFonts w:hint="eastAsia" w:ascii="仿宋_GB2312" w:hAnsi="黑体" w:eastAsia="仿宋_GB2312"/>
          <w:sz w:val="32"/>
          <w:szCs w:val="32"/>
          <w:lang w:eastAsia="zh-CN"/>
        </w:rPr>
        <w:t>江门</w:t>
      </w:r>
      <w:r>
        <w:rPr>
          <w:rFonts w:hint="eastAsia" w:ascii="仿宋_GB2312" w:hAnsi="黑体" w:eastAsia="仿宋_GB2312"/>
          <w:sz w:val="32"/>
          <w:szCs w:val="32"/>
        </w:rPr>
        <w:t>市人力资源和社会保障局</w:t>
      </w:r>
      <w:r>
        <w:rPr>
          <w:rFonts w:hint="eastAsia" w:ascii="仿宋_GB2312" w:hAnsi="黑体" w:eastAsia="仿宋_GB2312"/>
          <w:sz w:val="32"/>
          <w:szCs w:val="32"/>
          <w:lang w:eastAsia="zh-CN"/>
        </w:rPr>
        <w:t>计划通过采购</w:t>
      </w:r>
      <w:r>
        <w:rPr>
          <w:rFonts w:hint="eastAsia" w:ascii="仿宋_GB2312" w:hAnsi="黑体" w:eastAsia="仿宋_GB2312"/>
          <w:sz w:val="32"/>
          <w:szCs w:val="32"/>
        </w:rPr>
        <w:t>开展202</w:t>
      </w:r>
      <w:r>
        <w:rPr>
          <w:rFonts w:hint="eastAsia" w:ascii="仿宋_GB2312" w:hAnsi="黑体" w:eastAsia="仿宋_GB2312"/>
          <w:sz w:val="32"/>
          <w:szCs w:val="32"/>
          <w:lang w:val="en-US" w:eastAsia="zh-CN"/>
        </w:rPr>
        <w:t>2</w:t>
      </w:r>
      <w:r>
        <w:rPr>
          <w:rFonts w:hint="eastAsia" w:ascii="仿宋_GB2312" w:hAnsi="黑体" w:eastAsia="仿宋_GB2312"/>
          <w:sz w:val="32"/>
          <w:szCs w:val="32"/>
        </w:rPr>
        <w:t>年度“三支一扶”人员培训，</w:t>
      </w:r>
      <w:r>
        <w:rPr>
          <w:rFonts w:hint="eastAsia" w:ascii="仿宋_GB2312" w:eastAsia="仿宋_GB2312"/>
          <w:sz w:val="32"/>
          <w:lang w:val="en-US" w:eastAsia="zh-CN"/>
        </w:rPr>
        <w:t>旨在</w:t>
      </w:r>
      <w:r>
        <w:rPr>
          <w:rFonts w:hint="eastAsia" w:ascii="仿宋_GB2312" w:eastAsia="仿宋_GB2312"/>
          <w:sz w:val="32"/>
        </w:rPr>
        <w:t>提高“三支一扶“人员的政治站位、提升业务水平、增强服务意识，引领其更好的扎根基层，服务基层。培训采取讲授、座谈、答疑、互动教学、情景模拟、素质拓展等方式开展。</w:t>
      </w:r>
    </w:p>
    <w:p>
      <w:pPr>
        <w:pStyle w:val="2"/>
        <w:ind w:firstLine="640" w:firstLineChars="0"/>
        <w:rPr>
          <w:rFonts w:hint="eastAsia" w:ascii="黑体" w:hAnsi="黑体" w:eastAsia="黑体"/>
          <w:sz w:val="32"/>
        </w:rPr>
      </w:pPr>
      <w:r>
        <w:rPr>
          <w:rFonts w:ascii="黑体" w:hAnsi="黑体" w:eastAsia="黑体"/>
          <w:sz w:val="32"/>
        </w:rPr>
        <w:t>四、项目清单：</w:t>
      </w:r>
    </w:p>
    <w:tbl>
      <w:tblPr>
        <w:tblStyle w:val="5"/>
        <w:tblW w:w="8931" w:type="dxa"/>
        <w:tblInd w:w="-289" w:type="dxa"/>
        <w:tblLayout w:type="fixed"/>
        <w:tblCellMar>
          <w:top w:w="0" w:type="dxa"/>
          <w:left w:w="0" w:type="dxa"/>
          <w:bottom w:w="0" w:type="dxa"/>
          <w:right w:w="0" w:type="dxa"/>
        </w:tblCellMar>
      </w:tblPr>
      <w:tblGrid>
        <w:gridCol w:w="851"/>
        <w:gridCol w:w="1134"/>
        <w:gridCol w:w="1418"/>
        <w:gridCol w:w="5528"/>
      </w:tblGrid>
      <w:tr>
        <w:tblPrEx>
          <w:tblCellMar>
            <w:top w:w="0" w:type="dxa"/>
            <w:left w:w="0" w:type="dxa"/>
            <w:bottom w:w="0" w:type="dxa"/>
            <w:right w:w="0" w:type="dxa"/>
          </w:tblCellMar>
        </w:tblPrEx>
        <w:trPr>
          <w:trHeight w:val="660" w:hRule="atLeast"/>
        </w:trPr>
        <w:tc>
          <w:tcPr>
            <w:tcW w:w="851" w:type="dxa"/>
            <w:tcBorders>
              <w:top w:val="single" w:color="000000" w:sz="4" w:space="0"/>
              <w:left w:val="single" w:color="000000" w:sz="4" w:space="0"/>
              <w:bottom w:val="single" w:color="auto" w:sz="4" w:space="0"/>
              <w:right w:val="single" w:color="000000" w:sz="4" w:space="0"/>
            </w:tcBorders>
            <w:shd w:val="clear" w:color="auto" w:fill="D9D9D9"/>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序号</w:t>
            </w:r>
          </w:p>
        </w:tc>
        <w:tc>
          <w:tcPr>
            <w:tcW w:w="2552" w:type="dxa"/>
            <w:gridSpan w:val="2"/>
            <w:tcBorders>
              <w:top w:val="single" w:color="000000" w:sz="4" w:space="0"/>
              <w:left w:val="single" w:color="000000" w:sz="4" w:space="0"/>
              <w:bottom w:val="single" w:color="auto" w:sz="4" w:space="0"/>
              <w:right w:val="single" w:color="000000" w:sz="4" w:space="0"/>
            </w:tcBorders>
            <w:shd w:val="clear" w:color="auto" w:fill="D9D9D9"/>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项目内容</w:t>
            </w:r>
          </w:p>
        </w:tc>
        <w:tc>
          <w:tcPr>
            <w:tcW w:w="5528" w:type="dxa"/>
            <w:tcBorders>
              <w:top w:val="single" w:color="000000" w:sz="4" w:space="0"/>
              <w:left w:val="single" w:color="000000" w:sz="4" w:space="0"/>
              <w:bottom w:val="single" w:color="auto" w:sz="4" w:space="0"/>
              <w:right w:val="single" w:color="000000" w:sz="4" w:space="0"/>
            </w:tcBorders>
            <w:shd w:val="clear" w:color="auto" w:fill="D9D9D9"/>
            <w:noWrap/>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项目说明</w:t>
            </w:r>
          </w:p>
        </w:tc>
      </w:tr>
      <w:tr>
        <w:tblPrEx>
          <w:tblCellMar>
            <w:top w:w="0" w:type="dxa"/>
            <w:left w:w="0" w:type="dxa"/>
            <w:bottom w:w="0" w:type="dxa"/>
            <w:right w:w="0" w:type="dxa"/>
          </w:tblCellMar>
        </w:tblPrEx>
        <w:trPr>
          <w:trHeight w:val="401"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sz w:val="24"/>
              </w:rPr>
              <w:t>1</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项目安排</w:t>
            </w: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sz w:val="24"/>
              </w:rPr>
              <w:t>培训主题</w:t>
            </w:r>
          </w:p>
        </w:tc>
        <w:tc>
          <w:tcPr>
            <w:tcW w:w="5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ind w:firstLine="0" w:firstLineChars="0"/>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.岗前培训以理想信念教育、国情民情教育、法制意识、相关业务政策、群众工作方式方法、基层工作所需通用基础知识和基本技能等为主要内容，帮助学员尽快完成角色转换，提高其基层工作生活适应能力；</w:t>
            </w:r>
          </w:p>
          <w:p>
            <w:pPr>
              <w:pStyle w:val="2"/>
              <w:ind w:firstLine="0" w:firstLineChars="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.在岗培训以基层公共服务基本理论</w:t>
            </w:r>
            <w:r>
              <w:rPr>
                <w:rFonts w:hint="eastAsia" w:ascii="仿宋_GB2312" w:hAnsi="仿宋" w:eastAsia="仿宋_GB2312"/>
                <w:sz w:val="24"/>
                <w:lang w:val="en-US" w:eastAsia="zh-CN"/>
              </w:rPr>
              <w:t>知识</w:t>
            </w:r>
            <w:r>
              <w:rPr>
                <w:rFonts w:ascii="仿宋_GB2312" w:hAnsi="仿宋" w:eastAsia="仿宋_GB2312"/>
                <w:sz w:val="24"/>
              </w:rPr>
              <w:t>、基本政策法规、社会管理和专门业务培训为主要内容，全面提高其适应基层岗位、服务基层的能力；</w:t>
            </w:r>
          </w:p>
          <w:p>
            <w:pPr>
              <w:pStyle w:val="2"/>
              <w:ind w:firstLine="0" w:firstLineChars="0"/>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.离岗培训以期满</w:t>
            </w:r>
            <w:r>
              <w:rPr>
                <w:rFonts w:hint="eastAsia" w:ascii="仿宋_GB2312" w:hAnsi="仿宋" w:eastAsia="仿宋_GB2312"/>
                <w:sz w:val="24"/>
                <w:lang w:val="en-US" w:eastAsia="zh-CN"/>
              </w:rPr>
              <w:t>安置</w:t>
            </w:r>
            <w:r>
              <w:rPr>
                <w:rFonts w:ascii="仿宋_GB2312" w:hAnsi="仿宋" w:eastAsia="仿宋_GB2312"/>
                <w:sz w:val="24"/>
              </w:rPr>
              <w:t>政策措施、就业形势分析、就业指导、创新创业政策等为主要内容，宣传鼓励多渠道流动的政策措施，提高期满人员就业创业能力；</w:t>
            </w:r>
          </w:p>
          <w:p>
            <w:pPr>
              <w:pStyle w:val="2"/>
              <w:ind w:firstLine="0" w:firstLineChars="0"/>
              <w:rPr>
                <w:rFonts w:ascii="仿宋_GB2312" w:hAnsi="仿宋" w:eastAsia="仿宋_GB2312"/>
                <w:sz w:val="24"/>
              </w:rPr>
            </w:pPr>
            <w:r>
              <w:rPr>
                <w:rFonts w:hint="eastAsia" w:ascii="仿宋_GB2312" w:hAnsi="仿宋" w:eastAsia="仿宋_GB2312"/>
                <w:sz w:val="24"/>
              </w:rPr>
              <w:t>4</w:t>
            </w:r>
            <w:r>
              <w:rPr>
                <w:rFonts w:ascii="仿宋_GB2312" w:hAnsi="仿宋" w:eastAsia="仿宋_GB2312"/>
                <w:sz w:val="24"/>
              </w:rPr>
              <w:t>.“红色加速营”培训</w:t>
            </w:r>
            <w:r>
              <w:rPr>
                <w:rFonts w:hint="eastAsia" w:ascii="仿宋_GB2312" w:hAnsi="仿宋" w:eastAsia="仿宋_GB2312"/>
                <w:sz w:val="24"/>
                <w:lang w:eastAsia="zh-CN"/>
              </w:rPr>
              <w:t>以党建为切入点，结</w:t>
            </w:r>
            <w:r>
              <w:rPr>
                <w:rFonts w:ascii="仿宋_GB2312" w:hAnsi="仿宋" w:eastAsia="仿宋_GB2312"/>
                <w:sz w:val="24"/>
              </w:rPr>
              <w:t>合支教、支医和乡村振兴</w:t>
            </w:r>
            <w:r>
              <w:rPr>
                <w:rFonts w:hint="eastAsia" w:ascii="仿宋_GB2312" w:hAnsi="仿宋" w:eastAsia="仿宋_GB2312"/>
                <w:sz w:val="24"/>
                <w:lang w:val="en-US" w:eastAsia="zh-CN"/>
              </w:rPr>
              <w:t>等</w:t>
            </w:r>
            <w:r>
              <w:rPr>
                <w:rFonts w:ascii="仿宋_GB2312" w:hAnsi="仿宋" w:eastAsia="仿宋_GB2312"/>
                <w:sz w:val="24"/>
              </w:rPr>
              <w:t>主题，帮助学员增强</w:t>
            </w:r>
            <w:r>
              <w:rPr>
                <w:rFonts w:hint="eastAsia" w:ascii="仿宋_GB2312" w:hAnsi="仿宋" w:eastAsia="仿宋_GB2312"/>
                <w:sz w:val="24"/>
                <w:lang w:eastAsia="zh-CN"/>
              </w:rPr>
              <w:t>党建意识、</w:t>
            </w:r>
            <w:r>
              <w:rPr>
                <w:rFonts w:ascii="仿宋_GB2312" w:hAnsi="仿宋" w:eastAsia="仿宋_GB2312"/>
                <w:sz w:val="24"/>
              </w:rPr>
              <w:t>专业技术和文化素养，</w:t>
            </w:r>
            <w:r>
              <w:rPr>
                <w:rFonts w:hint="eastAsia" w:ascii="仿宋_GB2312" w:hAnsi="仿宋" w:eastAsia="仿宋_GB2312"/>
                <w:sz w:val="24"/>
                <w:lang w:eastAsia="zh-CN"/>
              </w:rPr>
              <w:t>不断</w:t>
            </w:r>
            <w:r>
              <w:rPr>
                <w:rFonts w:ascii="仿宋_GB2312" w:hAnsi="仿宋" w:eastAsia="仿宋_GB2312"/>
                <w:sz w:val="24"/>
              </w:rPr>
              <w:t>提高基层服务能力。</w:t>
            </w:r>
          </w:p>
        </w:tc>
      </w:tr>
      <w:tr>
        <w:tblPrEx>
          <w:tblCellMar>
            <w:top w:w="0" w:type="dxa"/>
            <w:left w:w="0" w:type="dxa"/>
            <w:bottom w:w="0" w:type="dxa"/>
            <w:right w:w="0" w:type="dxa"/>
          </w:tblCellMar>
        </w:tblPrEx>
        <w:trPr>
          <w:trHeight w:val="684" w:hRule="atLeast"/>
        </w:trPr>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sz w:val="24"/>
              </w:rPr>
              <w:t>2</w:t>
            </w: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sz w:val="24"/>
              </w:rPr>
              <w:t>课程安排</w:t>
            </w:r>
          </w:p>
        </w:tc>
        <w:tc>
          <w:tcPr>
            <w:tcW w:w="5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ind w:firstLine="0" w:firstLineChars="0"/>
              <w:rPr>
                <w:rFonts w:ascii="仿宋_GB2312" w:hAnsi="仿宋" w:eastAsia="仿宋_GB2312"/>
                <w:sz w:val="24"/>
              </w:rPr>
            </w:pPr>
            <w:r>
              <w:rPr>
                <w:rFonts w:ascii="仿宋_GB2312" w:hAnsi="仿宋" w:eastAsia="仿宋_GB2312"/>
                <w:sz w:val="24"/>
              </w:rPr>
              <w:t>1</w:t>
            </w:r>
            <w:r>
              <w:rPr>
                <w:rFonts w:hint="eastAsia" w:ascii="仿宋_GB2312" w:hAnsi="仿宋" w:eastAsia="仿宋_GB2312"/>
                <w:sz w:val="24"/>
              </w:rPr>
              <w:t>.培训</w:t>
            </w:r>
            <w:r>
              <w:rPr>
                <w:rFonts w:hint="eastAsia" w:ascii="仿宋_GB2312" w:hAnsi="仿宋" w:eastAsia="仿宋_GB2312"/>
                <w:sz w:val="24"/>
                <w:lang w:eastAsia="zh-CN"/>
              </w:rPr>
              <w:t>时间按照省市相关文件规定，</w:t>
            </w:r>
            <w:r>
              <w:rPr>
                <w:rFonts w:hint="eastAsia" w:ascii="仿宋_GB2312" w:hAnsi="仿宋" w:eastAsia="仿宋_GB2312"/>
                <w:sz w:val="24"/>
                <w:lang w:val="en-US" w:eastAsia="zh-CN"/>
              </w:rPr>
              <w:t>在岗培训</w:t>
            </w:r>
            <w:r>
              <w:rPr>
                <w:rFonts w:hint="eastAsia" w:ascii="仿宋_GB2312" w:hAnsi="仿宋" w:eastAsia="仿宋_GB2312"/>
                <w:sz w:val="24"/>
              </w:rPr>
              <w:t>每期不少于</w:t>
            </w:r>
            <w:r>
              <w:rPr>
                <w:rFonts w:hint="eastAsia" w:ascii="仿宋_GB2312" w:hAnsi="仿宋" w:eastAsia="仿宋_GB2312"/>
                <w:sz w:val="24"/>
                <w:lang w:val="en-US" w:eastAsia="zh-CN"/>
              </w:rPr>
              <w:t>3</w:t>
            </w:r>
            <w:r>
              <w:rPr>
                <w:rFonts w:ascii="仿宋_GB2312" w:hAnsi="仿宋" w:eastAsia="仿宋_GB2312"/>
                <w:sz w:val="24"/>
              </w:rPr>
              <w:t>天</w:t>
            </w:r>
            <w:r>
              <w:rPr>
                <w:rFonts w:hint="eastAsia" w:ascii="仿宋_GB2312" w:hAnsi="仿宋" w:eastAsia="仿宋_GB2312"/>
                <w:sz w:val="24"/>
              </w:rPr>
              <w:t>，</w:t>
            </w:r>
            <w:r>
              <w:rPr>
                <w:rFonts w:hint="eastAsia" w:ascii="仿宋_GB2312" w:hAnsi="仿宋" w:eastAsia="仿宋_GB2312"/>
                <w:sz w:val="24"/>
                <w:lang w:val="en-US" w:eastAsia="zh-CN"/>
              </w:rPr>
              <w:t>其余培训每期不少于2天</w:t>
            </w:r>
            <w:r>
              <w:rPr>
                <w:rFonts w:hint="eastAsia" w:ascii="仿宋_GB2312" w:hAnsi="仿宋" w:eastAsia="仿宋_GB2312"/>
                <w:sz w:val="24"/>
                <w:lang w:eastAsia="zh-CN"/>
              </w:rPr>
              <w:t>；</w:t>
            </w:r>
          </w:p>
          <w:p>
            <w:pPr>
              <w:pStyle w:val="2"/>
              <w:ind w:firstLine="0" w:firstLineChars="0"/>
              <w:rPr>
                <w:rFonts w:ascii="仿宋_GB2312" w:hAnsi="仿宋" w:eastAsia="仿宋_GB2312"/>
                <w:sz w:val="24"/>
              </w:rPr>
            </w:pPr>
            <w:r>
              <w:rPr>
                <w:rFonts w:ascii="仿宋_GB2312" w:hAnsi="仿宋" w:eastAsia="仿宋_GB2312"/>
                <w:sz w:val="24"/>
              </w:rPr>
              <w:t>2.</w:t>
            </w:r>
            <w:r>
              <w:rPr>
                <w:rFonts w:hint="eastAsia" w:ascii="仿宋_GB2312" w:hAnsi="仿宋" w:eastAsia="仿宋_GB2312"/>
                <w:sz w:val="24"/>
              </w:rPr>
              <w:t>培训期间须组织开展1-2堂实践参观教学活动或拓展活动，不限室内室外，以互相熟悉、培养群体合作精神为主；</w:t>
            </w:r>
          </w:p>
          <w:p>
            <w:pPr>
              <w:widowControl/>
              <w:jc w:val="left"/>
              <w:textAlignment w:val="center"/>
              <w:rPr>
                <w:rFonts w:ascii="仿宋_GB2312" w:hAnsi="仿宋" w:eastAsia="仿宋_GB2312"/>
                <w:sz w:val="24"/>
              </w:rPr>
            </w:pPr>
            <w:r>
              <w:rPr>
                <w:rFonts w:hint="eastAsia" w:ascii="仿宋_GB2312" w:hAnsi="仿宋" w:eastAsia="仿宋_GB2312"/>
                <w:sz w:val="24"/>
              </w:rPr>
              <w:t>3</w:t>
            </w:r>
            <w:r>
              <w:rPr>
                <w:rFonts w:ascii="仿宋_GB2312" w:hAnsi="仿宋" w:eastAsia="仿宋_GB2312"/>
                <w:sz w:val="24"/>
              </w:rPr>
              <w:t>.培训</w:t>
            </w:r>
            <w:r>
              <w:rPr>
                <w:rFonts w:hint="eastAsia" w:ascii="仿宋_GB2312" w:hAnsi="仿宋" w:eastAsia="仿宋_GB2312"/>
                <w:sz w:val="24"/>
                <w:lang w:eastAsia="zh-CN"/>
              </w:rPr>
              <w:t>期间</w:t>
            </w:r>
            <w:r>
              <w:rPr>
                <w:rFonts w:hint="eastAsia" w:ascii="仿宋_GB2312" w:hAnsi="仿宋" w:eastAsia="仿宋_GB2312"/>
                <w:sz w:val="24"/>
              </w:rPr>
              <w:t>须安排红色教育</w:t>
            </w:r>
            <w:r>
              <w:rPr>
                <w:rFonts w:hint="eastAsia" w:ascii="仿宋_GB2312" w:hAnsi="仿宋" w:eastAsia="仿宋_GB2312"/>
                <w:sz w:val="24"/>
                <w:lang w:eastAsia="zh-CN"/>
              </w:rPr>
              <w:t>或乡村振兴等</w:t>
            </w:r>
            <w:r>
              <w:rPr>
                <w:rFonts w:hint="eastAsia" w:ascii="仿宋_GB2312" w:hAnsi="仿宋" w:eastAsia="仿宋_GB2312"/>
                <w:sz w:val="24"/>
              </w:rPr>
              <w:t>实践基地</w:t>
            </w:r>
            <w:r>
              <w:rPr>
                <w:rFonts w:hint="eastAsia" w:ascii="仿宋_GB2312" w:hAnsi="仿宋" w:eastAsia="仿宋_GB2312"/>
                <w:sz w:val="24"/>
                <w:lang w:eastAsia="zh-CN"/>
              </w:rPr>
              <w:t>调研</w:t>
            </w:r>
            <w:r>
              <w:rPr>
                <w:rFonts w:hint="eastAsia" w:ascii="仿宋_GB2312" w:hAnsi="仿宋" w:eastAsia="仿宋_GB2312"/>
                <w:sz w:val="24"/>
              </w:rPr>
              <w:t>学习；</w:t>
            </w:r>
          </w:p>
          <w:p>
            <w:pPr>
              <w:widowControl/>
              <w:jc w:val="left"/>
              <w:textAlignment w:val="center"/>
              <w:rPr>
                <w:rFonts w:hint="eastAsia" w:ascii="仿宋_GB2312" w:hAnsi="仿宋" w:eastAsia="仿宋_GB2312"/>
                <w:sz w:val="24"/>
              </w:rPr>
            </w:pPr>
            <w:r>
              <w:rPr>
                <w:rFonts w:hint="eastAsia" w:ascii="仿宋_GB2312" w:hAnsi="仿宋" w:eastAsia="仿宋_GB2312"/>
                <w:sz w:val="24"/>
              </w:rPr>
              <w:t>4</w:t>
            </w:r>
            <w:r>
              <w:rPr>
                <w:rFonts w:ascii="仿宋_GB2312" w:hAnsi="仿宋" w:eastAsia="仿宋_GB2312"/>
                <w:sz w:val="24"/>
              </w:rPr>
              <w:t>.按</w:t>
            </w:r>
            <w:r>
              <w:rPr>
                <w:rFonts w:hint="eastAsia" w:ascii="仿宋_GB2312" w:hAnsi="仿宋" w:eastAsia="仿宋_GB2312" w:cs="仿宋"/>
                <w:color w:val="000000"/>
                <w:kern w:val="0"/>
                <w:sz w:val="24"/>
              </w:rPr>
              <w:t>“三支一扶”</w:t>
            </w:r>
            <w:r>
              <w:rPr>
                <w:rFonts w:hint="eastAsia" w:ascii="仿宋_GB2312" w:hAnsi="仿宋" w:eastAsia="仿宋_GB2312"/>
                <w:sz w:val="24"/>
                <w:lang w:eastAsia="zh-CN"/>
              </w:rPr>
              <w:t>招募</w:t>
            </w:r>
            <w:r>
              <w:rPr>
                <w:rFonts w:ascii="仿宋_GB2312" w:hAnsi="仿宋" w:eastAsia="仿宋_GB2312"/>
                <w:sz w:val="24"/>
              </w:rPr>
              <w:t>情况，岗前培训可分</w:t>
            </w:r>
            <w:r>
              <w:rPr>
                <w:rFonts w:hint="eastAsia" w:ascii="仿宋_GB2312" w:hAnsi="仿宋" w:eastAsia="仿宋_GB2312"/>
                <w:sz w:val="24"/>
              </w:rPr>
              <w:t>批进行；</w:t>
            </w:r>
          </w:p>
          <w:p>
            <w:pPr>
              <w:widowControl/>
              <w:jc w:val="left"/>
              <w:textAlignment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w:t>
            </w:r>
            <w:r>
              <w:rPr>
                <w:rFonts w:hint="eastAsia" w:ascii="仿宋_GB2312" w:hAnsi="仿宋" w:eastAsia="仿宋_GB2312" w:cs="仿宋"/>
                <w:color w:val="000000"/>
                <w:kern w:val="0"/>
                <w:sz w:val="24"/>
                <w:lang w:eastAsia="zh-CN"/>
              </w:rPr>
              <w:t>双方协商的其他</w:t>
            </w:r>
            <w:r>
              <w:rPr>
                <w:rFonts w:hint="eastAsia" w:ascii="仿宋_GB2312" w:hAnsi="仿宋" w:eastAsia="仿宋_GB2312" w:cs="仿宋"/>
                <w:color w:val="000000"/>
                <w:kern w:val="0"/>
                <w:sz w:val="24"/>
              </w:rPr>
              <w:t>相关培训事宜。</w:t>
            </w:r>
          </w:p>
        </w:tc>
      </w:tr>
      <w:tr>
        <w:tblPrEx>
          <w:tblCellMar>
            <w:top w:w="0" w:type="dxa"/>
            <w:left w:w="0" w:type="dxa"/>
            <w:bottom w:w="0" w:type="dxa"/>
            <w:right w:w="0" w:type="dxa"/>
          </w:tblCellMar>
        </w:tblPrEx>
        <w:trPr>
          <w:trHeight w:val="684" w:hRule="atLeast"/>
        </w:trPr>
        <w:tc>
          <w:tcPr>
            <w:tcW w:w="8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sz w:val="24"/>
              </w:rPr>
              <w:t>3</w:t>
            </w:r>
          </w:p>
        </w:tc>
        <w:tc>
          <w:tcPr>
            <w:tcW w:w="1134"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组织实施</w:t>
            </w:r>
          </w:p>
        </w:tc>
        <w:tc>
          <w:tcPr>
            <w:tcW w:w="1418"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人员及食宿</w:t>
            </w:r>
          </w:p>
        </w:tc>
        <w:tc>
          <w:tcPr>
            <w:tcW w:w="552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1.202</w:t>
            </w:r>
            <w:r>
              <w:rPr>
                <w:rFonts w:hint="eastAsia" w:ascii="仿宋_GB2312" w:hAnsi="仿宋" w:eastAsia="仿宋_GB2312" w:cs="仿宋"/>
                <w:color w:val="000000"/>
                <w:kern w:val="0"/>
                <w:sz w:val="24"/>
                <w:lang w:val="en-US" w:eastAsia="zh-CN"/>
              </w:rPr>
              <w:t>2</w:t>
            </w:r>
            <w:r>
              <w:rPr>
                <w:rFonts w:hint="eastAsia" w:ascii="仿宋_GB2312" w:hAnsi="仿宋" w:eastAsia="仿宋_GB2312" w:cs="仿宋"/>
                <w:color w:val="000000"/>
                <w:kern w:val="0"/>
                <w:sz w:val="24"/>
              </w:rPr>
              <w:t>年岗前培训预计学员1</w:t>
            </w:r>
            <w:r>
              <w:rPr>
                <w:rFonts w:hint="eastAsia" w:ascii="仿宋_GB2312" w:hAnsi="仿宋" w:eastAsia="仿宋_GB2312" w:cs="仿宋"/>
                <w:color w:val="000000"/>
                <w:kern w:val="0"/>
                <w:sz w:val="24"/>
                <w:lang w:val="en-US" w:eastAsia="zh-CN"/>
              </w:rPr>
              <w:t>76</w:t>
            </w:r>
            <w:r>
              <w:rPr>
                <w:rFonts w:ascii="仿宋_GB2312" w:hAnsi="仿宋" w:eastAsia="仿宋_GB2312" w:cs="仿宋"/>
                <w:color w:val="000000"/>
                <w:kern w:val="0"/>
                <w:sz w:val="24"/>
              </w:rPr>
              <w:t>名，在岗培训预计学员</w:t>
            </w:r>
            <w:r>
              <w:rPr>
                <w:rFonts w:hint="eastAsia" w:ascii="仿宋_GB2312" w:hAnsi="仿宋" w:eastAsia="仿宋_GB2312" w:cs="仿宋"/>
                <w:color w:val="000000"/>
                <w:kern w:val="0"/>
                <w:sz w:val="24"/>
              </w:rPr>
              <w:t>11</w:t>
            </w:r>
            <w:r>
              <w:rPr>
                <w:rFonts w:hint="eastAsia" w:ascii="仿宋_GB2312" w:hAnsi="仿宋" w:eastAsia="仿宋_GB2312" w:cs="仿宋"/>
                <w:color w:val="000000"/>
                <w:kern w:val="0"/>
                <w:sz w:val="24"/>
                <w:lang w:val="en-US" w:eastAsia="zh-CN"/>
              </w:rPr>
              <w:t>6</w:t>
            </w:r>
            <w:r>
              <w:rPr>
                <w:rFonts w:ascii="仿宋_GB2312" w:hAnsi="仿宋" w:eastAsia="仿宋_GB2312" w:cs="仿宋"/>
                <w:color w:val="000000"/>
                <w:kern w:val="0"/>
                <w:sz w:val="24"/>
              </w:rPr>
              <w:t>名；</w:t>
            </w:r>
            <w:r>
              <w:rPr>
                <w:rFonts w:hint="eastAsia" w:ascii="仿宋_GB2312" w:hAnsi="仿宋" w:eastAsia="仿宋_GB2312" w:cs="仿宋"/>
                <w:color w:val="000000"/>
                <w:kern w:val="0"/>
                <w:sz w:val="24"/>
                <w:lang w:val="en-US" w:eastAsia="zh-CN"/>
              </w:rPr>
              <w:t>2023年离岗培训预计学员116名；</w:t>
            </w:r>
            <w:r>
              <w:rPr>
                <w:rFonts w:ascii="仿宋_GB2312" w:hAnsi="仿宋" w:eastAsia="仿宋_GB2312" w:cs="仿宋"/>
                <w:color w:val="000000"/>
                <w:kern w:val="0"/>
                <w:sz w:val="24"/>
              </w:rPr>
              <w:t>“红色加速营”培训预计学员2</w:t>
            </w:r>
            <w:r>
              <w:rPr>
                <w:rFonts w:hint="eastAsia" w:ascii="仿宋_GB2312" w:hAnsi="仿宋" w:eastAsia="仿宋_GB2312" w:cs="仿宋"/>
                <w:color w:val="000000"/>
                <w:kern w:val="0"/>
                <w:sz w:val="24"/>
                <w:lang w:val="en-US" w:eastAsia="zh-CN"/>
              </w:rPr>
              <w:t>92</w:t>
            </w:r>
            <w:r>
              <w:rPr>
                <w:rFonts w:ascii="仿宋_GB2312" w:hAnsi="仿宋" w:eastAsia="仿宋_GB2312" w:cs="仿宋"/>
                <w:color w:val="000000"/>
                <w:kern w:val="0"/>
                <w:sz w:val="24"/>
              </w:rPr>
              <w:t>名；</w:t>
            </w:r>
          </w:p>
          <w:p>
            <w:pPr>
              <w:widowControl/>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t>2.</w:t>
            </w:r>
            <w:r>
              <w:rPr>
                <w:rFonts w:hint="eastAsia" w:ascii="仿宋_GB2312" w:hAnsi="仿宋" w:eastAsia="仿宋_GB2312" w:cs="仿宋"/>
                <w:color w:val="000000"/>
                <w:kern w:val="0"/>
                <w:sz w:val="24"/>
              </w:rPr>
              <w:t>住宿：培训学员安排双人间住宿，专家、导师须安排单人间，包含并不限于培训举办前一晚住宿；</w:t>
            </w:r>
          </w:p>
          <w:p>
            <w:pPr>
              <w:widowControl/>
              <w:jc w:val="left"/>
              <w:textAlignment w:val="center"/>
              <w:rPr>
                <w:rFonts w:ascii="仿宋_GB2312" w:hAnsi="仿宋" w:eastAsia="仿宋_GB2312" w:cs="仿宋"/>
                <w:color w:val="000000"/>
                <w:sz w:val="24"/>
              </w:rPr>
            </w:pPr>
            <w:r>
              <w:rPr>
                <w:rFonts w:ascii="仿宋_GB2312" w:hAnsi="仿宋" w:eastAsia="仿宋_GB2312" w:cs="仿宋"/>
                <w:color w:val="000000"/>
                <w:kern w:val="0"/>
                <w:sz w:val="24"/>
              </w:rPr>
              <w:t>3.餐食：</w:t>
            </w:r>
            <w:r>
              <w:rPr>
                <w:rFonts w:hint="eastAsia" w:ascii="仿宋_GB2312" w:hAnsi="仿宋" w:eastAsia="仿宋_GB2312" w:cs="仿宋"/>
                <w:color w:val="000000"/>
                <w:kern w:val="0"/>
                <w:sz w:val="24"/>
              </w:rPr>
              <w:t>具体人数根据实际学员和专家、导师数量确定。包含并不限于培训举办前一天晚餐、培训日的早、午、晚餐；60</w:t>
            </w:r>
            <w:r>
              <w:rPr>
                <w:rFonts w:ascii="仿宋_GB2312" w:hAnsi="仿宋" w:eastAsia="仿宋_GB2312" w:cs="仿宋"/>
                <w:color w:val="000000"/>
                <w:kern w:val="0"/>
                <w:sz w:val="24"/>
              </w:rPr>
              <w:t>人或以上的午餐和晚餐</w:t>
            </w:r>
            <w:r>
              <w:rPr>
                <w:rFonts w:hint="eastAsia" w:ascii="仿宋_GB2312" w:hAnsi="仿宋" w:eastAsia="仿宋_GB2312" w:cs="仿宋"/>
                <w:color w:val="000000"/>
                <w:kern w:val="0"/>
                <w:sz w:val="24"/>
                <w:lang w:eastAsia="zh-CN"/>
              </w:rPr>
              <w:t>可</w:t>
            </w:r>
            <w:r>
              <w:rPr>
                <w:rFonts w:ascii="仿宋_GB2312" w:hAnsi="仿宋" w:eastAsia="仿宋_GB2312" w:cs="仿宋"/>
                <w:color w:val="000000"/>
                <w:kern w:val="0"/>
                <w:sz w:val="24"/>
              </w:rPr>
              <w:t>安排自助餐。</w:t>
            </w:r>
          </w:p>
        </w:tc>
      </w:tr>
      <w:tr>
        <w:tblPrEx>
          <w:tblCellMar>
            <w:top w:w="0" w:type="dxa"/>
            <w:left w:w="0" w:type="dxa"/>
            <w:bottom w:w="0" w:type="dxa"/>
            <w:right w:w="0" w:type="dxa"/>
          </w:tblCellMar>
        </w:tblPrEx>
        <w:trPr>
          <w:trHeight w:val="92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sz w:val="24"/>
              </w:rPr>
              <w:t>4</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 w:eastAsia="仿宋_GB2312" w:cs="仿宋"/>
                <w:color w:val="00000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场地要求</w:t>
            </w:r>
          </w:p>
        </w:tc>
        <w:tc>
          <w:tcPr>
            <w:tcW w:w="5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1</w:t>
            </w:r>
            <w:r>
              <w:rPr>
                <w:rFonts w:ascii="仿宋_GB2312" w:hAnsi="仿宋" w:eastAsia="仿宋_GB2312" w:cs="仿宋"/>
                <w:color w:val="000000"/>
                <w:kern w:val="0"/>
                <w:sz w:val="24"/>
              </w:rPr>
              <w:t>.</w:t>
            </w:r>
            <w:r>
              <w:rPr>
                <w:rFonts w:hint="eastAsia" w:ascii="仿宋_GB2312" w:hAnsi="仿宋" w:eastAsia="仿宋_GB2312" w:cs="仿宋"/>
                <w:color w:val="000000"/>
                <w:kern w:val="0"/>
                <w:sz w:val="24"/>
              </w:rPr>
              <w:t>每期培训班授课、住宿和用餐须在同一酒店；</w:t>
            </w:r>
          </w:p>
          <w:p>
            <w:pPr>
              <w:pStyle w:val="2"/>
              <w:ind w:firstLine="0" w:firstLineChars="0"/>
            </w:pPr>
            <w:r>
              <w:rPr>
                <w:rFonts w:hint="eastAsia" w:ascii="仿宋_GB2312" w:hAnsi="仿宋" w:eastAsia="仿宋_GB2312"/>
                <w:sz w:val="24"/>
              </w:rPr>
              <w:t>2.培训场地必须能安排当次参训人员开展培训活动；</w:t>
            </w:r>
          </w:p>
          <w:p>
            <w:pPr>
              <w:widowControl/>
              <w:jc w:val="left"/>
              <w:textAlignment w:val="center"/>
              <w:rPr>
                <w:rFonts w:ascii="仿宋_GB2312" w:hAnsi="仿宋" w:eastAsia="仿宋_GB2312" w:cs="仿宋"/>
                <w:color w:val="000000"/>
                <w:sz w:val="24"/>
              </w:rPr>
            </w:pPr>
            <w:r>
              <w:rPr>
                <w:rFonts w:hint="eastAsia" w:ascii="仿宋_GB2312" w:hAnsi="仿宋" w:eastAsia="仿宋_GB2312"/>
                <w:sz w:val="24"/>
              </w:rPr>
              <w:t>3.根据授课和疫情防控要求安排授课会场。</w:t>
            </w:r>
          </w:p>
        </w:tc>
      </w:tr>
      <w:tr>
        <w:tblPrEx>
          <w:tblCellMar>
            <w:top w:w="0" w:type="dxa"/>
            <w:left w:w="0" w:type="dxa"/>
            <w:bottom w:w="0" w:type="dxa"/>
            <w:right w:w="0" w:type="dxa"/>
          </w:tblCellMar>
        </w:tblPrEx>
        <w:trPr>
          <w:trHeight w:val="80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5</w:t>
            </w:r>
          </w:p>
        </w:tc>
        <w:tc>
          <w:tcPr>
            <w:tcW w:w="113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 w:eastAsia="仿宋_GB2312" w:cs="仿宋"/>
                <w:color w:val="000000"/>
                <w:kern w:val="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外聘人员</w:t>
            </w:r>
          </w:p>
        </w:tc>
        <w:tc>
          <w:tcPr>
            <w:tcW w:w="5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 w:eastAsia="仿宋_GB2312" w:cs="仿宋"/>
                <w:color w:val="000000"/>
                <w:kern w:val="0"/>
                <w:sz w:val="24"/>
                <w:lang w:val="en-US" w:eastAsia="zh-CN"/>
              </w:rPr>
            </w:pPr>
            <w:r>
              <w:rPr>
                <w:rFonts w:hint="eastAsia" w:ascii="仿宋_GB2312" w:hAnsi="仿宋" w:eastAsia="仿宋_GB2312" w:cs="仿宋"/>
                <w:color w:val="000000"/>
                <w:kern w:val="0"/>
                <w:sz w:val="24"/>
              </w:rPr>
              <w:t>包括按要求聘请所有</w:t>
            </w:r>
            <w:r>
              <w:rPr>
                <w:rFonts w:hint="eastAsia" w:ascii="仿宋_GB2312" w:hAnsi="仿宋" w:eastAsia="仿宋_GB2312" w:cs="仿宋"/>
                <w:color w:val="000000"/>
                <w:kern w:val="0"/>
                <w:sz w:val="24"/>
                <w:lang w:val="en-US" w:eastAsia="zh-CN"/>
              </w:rPr>
              <w:t>培训</w:t>
            </w:r>
            <w:r>
              <w:rPr>
                <w:rFonts w:hint="eastAsia" w:ascii="仿宋_GB2312" w:hAnsi="仿宋" w:eastAsia="仿宋_GB2312" w:cs="仿宋"/>
                <w:color w:val="000000"/>
                <w:kern w:val="0"/>
                <w:sz w:val="24"/>
              </w:rPr>
              <w:t>活动的专家、导师以及培训期间的有关工作人员等。</w:t>
            </w:r>
            <w:r>
              <w:rPr>
                <w:rFonts w:hint="eastAsia" w:ascii="仿宋_GB2312" w:hAnsi="仿宋" w:eastAsia="仿宋_GB2312" w:cs="仿宋"/>
                <w:color w:val="000000"/>
                <w:kern w:val="0"/>
                <w:sz w:val="24"/>
                <w:lang w:val="en-US" w:eastAsia="zh-CN"/>
              </w:rPr>
              <w:t>其中，为保障培训效果，重点明确培训供应商应保证每期培训邀请不少于3名专家，专家须来自省内外重点高校的副教授级别或以上，其他专家须是副高级职称或省内外知名专家，所有课题均需结合“三支一扶”、培训需求进行量身定制培训课程，确保教学质量满足培训目的。</w:t>
            </w:r>
          </w:p>
        </w:tc>
      </w:tr>
      <w:tr>
        <w:tblPrEx>
          <w:tblCellMar>
            <w:top w:w="0" w:type="dxa"/>
            <w:left w:w="0" w:type="dxa"/>
            <w:bottom w:w="0" w:type="dxa"/>
            <w:right w:w="0" w:type="dxa"/>
          </w:tblCellMar>
        </w:tblPrEx>
        <w:trPr>
          <w:trHeight w:val="80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6</w:t>
            </w:r>
          </w:p>
        </w:tc>
        <w:tc>
          <w:tcPr>
            <w:tcW w:w="113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 w:eastAsia="仿宋_GB2312" w:cs="仿宋"/>
                <w:color w:val="000000"/>
                <w:kern w:val="0"/>
                <w:sz w:val="24"/>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后勤保障</w:t>
            </w:r>
          </w:p>
        </w:tc>
        <w:tc>
          <w:tcPr>
            <w:tcW w:w="5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培训过程中的文具、资料、交通、疫情防控物资，以及关于培训的其他相关安排。</w:t>
            </w:r>
          </w:p>
        </w:tc>
      </w:tr>
      <w:tr>
        <w:tblPrEx>
          <w:tblCellMar>
            <w:top w:w="0" w:type="dxa"/>
            <w:left w:w="0" w:type="dxa"/>
            <w:bottom w:w="0" w:type="dxa"/>
            <w:right w:w="0" w:type="dxa"/>
          </w:tblCellMar>
        </w:tblPrEx>
        <w:trPr>
          <w:trHeight w:val="317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sz w:val="24"/>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宣传</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创作、发布</w:t>
            </w:r>
          </w:p>
        </w:tc>
        <w:tc>
          <w:tcPr>
            <w:tcW w:w="5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1.制作1个短视频，根据“三支一扶”各环节培训，拍摄团建、户外拓展、学习参观等环节暖心、热情画面，策划“乡村振兴基层使者”短视频，营造“三支一扶”工作人员良好氛围，突出贡献、奋斗、积极等情感抒发；</w:t>
            </w:r>
          </w:p>
          <w:p>
            <w:pPr>
              <w:widowControl/>
              <w:jc w:val="left"/>
              <w:textAlignment w:val="center"/>
              <w:rPr>
                <w:rFonts w:hint="eastAsia" w:ascii="仿宋_GB2312" w:hAnsi="仿宋" w:eastAsia="仿宋_GB2312" w:cs="仿宋"/>
                <w:color w:val="000000"/>
                <w:kern w:val="0"/>
                <w:sz w:val="24"/>
                <w:lang w:eastAsia="zh-CN"/>
              </w:rPr>
            </w:pPr>
            <w:r>
              <w:rPr>
                <w:rFonts w:hint="eastAsia" w:ascii="仿宋_GB2312" w:hAnsi="仿宋" w:eastAsia="仿宋_GB2312" w:cs="仿宋"/>
                <w:color w:val="000000"/>
                <w:kern w:val="0"/>
                <w:sz w:val="24"/>
              </w:rPr>
              <w:t>2.针对各环节培训及最美基层高校毕业生典型，展开“三支一扶”人员及有关工作报道，打造202</w:t>
            </w:r>
            <w:r>
              <w:rPr>
                <w:rFonts w:hint="eastAsia" w:ascii="仿宋_GB2312" w:hAnsi="仿宋" w:eastAsia="仿宋_GB2312" w:cs="仿宋"/>
                <w:color w:val="000000"/>
                <w:kern w:val="0"/>
                <w:sz w:val="24"/>
                <w:lang w:val="en-US" w:eastAsia="zh-CN"/>
              </w:rPr>
              <w:t>2</w:t>
            </w:r>
            <w:r>
              <w:rPr>
                <w:rFonts w:hint="eastAsia" w:ascii="仿宋_GB2312" w:hAnsi="仿宋" w:eastAsia="仿宋_GB2312" w:cs="仿宋"/>
                <w:color w:val="000000"/>
                <w:kern w:val="0"/>
                <w:sz w:val="24"/>
              </w:rPr>
              <w:t>年持续不间断宣传矩阵，塑造江门“三支一扶”良好形象</w:t>
            </w:r>
            <w:r>
              <w:rPr>
                <w:rFonts w:hint="eastAsia" w:ascii="仿宋_GB2312" w:hAnsi="仿宋" w:eastAsia="仿宋_GB2312" w:cs="仿宋"/>
                <w:color w:val="000000"/>
                <w:kern w:val="0"/>
                <w:sz w:val="24"/>
                <w:lang w:eastAsia="zh-CN"/>
              </w:rPr>
              <w:t>；</w:t>
            </w:r>
          </w:p>
          <w:p>
            <w:pPr>
              <w:widowControl/>
              <w:jc w:val="left"/>
              <w:textAlignment w:val="center"/>
              <w:rPr>
                <w:rFonts w:hint="default" w:eastAsia="仿宋_GB2312"/>
                <w:lang w:val="en-US" w:eastAsia="zh-CN"/>
              </w:rPr>
            </w:pPr>
            <w:r>
              <w:rPr>
                <w:rFonts w:hint="eastAsia" w:ascii="仿宋_GB2312" w:hAnsi="仿宋" w:eastAsia="仿宋_GB2312" w:cs="仿宋"/>
                <w:color w:val="000000"/>
                <w:kern w:val="0"/>
                <w:sz w:val="24"/>
                <w:lang w:val="en-US" w:eastAsia="zh-CN"/>
              </w:rPr>
              <w:t>3.制作1个不少于3分钟的“三支一扶”宣传片，介绍近年我市“三支一扶”政策、工作成效等内容。</w:t>
            </w:r>
          </w:p>
        </w:tc>
      </w:tr>
    </w:tbl>
    <w:p>
      <w:pPr>
        <w:pStyle w:val="2"/>
        <w:ind w:firstLine="640"/>
        <w:rPr>
          <w:rFonts w:hint="eastAsia" w:ascii="仿宋_GB2312" w:hAnsi="黑体" w:eastAsia="仿宋_GB2312"/>
          <w:sz w:val="32"/>
          <w:szCs w:val="32"/>
        </w:rPr>
      </w:pPr>
      <w:r>
        <w:rPr>
          <w:rFonts w:hint="eastAsia" w:ascii="仿宋_GB2312" w:hAnsi="黑体" w:eastAsia="仿宋_GB2312"/>
          <w:sz w:val="32"/>
          <w:szCs w:val="32"/>
        </w:rPr>
        <w:t>以上项目所产生费用均为项目全包费用（含税）。</w:t>
      </w:r>
    </w:p>
    <w:p>
      <w:pPr>
        <w:pStyle w:val="2"/>
        <w:ind w:firstLine="640"/>
        <w:rPr>
          <w:rFonts w:ascii="黑体" w:hAnsi="黑体" w:eastAsia="黑体"/>
          <w:sz w:val="32"/>
          <w:szCs w:val="32"/>
        </w:rPr>
      </w:pPr>
      <w:r>
        <w:rPr>
          <w:rFonts w:hint="eastAsia" w:ascii="黑体" w:hAnsi="黑体" w:eastAsia="黑体"/>
          <w:sz w:val="32"/>
          <w:szCs w:val="32"/>
        </w:rPr>
        <w:t>五、项目实施地点、服务期限</w:t>
      </w:r>
    </w:p>
    <w:p>
      <w:pPr>
        <w:pStyle w:val="2"/>
        <w:ind w:firstLine="640"/>
        <w:rPr>
          <w:rFonts w:hint="eastAsia" w:ascii="仿宋_GB2312" w:eastAsia="仿宋_GB2312"/>
          <w:sz w:val="32"/>
          <w:szCs w:val="32"/>
        </w:rPr>
      </w:pPr>
      <w:r>
        <w:rPr>
          <w:rFonts w:hint="eastAsia" w:ascii="仿宋_GB2312" w:eastAsia="仿宋_GB2312"/>
          <w:sz w:val="32"/>
          <w:szCs w:val="32"/>
        </w:rPr>
        <w:t>地点：广东省江门市</w:t>
      </w:r>
    </w:p>
    <w:p>
      <w:pPr>
        <w:pStyle w:val="2"/>
        <w:ind w:firstLine="640"/>
        <w:rPr>
          <w:rFonts w:hint="eastAsia" w:ascii="仿宋_GB2312" w:eastAsia="仿宋_GB2312"/>
          <w:sz w:val="32"/>
          <w:szCs w:val="32"/>
        </w:rPr>
      </w:pPr>
      <w:r>
        <w:rPr>
          <w:rFonts w:hint="eastAsia" w:ascii="仿宋_GB2312" w:eastAsia="仿宋_GB2312"/>
          <w:sz w:val="32"/>
          <w:szCs w:val="32"/>
        </w:rPr>
        <w:t>服务期限：由采购人和供应商在签订合同时约定</w:t>
      </w:r>
    </w:p>
    <w:p>
      <w:pPr>
        <w:pStyle w:val="2"/>
        <w:ind w:firstLine="640"/>
        <w:rPr>
          <w:rFonts w:hint="eastAsia" w:ascii="黑体" w:hAnsi="黑体" w:eastAsia="黑体"/>
          <w:sz w:val="32"/>
          <w:szCs w:val="32"/>
        </w:rPr>
      </w:pPr>
      <w:r>
        <w:rPr>
          <w:rFonts w:hint="eastAsia" w:ascii="黑体" w:hAnsi="黑体" w:eastAsia="黑体"/>
          <w:sz w:val="32"/>
          <w:szCs w:val="32"/>
        </w:rPr>
        <w:t>六、对响应人的资格条件要求</w:t>
      </w:r>
    </w:p>
    <w:p>
      <w:pPr>
        <w:pStyle w:val="2"/>
        <w:ind w:firstLine="640"/>
        <w:rPr>
          <w:rFonts w:hint="eastAsia" w:ascii="仿宋_GB2312" w:eastAsia="仿宋_GB2312"/>
          <w:sz w:val="32"/>
          <w:szCs w:val="32"/>
        </w:rPr>
      </w:pPr>
      <w:r>
        <w:rPr>
          <w:rFonts w:hint="eastAsia" w:ascii="仿宋_GB2312" w:eastAsia="仿宋_GB2312"/>
          <w:sz w:val="32"/>
          <w:szCs w:val="32"/>
        </w:rPr>
        <w:t>（一）响应人应当具备《政府采购法》第二十二条规定的条件；</w:t>
      </w:r>
    </w:p>
    <w:p>
      <w:pPr>
        <w:pStyle w:val="2"/>
        <w:ind w:firstLine="640"/>
        <w:rPr>
          <w:rFonts w:hint="eastAsia" w:ascii="仿宋_GB2312" w:eastAsia="仿宋_GB2312"/>
          <w:sz w:val="32"/>
          <w:szCs w:val="32"/>
        </w:rPr>
      </w:pPr>
      <w:r>
        <w:rPr>
          <w:rFonts w:hint="eastAsia" w:ascii="仿宋_GB2312" w:eastAsia="仿宋_GB2312"/>
          <w:sz w:val="32"/>
          <w:szCs w:val="32"/>
        </w:rPr>
        <w:t>（二）响应人应当是具有合法经营资格的法人或者其他组织，且具有良好的信誉；</w:t>
      </w:r>
    </w:p>
    <w:p>
      <w:pPr>
        <w:pStyle w:val="2"/>
        <w:ind w:firstLine="640"/>
        <w:rPr>
          <w:rFonts w:hint="eastAsia" w:ascii="仿宋_GB2312" w:eastAsia="仿宋_GB2312"/>
          <w:sz w:val="32"/>
          <w:szCs w:val="32"/>
        </w:rPr>
      </w:pPr>
      <w:r>
        <w:rPr>
          <w:rFonts w:hint="eastAsia" w:ascii="仿宋_GB2312" w:eastAsia="仿宋_GB2312"/>
          <w:sz w:val="32"/>
          <w:szCs w:val="32"/>
        </w:rPr>
        <w:t>（三）响应人未被列入“信用中国”网站“记录失信被执行人或重大税收违法案件当事人名单或政府采购严重违法失信行为记录名单；不处于中国政府采购网(www.ccgp.gov.cn)“政府采购严重违法失信行为信息记录”中的禁止参加政府采购活动期间；</w:t>
      </w:r>
    </w:p>
    <w:p>
      <w:pPr>
        <w:pStyle w:val="2"/>
        <w:ind w:firstLine="640"/>
        <w:rPr>
          <w:rFonts w:hint="eastAsia" w:ascii="仿宋_GB2312" w:eastAsia="仿宋_GB2312"/>
          <w:sz w:val="32"/>
          <w:szCs w:val="32"/>
        </w:rPr>
      </w:pPr>
      <w:r>
        <w:rPr>
          <w:rFonts w:hint="eastAsia" w:ascii="仿宋_GB2312" w:eastAsia="仿宋_GB2312"/>
          <w:sz w:val="32"/>
          <w:szCs w:val="32"/>
        </w:rPr>
        <w:t>（四）单位负责人为同一人或者存在直接控股、管理关系的不同供应商，不得参加同一合同项下的政府采购活动；</w:t>
      </w:r>
    </w:p>
    <w:p>
      <w:pPr>
        <w:pStyle w:val="2"/>
        <w:ind w:firstLine="640"/>
        <w:rPr>
          <w:rFonts w:hint="eastAsia" w:ascii="仿宋_GB2312" w:eastAsia="仿宋_GB2312"/>
          <w:sz w:val="32"/>
          <w:szCs w:val="32"/>
        </w:rPr>
      </w:pPr>
      <w:r>
        <w:rPr>
          <w:rFonts w:hint="eastAsia" w:ascii="仿宋_GB2312" w:eastAsia="仿宋_GB2312"/>
          <w:sz w:val="32"/>
          <w:szCs w:val="32"/>
        </w:rPr>
        <w:t>（五）本项目不接受联合体响应。</w:t>
      </w:r>
    </w:p>
    <w:p>
      <w:pPr>
        <w:pStyle w:val="2"/>
        <w:ind w:firstLine="640"/>
        <w:rPr>
          <w:rFonts w:hint="eastAsia" w:ascii="黑体" w:hAnsi="黑体" w:eastAsia="黑体"/>
          <w:sz w:val="32"/>
          <w:szCs w:val="32"/>
        </w:rPr>
      </w:pPr>
      <w:r>
        <w:rPr>
          <w:rFonts w:hint="eastAsia" w:ascii="黑体" w:hAnsi="黑体" w:eastAsia="黑体"/>
          <w:sz w:val="32"/>
          <w:szCs w:val="32"/>
        </w:rPr>
        <w:t>七、付款方式</w:t>
      </w:r>
    </w:p>
    <w:p>
      <w:pPr>
        <w:pStyle w:val="2"/>
        <w:ind w:firstLine="640"/>
        <w:rPr>
          <w:rFonts w:hint="eastAsia" w:ascii="仿宋_GB2312" w:eastAsia="仿宋_GB2312"/>
          <w:sz w:val="32"/>
          <w:szCs w:val="32"/>
        </w:rPr>
      </w:pPr>
      <w:r>
        <w:rPr>
          <w:rFonts w:hint="eastAsia" w:ascii="仿宋_GB2312" w:eastAsia="仿宋_GB2312"/>
          <w:sz w:val="32"/>
          <w:szCs w:val="32"/>
        </w:rPr>
        <w:t>由采购人和供应商在签订合同时约定。</w:t>
      </w:r>
    </w:p>
    <w:p>
      <w:pPr>
        <w:pStyle w:val="2"/>
        <w:ind w:firstLine="64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NTU5MDE4Y2EwNWQ5YjdjYTY1ZDFiOTUzMjkwNDgifQ=="/>
  </w:docVars>
  <w:rsids>
    <w:rsidRoot w:val="001E796C"/>
    <w:rsid w:val="000033B4"/>
    <w:rsid w:val="001E796C"/>
    <w:rsid w:val="00206F14"/>
    <w:rsid w:val="00272834"/>
    <w:rsid w:val="00273CB5"/>
    <w:rsid w:val="0028163F"/>
    <w:rsid w:val="003C6652"/>
    <w:rsid w:val="004D765C"/>
    <w:rsid w:val="00900DC4"/>
    <w:rsid w:val="00C56675"/>
    <w:rsid w:val="174C2780"/>
    <w:rsid w:val="1F706EBA"/>
    <w:rsid w:val="2037770E"/>
    <w:rsid w:val="2E317F09"/>
    <w:rsid w:val="364E4FFC"/>
    <w:rsid w:val="42FE75F9"/>
    <w:rsid w:val="477611DD"/>
    <w:rsid w:val="4CE06DA8"/>
    <w:rsid w:val="4E9B688C"/>
    <w:rsid w:val="51712498"/>
    <w:rsid w:val="59172641"/>
    <w:rsid w:val="70CC3019"/>
    <w:rsid w:val="715200BD"/>
    <w:rsid w:val="73F34E8C"/>
    <w:rsid w:val="749B14A9"/>
    <w:rsid w:val="78672D33"/>
    <w:rsid w:val="78726195"/>
    <w:rsid w:val="7BD0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1730</Words>
  <Characters>1804</Characters>
  <Lines>11</Lines>
  <Paragraphs>3</Paragraphs>
  <TotalTime>8</TotalTime>
  <ScaleCrop>false</ScaleCrop>
  <LinksUpToDate>false</LinksUpToDate>
  <CharactersWithSpaces>1804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2021-05-07T06:45:00Z</dcterms:created>
  <dc:creator>马伟东</dc:creator>
  <cp:lastModifiedBy>陈坚灵</cp:lastModifiedBy>
  <dcterms:modified xsi:type="dcterms:W3CDTF">2022-06-27T04:58:03Z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994879B464604FF1B3AED3EDDF6A568A</vt:lpwstr>
  </property>
</Properties>
</file>