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eastAsiaTheme="minorEastAsia"/>
          <w:sz w:val="32"/>
        </w:rPr>
      </w:pPr>
      <w:bookmarkStart w:id="0" w:name="_Toc458262589"/>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rPr>
          <w:rFonts w:cs="宋体" w:asciiTheme="minorEastAsia" w:hAnsiTheme="minorEastAsia" w:eastAsiaTheme="minorEastAsia"/>
        </w:rPr>
      </w:pPr>
    </w:p>
    <w:p>
      <w:pPr>
        <w:spacing w:before="100" w:beforeAutospacing="1" w:after="100" w:afterAutospacing="1"/>
        <w:jc w:val="center"/>
        <w:rPr>
          <w:rFonts w:cs="宋体" w:asciiTheme="minorEastAsia" w:hAnsiTheme="minorEastAsia" w:eastAsiaTheme="minorEastAsia"/>
          <w:b/>
          <w:sz w:val="52"/>
          <w:szCs w:val="52"/>
        </w:rPr>
      </w:pPr>
      <w:r>
        <w:rPr>
          <w:rFonts w:hint="eastAsia" w:cs="宋体" w:asciiTheme="minorEastAsia" w:hAnsiTheme="minorEastAsia" w:eastAsiaTheme="minorEastAsia"/>
          <w:b/>
          <w:sz w:val="52"/>
          <w:szCs w:val="52"/>
        </w:rPr>
        <w:t>江门市本级非税收入代收银行</w:t>
      </w:r>
    </w:p>
    <w:p>
      <w:pPr>
        <w:spacing w:before="100" w:beforeAutospacing="1" w:after="100" w:afterAutospacing="1"/>
        <w:jc w:val="center"/>
        <w:rPr>
          <w:rFonts w:cs="宋体" w:asciiTheme="minorEastAsia" w:hAnsiTheme="minorEastAsia" w:eastAsiaTheme="minorEastAsia"/>
          <w:b/>
          <w:sz w:val="52"/>
          <w:szCs w:val="52"/>
        </w:rPr>
      </w:pPr>
      <w:r>
        <w:rPr>
          <w:rFonts w:hint="eastAsia" w:cs="宋体" w:asciiTheme="minorEastAsia" w:hAnsiTheme="minorEastAsia" w:eastAsiaTheme="minorEastAsia"/>
          <w:b/>
          <w:sz w:val="52"/>
          <w:szCs w:val="52"/>
        </w:rPr>
        <w:t>资格服务项目</w:t>
      </w:r>
    </w:p>
    <w:p>
      <w:pPr>
        <w:spacing w:before="100" w:beforeAutospacing="1" w:after="100" w:afterAutospacing="1"/>
        <w:jc w:val="center"/>
        <w:rPr>
          <w:rFonts w:cs="宋体" w:asciiTheme="minorEastAsia" w:hAnsiTheme="minorEastAsia" w:eastAsiaTheme="minorEastAsia"/>
          <w:b/>
          <w:sz w:val="52"/>
          <w:szCs w:val="52"/>
        </w:rPr>
      </w:pPr>
    </w:p>
    <w:p>
      <w:pPr>
        <w:spacing w:before="100" w:beforeAutospacing="1" w:after="100" w:afterAutospacing="1"/>
        <w:jc w:val="center"/>
        <w:rPr>
          <w:rFonts w:cs="宋体" w:asciiTheme="minorEastAsia" w:hAnsiTheme="minorEastAsia" w:eastAsiaTheme="minorEastAsia"/>
          <w:b/>
          <w:sz w:val="52"/>
          <w:szCs w:val="52"/>
        </w:rPr>
      </w:pPr>
    </w:p>
    <w:p>
      <w:pPr>
        <w:jc w:val="center"/>
        <w:rPr>
          <w:rFonts w:cs="宋体" w:asciiTheme="minorEastAsia" w:hAnsiTheme="minorEastAsia" w:eastAsiaTheme="minorEastAsia"/>
          <w:b/>
          <w:sz w:val="52"/>
          <w:szCs w:val="52"/>
        </w:rPr>
      </w:pPr>
      <w:r>
        <w:rPr>
          <w:rFonts w:hint="eastAsia" w:cs="宋体" w:asciiTheme="minorEastAsia" w:hAnsiTheme="minorEastAsia" w:eastAsiaTheme="minorEastAsia"/>
          <w:b/>
          <w:sz w:val="52"/>
          <w:szCs w:val="52"/>
        </w:rPr>
        <w:t>招</w:t>
      </w:r>
      <w:r>
        <w:rPr>
          <w:rFonts w:cs="宋体" w:asciiTheme="minorEastAsia" w:hAnsiTheme="minorEastAsia" w:eastAsiaTheme="minorEastAsia"/>
          <w:b/>
          <w:sz w:val="52"/>
          <w:szCs w:val="52"/>
        </w:rPr>
        <w:t xml:space="preserve"> </w:t>
      </w:r>
      <w:r>
        <w:rPr>
          <w:rFonts w:hint="eastAsia" w:cs="宋体" w:asciiTheme="minorEastAsia" w:hAnsiTheme="minorEastAsia" w:eastAsiaTheme="minorEastAsia"/>
          <w:b/>
          <w:sz w:val="52"/>
          <w:szCs w:val="52"/>
        </w:rPr>
        <w:t>标</w:t>
      </w:r>
      <w:r>
        <w:rPr>
          <w:rFonts w:cs="宋体" w:asciiTheme="minorEastAsia" w:hAnsiTheme="minorEastAsia" w:eastAsiaTheme="minorEastAsia"/>
          <w:b/>
          <w:sz w:val="52"/>
          <w:szCs w:val="52"/>
        </w:rPr>
        <w:t xml:space="preserve"> </w:t>
      </w:r>
      <w:r>
        <w:rPr>
          <w:rFonts w:hint="eastAsia" w:cs="宋体" w:asciiTheme="minorEastAsia" w:hAnsiTheme="minorEastAsia" w:eastAsiaTheme="minorEastAsia"/>
          <w:b/>
          <w:sz w:val="52"/>
          <w:szCs w:val="52"/>
        </w:rPr>
        <w:t>文</w:t>
      </w:r>
      <w:r>
        <w:rPr>
          <w:rFonts w:cs="宋体" w:asciiTheme="minorEastAsia" w:hAnsiTheme="minorEastAsia" w:eastAsiaTheme="minorEastAsia"/>
          <w:b/>
          <w:sz w:val="52"/>
          <w:szCs w:val="52"/>
        </w:rPr>
        <w:t xml:space="preserve"> </w:t>
      </w:r>
      <w:r>
        <w:rPr>
          <w:rFonts w:hint="eastAsia" w:cs="宋体" w:asciiTheme="minorEastAsia" w:hAnsiTheme="minorEastAsia" w:eastAsiaTheme="minorEastAsia"/>
          <w:b/>
          <w:sz w:val="52"/>
          <w:szCs w:val="52"/>
        </w:rPr>
        <w:t>件</w:t>
      </w:r>
    </w:p>
    <w:p>
      <w:pPr>
        <w:spacing w:before="100" w:beforeAutospacing="1" w:after="100" w:afterAutospacing="1" w:line="360" w:lineRule="auto"/>
        <w:jc w:val="center"/>
        <w:rPr>
          <w:rFonts w:cs="宋体" w:asciiTheme="minorEastAsia" w:hAnsiTheme="minorEastAsia" w:eastAsiaTheme="minorEastAsia"/>
          <w:b/>
          <w:sz w:val="40"/>
          <w:szCs w:val="40"/>
        </w:rPr>
      </w:pPr>
      <w:r>
        <w:rPr>
          <w:rFonts w:hint="eastAsia" w:cs="宋体" w:asciiTheme="minorEastAsia" w:hAnsiTheme="minorEastAsia" w:eastAsiaTheme="minorEastAsia"/>
          <w:b/>
          <w:color w:val="000000" w:themeColor="text1"/>
          <w:sz w:val="40"/>
          <w:szCs w:val="40"/>
          <w14:textFill>
            <w14:solidFill>
              <w14:schemeClr w14:val="tx1"/>
            </w14:solidFill>
          </w14:textFill>
        </w:rPr>
        <w:t>采购</w:t>
      </w:r>
      <w:r>
        <w:rPr>
          <w:rFonts w:hint="eastAsia" w:cs="宋体" w:asciiTheme="minorEastAsia" w:hAnsiTheme="minorEastAsia" w:eastAsiaTheme="minorEastAsia"/>
          <w:b/>
          <w:sz w:val="40"/>
          <w:szCs w:val="40"/>
        </w:rPr>
        <w:t>编号：JMGPC-202201</w:t>
      </w:r>
    </w:p>
    <w:p>
      <w:pPr>
        <w:jc w:val="center"/>
        <w:rPr>
          <w:rFonts w:cs="宋体" w:asciiTheme="minorEastAsia" w:hAnsiTheme="minorEastAsia" w:eastAsiaTheme="minorEastAsia"/>
          <w:b/>
          <w:sz w:val="36"/>
          <w:szCs w:val="36"/>
        </w:rPr>
      </w:pPr>
    </w:p>
    <w:p>
      <w:pPr>
        <w:jc w:val="center"/>
        <w:rPr>
          <w:rFonts w:cs="宋体" w:asciiTheme="minorEastAsia" w:hAnsiTheme="minorEastAsia" w:eastAsiaTheme="minorEastAsia"/>
          <w:b/>
          <w:sz w:val="36"/>
          <w:szCs w:val="36"/>
        </w:rPr>
      </w:pPr>
    </w:p>
    <w:p>
      <w:pPr>
        <w:spacing w:before="100" w:beforeAutospacing="1" w:after="100" w:afterAutospacing="1"/>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江门市政府</w:t>
      </w:r>
      <w:r>
        <w:rPr>
          <w:rFonts w:hint="eastAsia" w:cs="宋体" w:asciiTheme="minorEastAsia" w:hAnsiTheme="minorEastAsia" w:eastAsiaTheme="minorEastAsia"/>
          <w:b/>
          <w:color w:val="000000" w:themeColor="text1"/>
          <w:sz w:val="32"/>
          <w:szCs w:val="32"/>
          <w14:textFill>
            <w14:solidFill>
              <w14:schemeClr w14:val="tx1"/>
            </w14:solidFill>
          </w14:textFill>
        </w:rPr>
        <w:t>采购</w:t>
      </w:r>
      <w:r>
        <w:rPr>
          <w:rFonts w:hint="eastAsia" w:cs="宋体" w:asciiTheme="minorEastAsia" w:hAnsiTheme="minorEastAsia" w:eastAsiaTheme="minorEastAsia"/>
          <w:b/>
          <w:sz w:val="32"/>
          <w:szCs w:val="32"/>
        </w:rPr>
        <w:t>中心</w:t>
      </w:r>
    </w:p>
    <w:p>
      <w:pPr>
        <w:spacing w:before="100" w:beforeAutospacing="1" w:after="100" w:afterAutospacing="1"/>
        <w:jc w:val="center"/>
        <w:rPr>
          <w:rFonts w:cs="宋体" w:asciiTheme="minorEastAsia" w:hAnsiTheme="minorEastAsia" w:eastAsiaTheme="minorEastAsia"/>
          <w:b/>
          <w:sz w:val="32"/>
          <w:szCs w:val="32"/>
        </w:rPr>
      </w:pPr>
      <w:r>
        <w:rPr>
          <w:rFonts w:cs="宋体" w:asciiTheme="minorEastAsia" w:hAnsiTheme="minorEastAsia" w:eastAsiaTheme="minorEastAsia"/>
          <w:b/>
          <w:sz w:val="32"/>
          <w:szCs w:val="32"/>
        </w:rPr>
        <w:t>202</w:t>
      </w:r>
      <w:r>
        <w:rPr>
          <w:rFonts w:hint="eastAsia" w:cs="宋体" w:asciiTheme="minorEastAsia" w:hAnsiTheme="minorEastAsia" w:eastAsiaTheme="minorEastAsia"/>
          <w:b/>
          <w:sz w:val="32"/>
          <w:szCs w:val="32"/>
        </w:rPr>
        <w:t>2</w:t>
      </w:r>
      <w:r>
        <w:rPr>
          <w:rFonts w:cs="宋体" w:asciiTheme="minorEastAsia" w:hAnsiTheme="minorEastAsia" w:eastAsiaTheme="minorEastAsia"/>
          <w:b/>
          <w:sz w:val="32"/>
          <w:szCs w:val="32"/>
        </w:rPr>
        <w:t>年</w:t>
      </w:r>
      <w:r>
        <w:rPr>
          <w:rFonts w:hint="eastAsia" w:cs="宋体" w:asciiTheme="minorEastAsia" w:hAnsiTheme="minorEastAsia" w:eastAsiaTheme="minorEastAsia"/>
          <w:b/>
          <w:sz w:val="32"/>
          <w:szCs w:val="32"/>
        </w:rPr>
        <w:t>5月10日</w:t>
      </w:r>
    </w:p>
    <w:p>
      <w:pPr>
        <w:pStyle w:val="27"/>
        <w:rPr>
          <w:rFonts w:cs="宋体" w:asciiTheme="minorEastAsia" w:hAnsiTheme="minorEastAsia" w:eastAsiaTheme="minorEastAsia"/>
          <w:sz w:val="21"/>
          <w:szCs w:val="21"/>
        </w:rPr>
        <w:sectPr>
          <w:footerReference r:id="rId5" w:type="first"/>
          <w:footerReference r:id="rId3" w:type="default"/>
          <w:footerReference r:id="rId4" w:type="even"/>
          <w:pgSz w:w="11906" w:h="16838"/>
          <w:pgMar w:top="1440" w:right="1531" w:bottom="1440" w:left="1531" w:header="851" w:footer="992" w:gutter="0"/>
          <w:cols w:space="425" w:num="1"/>
          <w:docGrid w:type="lines" w:linePitch="312" w:charSpace="0"/>
        </w:sectPr>
      </w:pPr>
    </w:p>
    <w:p>
      <w:pPr>
        <w:pStyle w:val="27"/>
        <w:spacing w:line="276"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    录</w:t>
      </w:r>
    </w:p>
    <w:p>
      <w:pPr>
        <w:pStyle w:val="27"/>
        <w:tabs>
          <w:tab w:val="right" w:leader="dot" w:pos="8265"/>
          <w:tab w:val="clear" w:pos="8505"/>
        </w:tabs>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TOC \o "1-3" \h \z </w:instrText>
      </w:r>
      <w:r>
        <w:rPr>
          <w:rFonts w:hint="eastAsia" w:asciiTheme="minorEastAsia" w:hAnsiTheme="minorEastAsia" w:eastAsiaTheme="minorEastAsia" w:cstheme="minorEastAsia"/>
          <w:sz w:val="21"/>
          <w:szCs w:val="21"/>
        </w:rPr>
        <w:fldChar w:fldCharType="separate"/>
      </w:r>
      <w:r>
        <w:fldChar w:fldCharType="begin"/>
      </w:r>
      <w:r>
        <w:instrText xml:space="preserve"> HYPERLINK \l "_Toc6044" </w:instrText>
      </w:r>
      <w:r>
        <w:fldChar w:fldCharType="separate"/>
      </w:r>
      <w:r>
        <w:rPr>
          <w:rFonts w:hint="eastAsia" w:asciiTheme="minorEastAsia" w:hAnsiTheme="minorEastAsia" w:eastAsiaTheme="minorEastAsia" w:cstheme="minorEastAsia"/>
          <w:sz w:val="21"/>
          <w:szCs w:val="21"/>
        </w:rPr>
        <w:t>第一部分  投标邀请函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_Toc6044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"_Toc23247" </w:instrText>
      </w:r>
      <w:r>
        <w:fldChar w:fldCharType="separate"/>
      </w:r>
      <w:r>
        <w:rPr>
          <w:rFonts w:hint="eastAsia" w:asciiTheme="minorEastAsia" w:hAnsiTheme="minorEastAsia" w:eastAsiaTheme="minorEastAsia" w:cstheme="minorEastAsia"/>
        </w:rPr>
        <w:t>一、项目的名称、编号、预算、内容及需求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_Toc23247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"_Toc29375" </w:instrText>
      </w:r>
      <w:r>
        <w:fldChar w:fldCharType="separate"/>
      </w:r>
      <w:r>
        <w:rPr>
          <w:rFonts w:hint="eastAsia" w:asciiTheme="minorEastAsia" w:hAnsiTheme="minorEastAsia" w:eastAsiaTheme="minorEastAsia" w:cstheme="minorEastAsia"/>
        </w:rPr>
        <w:t>二、投标人资格要求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_Toc29375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"_Toc3141" </w:instrText>
      </w:r>
      <w:r>
        <w:fldChar w:fldCharType="separate"/>
      </w:r>
      <w:r>
        <w:rPr>
          <w:rFonts w:hint="eastAsia" w:asciiTheme="minorEastAsia" w:hAnsiTheme="minorEastAsia" w:eastAsiaTheme="minorEastAsia" w:cstheme="minorEastAsia"/>
        </w:rPr>
        <w:t>三、招标文件公示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_Toc3141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"_Toc18913" </w:instrText>
      </w:r>
      <w:r>
        <w:fldChar w:fldCharType="separate"/>
      </w:r>
      <w:r>
        <w:rPr>
          <w:rFonts w:hint="eastAsia" w:asciiTheme="minorEastAsia" w:hAnsiTheme="minorEastAsia" w:eastAsiaTheme="minorEastAsia" w:cstheme="minorEastAsia"/>
        </w:rPr>
        <w:t>四、报名和获取招标文件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_Toc18913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"_Toc10225" </w:instrText>
      </w:r>
      <w:r>
        <w:fldChar w:fldCharType="separate"/>
      </w:r>
      <w:r>
        <w:rPr>
          <w:rFonts w:hint="eastAsia" w:asciiTheme="minorEastAsia" w:hAnsiTheme="minorEastAsia" w:eastAsiaTheme="minorEastAsia" w:cstheme="minorEastAsia"/>
        </w:rPr>
        <w:t>五、接收投标文件的时间、地点、截止时间，开标时间、地点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_Toc10225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"_Toc26822" </w:instrText>
      </w:r>
      <w:r>
        <w:fldChar w:fldCharType="separate"/>
      </w:r>
      <w:r>
        <w:rPr>
          <w:rFonts w:hint="eastAsia" w:asciiTheme="minorEastAsia" w:hAnsiTheme="minorEastAsia" w:eastAsiaTheme="minorEastAsia" w:cstheme="minorEastAsia"/>
        </w:rPr>
        <w:t>六、招标人、招标代理机构的名称、地址和联系方式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_Toc26822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7"/>
        <w:tabs>
          <w:tab w:val="right" w:leader="dot" w:pos="8265"/>
          <w:tab w:val="clear" w:pos="8505"/>
        </w:tabs>
        <w:rPr>
          <w:rFonts w:asciiTheme="minorEastAsia" w:hAnsiTheme="minorEastAsia" w:eastAsiaTheme="minorEastAsia" w:cstheme="minorEastAsia"/>
          <w:sz w:val="21"/>
          <w:szCs w:val="21"/>
        </w:rPr>
      </w:pPr>
      <w:r>
        <w:fldChar w:fldCharType="begin"/>
      </w:r>
      <w:r>
        <w:instrText xml:space="preserve"> HYPERLINK \l "_Toc30253" </w:instrText>
      </w:r>
      <w:r>
        <w:fldChar w:fldCharType="separate"/>
      </w:r>
      <w:r>
        <w:rPr>
          <w:rFonts w:hint="eastAsia" w:asciiTheme="minorEastAsia" w:hAnsiTheme="minorEastAsia" w:eastAsiaTheme="minorEastAsia" w:cstheme="minorEastAsia"/>
          <w:sz w:val="21"/>
          <w:szCs w:val="21"/>
        </w:rPr>
        <w:t>第二部分  采购需求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_Toc30253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"_Toc31607" </w:instrText>
      </w:r>
      <w:r>
        <w:fldChar w:fldCharType="separate"/>
      </w:r>
      <w:r>
        <w:rPr>
          <w:rFonts w:hint="eastAsia" w:asciiTheme="minorEastAsia" w:hAnsiTheme="minorEastAsia" w:eastAsiaTheme="minorEastAsia" w:cstheme="minorEastAsia"/>
        </w:rPr>
        <w:t>一、 项目介绍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_Toc31607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"_Toc19340" </w:instrText>
      </w:r>
      <w:r>
        <w:fldChar w:fldCharType="separate"/>
      </w:r>
      <w:r>
        <w:rPr>
          <w:rFonts w:hint="eastAsia" w:asciiTheme="minorEastAsia" w:hAnsiTheme="minorEastAsia" w:eastAsiaTheme="minorEastAsia" w:cstheme="minorEastAsia"/>
        </w:rPr>
        <w:t>二、项目内容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_Toc19340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"_Toc16935" </w:instrText>
      </w:r>
      <w:r>
        <w:fldChar w:fldCharType="separate"/>
      </w:r>
      <w:r>
        <w:rPr>
          <w:rFonts w:hint="eastAsia" w:asciiTheme="minorEastAsia" w:hAnsiTheme="minorEastAsia" w:eastAsiaTheme="minorEastAsia" w:cstheme="minorEastAsia"/>
        </w:rPr>
        <w:t>三、项目技术及服务要求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_Toc16935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"_Toc21943" </w:instrText>
      </w:r>
      <w:r>
        <w:fldChar w:fldCharType="separate"/>
      </w:r>
      <w:r>
        <w:rPr>
          <w:rFonts w:hint="eastAsia" w:asciiTheme="minorEastAsia" w:hAnsiTheme="minorEastAsia" w:eastAsiaTheme="minorEastAsia" w:cstheme="minorEastAsia"/>
        </w:rPr>
        <w:t>四、商务要求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_Toc21943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"_Toc28946" </w:instrText>
      </w:r>
      <w:r>
        <w:fldChar w:fldCharType="separate"/>
      </w:r>
      <w:r>
        <w:rPr>
          <w:rFonts w:hint="eastAsia" w:asciiTheme="minorEastAsia" w:hAnsiTheme="minorEastAsia" w:eastAsiaTheme="minorEastAsia" w:cstheme="minorEastAsia"/>
        </w:rPr>
        <w:t>五、数字财政电子化要求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_Toc28946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"_Toc10317" </w:instrText>
      </w:r>
      <w:r>
        <w:fldChar w:fldCharType="separate"/>
      </w:r>
      <w:r>
        <w:rPr>
          <w:rFonts w:hint="eastAsia" w:asciiTheme="minorEastAsia" w:hAnsiTheme="minorEastAsia" w:eastAsiaTheme="minorEastAsia" w:cstheme="minorEastAsia"/>
          <w:bCs/>
        </w:rPr>
        <w:t>六、报价要求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_Toc10317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"_Toc1127" </w:instrText>
      </w:r>
      <w:r>
        <w:fldChar w:fldCharType="separate"/>
      </w:r>
      <w:r>
        <w:rPr>
          <w:rFonts w:hint="eastAsia" w:asciiTheme="minorEastAsia" w:hAnsiTheme="minorEastAsia" w:eastAsiaTheme="minorEastAsia" w:cstheme="minorEastAsia"/>
          <w:bCs/>
        </w:rPr>
        <w:t>七、服务期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_Toc1127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"_Toc20899" </w:instrText>
      </w:r>
      <w:r>
        <w:fldChar w:fldCharType="separate"/>
      </w:r>
      <w:r>
        <w:rPr>
          <w:rFonts w:hint="eastAsia" w:asciiTheme="minorEastAsia" w:hAnsiTheme="minorEastAsia" w:eastAsiaTheme="minorEastAsia" w:cstheme="minorEastAsia"/>
        </w:rPr>
        <w:t>八、实质性内容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_Toc20899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"_Toc20613" </w:instrText>
      </w:r>
      <w:r>
        <w:fldChar w:fldCharType="separate"/>
      </w:r>
      <w:r>
        <w:rPr>
          <w:rFonts w:hint="eastAsia" w:asciiTheme="minorEastAsia" w:hAnsiTheme="minorEastAsia" w:eastAsiaTheme="minorEastAsia" w:cstheme="minorEastAsia"/>
          <w:bCs/>
        </w:rPr>
        <w:t>九、验收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_Toc20613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"_Toc16016" </w:instrText>
      </w:r>
      <w:r>
        <w:fldChar w:fldCharType="separate"/>
      </w:r>
      <w:r>
        <w:rPr>
          <w:rFonts w:hint="eastAsia" w:asciiTheme="minorEastAsia" w:hAnsiTheme="minorEastAsia" w:eastAsiaTheme="minorEastAsia" w:cstheme="minorEastAsia"/>
          <w:bCs/>
        </w:rPr>
        <w:t>十、合同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_Toc16016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"_Toc6412" </w:instrText>
      </w:r>
      <w:r>
        <w:fldChar w:fldCharType="separate"/>
      </w:r>
      <w:r>
        <w:rPr>
          <w:rFonts w:hint="eastAsia" w:asciiTheme="minorEastAsia" w:hAnsiTheme="minorEastAsia" w:eastAsiaTheme="minorEastAsia" w:cstheme="minorEastAsia"/>
          <w:bCs/>
        </w:rPr>
        <w:t>十一、其他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_Toc6412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"_Toc11701" </w:instrText>
      </w:r>
      <w:r>
        <w:fldChar w:fldCharType="separate"/>
      </w:r>
      <w:r>
        <w:rPr>
          <w:rFonts w:hint="eastAsia" w:asciiTheme="minorEastAsia" w:hAnsiTheme="minorEastAsia" w:eastAsiaTheme="minorEastAsia" w:cstheme="minorEastAsia"/>
          <w:bCs/>
        </w:rPr>
        <w:t>十二、适用的法律法规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_Toc11701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7"/>
        <w:tabs>
          <w:tab w:val="right" w:leader="dot" w:pos="8265"/>
          <w:tab w:val="clear" w:pos="8505"/>
        </w:tabs>
        <w:rPr>
          <w:rFonts w:asciiTheme="minorEastAsia" w:hAnsiTheme="minorEastAsia" w:eastAsiaTheme="minorEastAsia" w:cstheme="minorEastAsia"/>
          <w:sz w:val="21"/>
          <w:szCs w:val="21"/>
        </w:rPr>
      </w:pPr>
      <w:r>
        <w:fldChar w:fldCharType="begin"/>
      </w:r>
      <w:r>
        <w:instrText xml:space="preserve"> HYPERLINK \l "_Toc3475" </w:instrText>
      </w:r>
      <w:r>
        <w:fldChar w:fldCharType="separate"/>
      </w:r>
      <w:r>
        <w:rPr>
          <w:rFonts w:hint="eastAsia" w:asciiTheme="minorEastAsia" w:hAnsiTheme="minorEastAsia" w:eastAsiaTheme="minorEastAsia" w:cstheme="minorEastAsia"/>
          <w:sz w:val="21"/>
          <w:szCs w:val="21"/>
        </w:rPr>
        <w:t>第三部分  投标人须知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_Toc3475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"_Toc13787" </w:instrText>
      </w:r>
      <w:r>
        <w:fldChar w:fldCharType="separate"/>
      </w:r>
      <w:r>
        <w:rPr>
          <w:rFonts w:hint="eastAsia" w:asciiTheme="minorEastAsia" w:hAnsiTheme="minorEastAsia" w:eastAsiaTheme="minorEastAsia" w:cstheme="minorEastAsia"/>
        </w:rPr>
        <w:t>一、说明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_Toc13787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"_Toc16650" </w:instrText>
      </w:r>
      <w:r>
        <w:fldChar w:fldCharType="separate"/>
      </w:r>
      <w:r>
        <w:rPr>
          <w:rFonts w:hint="eastAsia" w:asciiTheme="minorEastAsia" w:hAnsiTheme="minorEastAsia" w:eastAsiaTheme="minorEastAsia" w:cstheme="minorEastAsia"/>
        </w:rPr>
        <w:t>二、招标文件说明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_Toc16650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"_Toc16474" </w:instrText>
      </w:r>
      <w:r>
        <w:fldChar w:fldCharType="separate"/>
      </w:r>
      <w:r>
        <w:rPr>
          <w:rFonts w:hint="eastAsia" w:asciiTheme="minorEastAsia" w:hAnsiTheme="minorEastAsia" w:eastAsiaTheme="minorEastAsia" w:cstheme="minorEastAsia"/>
        </w:rPr>
        <w:t>三、投标文件的制作</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_Toc16474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"_Toc6402" </w:instrText>
      </w:r>
      <w:r>
        <w:fldChar w:fldCharType="separate"/>
      </w:r>
      <w:r>
        <w:rPr>
          <w:rFonts w:hint="eastAsia" w:asciiTheme="minorEastAsia" w:hAnsiTheme="minorEastAsia" w:eastAsiaTheme="minorEastAsia" w:cstheme="minorEastAsia"/>
        </w:rPr>
        <w:t>四、投标文件的递交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_Toc6402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"_Toc8107" </w:instrText>
      </w:r>
      <w:r>
        <w:fldChar w:fldCharType="separate"/>
      </w:r>
      <w:r>
        <w:rPr>
          <w:rFonts w:hint="eastAsia" w:asciiTheme="minorEastAsia" w:hAnsiTheme="minorEastAsia" w:eastAsiaTheme="minorEastAsia" w:cstheme="minorEastAsia"/>
          <w:lang w:val="zh-CN"/>
        </w:rPr>
        <w:t>五、开标和评标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_Toc8107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"_Toc23678" </w:instrText>
      </w:r>
      <w:r>
        <w:fldChar w:fldCharType="separate"/>
      </w:r>
      <w:r>
        <w:rPr>
          <w:rFonts w:hint="eastAsia" w:asciiTheme="minorEastAsia" w:hAnsiTheme="minorEastAsia" w:eastAsiaTheme="minorEastAsia" w:cstheme="minorEastAsia"/>
          <w:lang w:val="zh-CN"/>
        </w:rPr>
        <w:t>六、确定中标人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_Toc23678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"_Toc27535" </w:instrText>
      </w:r>
      <w:r>
        <w:fldChar w:fldCharType="separate"/>
      </w:r>
      <w:r>
        <w:rPr>
          <w:rFonts w:hint="eastAsia" w:asciiTheme="minorEastAsia" w:hAnsiTheme="minorEastAsia" w:eastAsiaTheme="minorEastAsia" w:cstheme="minorEastAsia"/>
          <w:lang w:val="zh-CN"/>
        </w:rPr>
        <w:t>七、签订合同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_Toc27535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"_Toc1522" </w:instrText>
      </w:r>
      <w:r>
        <w:fldChar w:fldCharType="separate"/>
      </w:r>
      <w:r>
        <w:rPr>
          <w:rFonts w:hint="eastAsia" w:asciiTheme="minorEastAsia" w:hAnsiTheme="minorEastAsia" w:eastAsiaTheme="minorEastAsia" w:cstheme="minorEastAsia"/>
          <w:lang w:val="zh-CN"/>
        </w:rPr>
        <w:t>八、中标服务费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_Toc1522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7"/>
        <w:tabs>
          <w:tab w:val="right" w:leader="dot" w:pos="8265"/>
          <w:tab w:val="clear" w:pos="8505"/>
        </w:tabs>
        <w:rPr>
          <w:rFonts w:asciiTheme="minorEastAsia" w:hAnsiTheme="minorEastAsia" w:eastAsiaTheme="minorEastAsia" w:cstheme="minorEastAsia"/>
          <w:sz w:val="21"/>
          <w:szCs w:val="21"/>
        </w:rPr>
      </w:pPr>
      <w:r>
        <w:fldChar w:fldCharType="begin"/>
      </w:r>
      <w:r>
        <w:instrText xml:space="preserve"> HYPERLINK \l "_Toc22388" </w:instrText>
      </w:r>
      <w:r>
        <w:fldChar w:fldCharType="separate"/>
      </w:r>
      <w:r>
        <w:rPr>
          <w:rFonts w:hint="eastAsia" w:asciiTheme="minorEastAsia" w:hAnsiTheme="minorEastAsia" w:eastAsiaTheme="minorEastAsia" w:cstheme="minorEastAsia"/>
          <w:sz w:val="21"/>
          <w:szCs w:val="21"/>
        </w:rPr>
        <w:t>第四部分  评标办法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_Toc22388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"_Toc23198" </w:instrText>
      </w:r>
      <w:r>
        <w:fldChar w:fldCharType="separate"/>
      </w:r>
      <w:r>
        <w:rPr>
          <w:rFonts w:hint="eastAsia" w:asciiTheme="minorEastAsia" w:hAnsiTheme="minorEastAsia" w:eastAsiaTheme="minorEastAsia" w:cstheme="minorEastAsia"/>
        </w:rPr>
        <w:t>一、资格审查和符合性审查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_Toc23198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"_Toc7423" </w:instrText>
      </w:r>
      <w:r>
        <w:fldChar w:fldCharType="separate"/>
      </w:r>
      <w:r>
        <w:rPr>
          <w:rFonts w:hint="eastAsia" w:asciiTheme="minorEastAsia" w:hAnsiTheme="minorEastAsia" w:eastAsiaTheme="minorEastAsia" w:cstheme="minorEastAsia"/>
        </w:rPr>
        <w:t>二、评标</w:t>
      </w:r>
      <w:r>
        <w:rPr>
          <w:rFonts w:hint="eastAsia" w:asciiTheme="minorEastAsia" w:hAnsiTheme="minorEastAsia" w:eastAsiaTheme="minorEastAsia" w:cstheme="minorEastAsia"/>
          <w:bCs/>
        </w:rPr>
        <w:t>标准</w:t>
      </w:r>
      <w:r>
        <w:rPr>
          <w:rFonts w:hint="eastAsia" w:asciiTheme="minorEastAsia" w:hAnsiTheme="minorEastAsia" w:eastAsiaTheme="minorEastAsia" w:cstheme="minorEastAsia"/>
        </w:rPr>
        <w:t>和方法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_Toc7423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"_Toc6509" </w:instrText>
      </w:r>
      <w:r>
        <w:fldChar w:fldCharType="separate"/>
      </w:r>
      <w:r>
        <w:rPr>
          <w:rFonts w:hint="eastAsia" w:asciiTheme="minorEastAsia" w:hAnsiTheme="minorEastAsia" w:eastAsiaTheme="minorEastAsia" w:cstheme="minorEastAsia"/>
        </w:rPr>
        <w:t>三、 评分表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_Toc6509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"_Toc9187" </w:instrText>
      </w:r>
      <w:r>
        <w:fldChar w:fldCharType="separate"/>
      </w:r>
      <w:r>
        <w:rPr>
          <w:rFonts w:hint="eastAsia" w:asciiTheme="minorEastAsia" w:hAnsiTheme="minorEastAsia" w:eastAsiaTheme="minorEastAsia" w:cstheme="minorEastAsia"/>
          <w:bCs/>
        </w:rPr>
        <w:t>四、打分程序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_Toc9187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7"/>
        <w:tabs>
          <w:tab w:val="right" w:leader="dot" w:pos="8265"/>
          <w:tab w:val="clear" w:pos="8505"/>
        </w:tabs>
        <w:rPr>
          <w:rFonts w:asciiTheme="minorEastAsia" w:hAnsiTheme="minorEastAsia" w:eastAsiaTheme="minorEastAsia" w:cstheme="minorEastAsia"/>
          <w:sz w:val="21"/>
          <w:szCs w:val="21"/>
        </w:rPr>
      </w:pPr>
      <w:r>
        <w:fldChar w:fldCharType="begin"/>
      </w:r>
      <w:r>
        <w:instrText xml:space="preserve"> HYPERLINK \l "_Toc26096" </w:instrText>
      </w:r>
      <w:r>
        <w:fldChar w:fldCharType="separate"/>
      </w:r>
      <w:r>
        <w:rPr>
          <w:rFonts w:hint="eastAsia" w:asciiTheme="minorEastAsia" w:hAnsiTheme="minorEastAsia" w:eastAsiaTheme="minorEastAsia" w:cstheme="minorEastAsia"/>
          <w:sz w:val="21"/>
          <w:szCs w:val="21"/>
        </w:rPr>
        <w:t>第五部分 江门市本级非税收入代收银行资格服务项目合同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_Toc26096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7"/>
        <w:tabs>
          <w:tab w:val="right" w:leader="dot" w:pos="8265"/>
          <w:tab w:val="clear" w:pos="8505"/>
        </w:tabs>
        <w:rPr>
          <w:rFonts w:asciiTheme="minorEastAsia" w:hAnsiTheme="minorEastAsia" w:eastAsiaTheme="minorEastAsia" w:cstheme="minorEastAsia"/>
          <w:sz w:val="21"/>
          <w:szCs w:val="21"/>
        </w:rPr>
      </w:pPr>
      <w:r>
        <w:fldChar w:fldCharType="begin"/>
      </w:r>
      <w:r>
        <w:instrText xml:space="preserve"> HYPERLINK \l "_Toc6507" </w:instrText>
      </w:r>
      <w:r>
        <w:fldChar w:fldCharType="separate"/>
      </w:r>
      <w:r>
        <w:rPr>
          <w:rFonts w:hint="eastAsia" w:asciiTheme="minorEastAsia" w:hAnsiTheme="minorEastAsia" w:eastAsiaTheme="minorEastAsia" w:cstheme="minorEastAsia"/>
          <w:sz w:val="21"/>
          <w:szCs w:val="21"/>
        </w:rPr>
        <w:t>第六部分  投标文件格式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_Toc6507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"_Toc30783" </w:instrText>
      </w:r>
      <w:r>
        <w:fldChar w:fldCharType="separate"/>
      </w:r>
      <w:r>
        <w:rPr>
          <w:rFonts w:hint="eastAsia" w:asciiTheme="minorEastAsia" w:hAnsiTheme="minorEastAsia" w:eastAsiaTheme="minorEastAsia" w:cstheme="minorEastAsia"/>
        </w:rPr>
        <w:t>一、</w:t>
      </w:r>
      <w:r>
        <w:rPr>
          <w:rFonts w:hint="eastAsia" w:asciiTheme="minorEastAsia" w:hAnsiTheme="minorEastAsia" w:eastAsiaTheme="minorEastAsia" w:cstheme="minorEastAsia"/>
          <w:bCs/>
        </w:rPr>
        <w:t>投标</w:t>
      </w:r>
      <w:r>
        <w:rPr>
          <w:rFonts w:hint="eastAsia" w:asciiTheme="minorEastAsia" w:hAnsiTheme="minorEastAsia" w:eastAsiaTheme="minorEastAsia" w:cstheme="minorEastAsia"/>
        </w:rPr>
        <w:t>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_Toc30783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"_Toc32102" </w:instrText>
      </w:r>
      <w:r>
        <w:fldChar w:fldCharType="separate"/>
      </w:r>
      <w:r>
        <w:rPr>
          <w:rFonts w:hint="eastAsia" w:asciiTheme="minorEastAsia" w:hAnsiTheme="minorEastAsia" w:eastAsiaTheme="minorEastAsia" w:cstheme="minorEastAsia"/>
          <w:bCs/>
        </w:rPr>
        <w:t>二、开标一览表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_Toc32102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"_Toc8379" </w:instrText>
      </w:r>
      <w:r>
        <w:fldChar w:fldCharType="separate"/>
      </w:r>
      <w:r>
        <w:rPr>
          <w:rFonts w:hint="eastAsia" w:asciiTheme="minorEastAsia" w:hAnsiTheme="minorEastAsia" w:eastAsiaTheme="minorEastAsia" w:cstheme="minorEastAsia"/>
          <w:bCs/>
        </w:rPr>
        <w:t>三、项目整体实施方案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_Toc8379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"_Toc5967" </w:instrText>
      </w:r>
      <w:r>
        <w:fldChar w:fldCharType="separate"/>
      </w:r>
      <w:r>
        <w:rPr>
          <w:rFonts w:hint="eastAsia" w:asciiTheme="minorEastAsia" w:hAnsiTheme="minorEastAsia" w:eastAsiaTheme="minorEastAsia" w:cstheme="minorEastAsia"/>
          <w:bCs/>
        </w:rPr>
        <w:t>四、业务情况一览表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_Toc5967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"_Toc26376" </w:instrText>
      </w:r>
      <w:r>
        <w:fldChar w:fldCharType="separate"/>
      </w:r>
      <w:r>
        <w:rPr>
          <w:rFonts w:hint="eastAsia" w:asciiTheme="minorEastAsia" w:hAnsiTheme="minorEastAsia" w:eastAsiaTheme="minorEastAsia" w:cstheme="minorEastAsia"/>
          <w:bCs/>
        </w:rPr>
        <w:t>五、授权委托书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_Toc26376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"_Toc7662" </w:instrText>
      </w:r>
      <w:r>
        <w:fldChar w:fldCharType="separate"/>
      </w:r>
      <w:r>
        <w:rPr>
          <w:rFonts w:hint="eastAsia" w:asciiTheme="minorEastAsia" w:hAnsiTheme="minorEastAsia" w:eastAsiaTheme="minorEastAsia" w:cstheme="minorEastAsia"/>
          <w:bCs/>
        </w:rPr>
        <w:t>六、法定代表人/负责人/个人独资企业投资人证明书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_Toc7662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"_Toc1468" </w:instrText>
      </w:r>
      <w:r>
        <w:fldChar w:fldCharType="separate"/>
      </w:r>
      <w:r>
        <w:rPr>
          <w:rFonts w:hint="eastAsia" w:asciiTheme="minorEastAsia" w:hAnsiTheme="minorEastAsia" w:eastAsiaTheme="minorEastAsia" w:cstheme="minorEastAsia"/>
          <w:bCs/>
        </w:rPr>
        <w:t>七、资格证明书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_Toc1468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"_Toc27843" </w:instrText>
      </w:r>
      <w:r>
        <w:fldChar w:fldCharType="separate"/>
      </w:r>
      <w:r>
        <w:rPr>
          <w:rFonts w:hint="eastAsia" w:asciiTheme="minorEastAsia" w:hAnsiTheme="minorEastAsia" w:eastAsiaTheme="minorEastAsia" w:cstheme="minorEastAsia"/>
          <w:bCs/>
        </w:rPr>
        <w:t>八、设备及专业技术能力情况表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_Toc27843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"_Toc20623" </w:instrText>
      </w:r>
      <w:r>
        <w:fldChar w:fldCharType="separate"/>
      </w:r>
      <w:r>
        <w:rPr>
          <w:rFonts w:hint="eastAsia" w:asciiTheme="minorEastAsia" w:hAnsiTheme="minorEastAsia" w:eastAsiaTheme="minorEastAsia" w:cstheme="minorEastAsia"/>
          <w:bCs/>
        </w:rPr>
        <w:t>九、廉政承诺书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_Toc20623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"_Toc15860" </w:instrText>
      </w:r>
      <w:r>
        <w:fldChar w:fldCharType="separate"/>
      </w:r>
      <w:r>
        <w:rPr>
          <w:rFonts w:hint="eastAsia" w:asciiTheme="minorEastAsia" w:hAnsiTheme="minorEastAsia" w:eastAsiaTheme="minorEastAsia" w:cstheme="minorEastAsia"/>
        </w:rPr>
        <w:t>十、</w:t>
      </w:r>
      <w:r>
        <w:rPr>
          <w:rFonts w:hint="eastAsia" w:asciiTheme="minorEastAsia" w:hAnsiTheme="minorEastAsia" w:eastAsiaTheme="minorEastAsia" w:cstheme="minorEastAsia"/>
          <w:bCs/>
        </w:rPr>
        <w:t>中止原签订《江门市本级非税收入代收银行资格服务项目政府采购合同》承诺书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_Toc15860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"_Toc16665" </w:instrText>
      </w:r>
      <w:r>
        <w:fldChar w:fldCharType="separate"/>
      </w:r>
      <w:r>
        <w:rPr>
          <w:rFonts w:hint="eastAsia" w:asciiTheme="minorEastAsia" w:hAnsiTheme="minorEastAsia" w:eastAsiaTheme="minorEastAsia" w:cstheme="minorEastAsia"/>
        </w:rPr>
        <w:t>十一、资格自查表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_Toc16665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"_Toc21663" </w:instrText>
      </w:r>
      <w:r>
        <w:fldChar w:fldCharType="separate"/>
      </w:r>
      <w:r>
        <w:rPr>
          <w:rFonts w:hint="eastAsia" w:asciiTheme="minorEastAsia" w:hAnsiTheme="minorEastAsia" w:eastAsiaTheme="minorEastAsia" w:cstheme="minorEastAsia"/>
        </w:rPr>
        <w:t>十二、符合性自查表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_Toc21663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tabs>
          <w:tab w:val="right" w:leader="dot" w:pos="8265"/>
          <w:tab w:val="clear" w:pos="8505"/>
        </w:tabs>
        <w:rPr>
          <w:rFonts w:asciiTheme="minorEastAsia" w:hAnsiTheme="minorEastAsia" w:eastAsiaTheme="minorEastAsia" w:cstheme="minorEastAsia"/>
        </w:rPr>
      </w:pPr>
      <w:r>
        <w:fldChar w:fldCharType="begin"/>
      </w:r>
      <w:r>
        <w:instrText xml:space="preserve"> HYPERLINK \l "_Toc1625" </w:instrText>
      </w:r>
      <w:r>
        <w:fldChar w:fldCharType="separate"/>
      </w:r>
      <w:r>
        <w:rPr>
          <w:rFonts w:hint="eastAsia" w:asciiTheme="minorEastAsia" w:hAnsiTheme="minorEastAsia" w:eastAsiaTheme="minorEastAsia" w:cstheme="minorEastAsia"/>
          <w:bCs/>
        </w:rPr>
        <w:t>十三、评分自查表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_Toc1625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32"/>
        <w:spacing w:line="276" w:lineRule="auto"/>
        <w:rPr>
          <w:rFonts w:asciiTheme="minorEastAsia" w:hAnsiTheme="minorEastAsia" w:eastAsiaTheme="minorEastAsia" w:cstheme="minorEastAsia"/>
        </w:rPr>
        <w:sectPr>
          <w:headerReference r:id="rId6" w:type="first"/>
          <w:footerReference r:id="rId8" w:type="first"/>
          <w:footerReference r:id="rId7" w:type="default"/>
          <w:pgSz w:w="11907" w:h="16840"/>
          <w:pgMar w:top="1440" w:right="1842" w:bottom="1440" w:left="1800" w:header="851" w:footer="992" w:gutter="0"/>
          <w:cols w:space="720" w:num="1"/>
          <w:titlePg/>
          <w:docGrid w:linePitch="410" w:charSpace="-6144"/>
        </w:sectPr>
      </w:pPr>
      <w:r>
        <w:rPr>
          <w:rFonts w:hint="eastAsia" w:asciiTheme="minorEastAsia" w:hAnsiTheme="minorEastAsia" w:eastAsiaTheme="minorEastAsia" w:cstheme="minorEastAsia"/>
        </w:rPr>
        <w:fldChar w:fldCharType="end"/>
      </w:r>
      <w:bookmarkEnd w:id="0"/>
      <w:bookmarkStart w:id="1" w:name="_Hlt462910414"/>
      <w:bookmarkEnd w:id="1"/>
      <w:bookmarkStart w:id="2" w:name="_Hlt527336732"/>
      <w:bookmarkEnd w:id="2"/>
    </w:p>
    <w:p>
      <w:pPr>
        <w:pStyle w:val="2"/>
        <w:tabs>
          <w:tab w:val="right" w:leader="dot" w:pos="8222"/>
        </w:tabs>
        <w:spacing w:before="0" w:after="0" w:line="520" w:lineRule="exact"/>
        <w:jc w:val="center"/>
        <w:rPr>
          <w:rFonts w:cs="宋体" w:asciiTheme="minorEastAsia" w:hAnsiTheme="minorEastAsia" w:eastAsiaTheme="minorEastAsia"/>
          <w:sz w:val="28"/>
          <w:szCs w:val="28"/>
        </w:rPr>
      </w:pPr>
      <w:bookmarkStart w:id="3" w:name="_Toc6044"/>
      <w:r>
        <w:rPr>
          <w:rFonts w:hint="eastAsia" w:cs="宋体" w:asciiTheme="minorEastAsia" w:hAnsiTheme="minorEastAsia" w:eastAsiaTheme="minorEastAsia"/>
          <w:sz w:val="28"/>
          <w:szCs w:val="28"/>
        </w:rPr>
        <w:t>第一部分</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投标邀请函</w:t>
      </w:r>
      <w:bookmarkEnd w:id="3"/>
    </w:p>
    <w:p>
      <w:pPr>
        <w:pStyle w:val="2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根据《中华人民共和国招标投标法》规定，江门市政府</w:t>
      </w:r>
      <w:r>
        <w:rPr>
          <w:rFonts w:hint="eastAsia" w:cs="宋体" w:asciiTheme="minorEastAsia" w:hAnsiTheme="minorEastAsia" w:eastAsiaTheme="minorEastAsia"/>
          <w:color w:val="000000" w:themeColor="text1"/>
          <w:sz w:val="28"/>
          <w:szCs w:val="28"/>
          <w14:textFill>
            <w14:solidFill>
              <w14:schemeClr w14:val="tx1"/>
            </w14:solidFill>
          </w14:textFill>
        </w:rPr>
        <w:t>采购</w:t>
      </w:r>
      <w:r>
        <w:rPr>
          <w:rFonts w:hint="eastAsia" w:cs="宋体" w:asciiTheme="minorEastAsia" w:hAnsiTheme="minorEastAsia" w:eastAsiaTheme="minorEastAsia"/>
          <w:sz w:val="28"/>
          <w:szCs w:val="28"/>
        </w:rPr>
        <w:t>中心受江门市财政局委托，就江门市本级非税收入代收银行资格服务项目进行</w:t>
      </w:r>
      <w:r>
        <w:rPr>
          <w:rFonts w:hint="eastAsia" w:cs="宋体" w:asciiTheme="minorEastAsia" w:hAnsiTheme="minorEastAsia" w:eastAsiaTheme="minorEastAsia"/>
          <w:b/>
          <w:bCs/>
          <w:sz w:val="28"/>
          <w:szCs w:val="28"/>
        </w:rPr>
        <w:t>公开招标</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sz w:val="28"/>
          <w:szCs w:val="28"/>
          <w:lang w:val="zh-CN"/>
        </w:rPr>
        <w:t>欢迎符合资格条件</w:t>
      </w:r>
      <w:r>
        <w:rPr>
          <w:rFonts w:hint="eastAsia" w:cs="宋体" w:asciiTheme="minorEastAsia" w:hAnsiTheme="minorEastAsia" w:eastAsiaTheme="minorEastAsia"/>
          <w:sz w:val="28"/>
          <w:szCs w:val="28"/>
        </w:rPr>
        <w:t>的供应商参加。</w:t>
      </w:r>
    </w:p>
    <w:p>
      <w:pPr>
        <w:pStyle w:val="3"/>
        <w:spacing w:before="0" w:after="0" w:line="520" w:lineRule="exact"/>
        <w:ind w:firstLine="562" w:firstLineChars="200"/>
        <w:rPr>
          <w:rFonts w:cs="宋体" w:asciiTheme="minorEastAsia" w:hAnsiTheme="minorEastAsia" w:eastAsiaTheme="minorEastAsia"/>
          <w:sz w:val="28"/>
          <w:szCs w:val="28"/>
        </w:rPr>
      </w:pPr>
      <w:bookmarkStart w:id="4" w:name="_Toc23247"/>
      <w:r>
        <w:rPr>
          <w:rFonts w:hint="eastAsia" w:cs="宋体" w:asciiTheme="minorEastAsia" w:hAnsiTheme="minorEastAsia" w:eastAsiaTheme="minorEastAsia"/>
          <w:sz w:val="28"/>
          <w:szCs w:val="28"/>
        </w:rPr>
        <w:t>一、项目的名称、编号、预算、内容及需求</w:t>
      </w:r>
      <w:bookmarkEnd w:id="4"/>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1.项目名称：</w:t>
      </w:r>
      <w:r>
        <w:rPr>
          <w:rFonts w:hint="eastAsia" w:cs="宋体" w:asciiTheme="minorEastAsia" w:hAnsiTheme="minorEastAsia" w:eastAsiaTheme="minorEastAsia"/>
          <w:sz w:val="28"/>
          <w:szCs w:val="28"/>
        </w:rPr>
        <w:t>江门市本级非税收入代收银行资格服务项目。</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w:t>
      </w:r>
      <w:r>
        <w:rPr>
          <w:rFonts w:cs="宋体" w:asciiTheme="minorEastAsia" w:hAnsiTheme="minorEastAsia" w:eastAsiaTheme="minorEastAsia"/>
          <w:color w:val="000000" w:themeColor="text1"/>
          <w:sz w:val="28"/>
          <w:szCs w:val="28"/>
          <w14:textFill>
            <w14:solidFill>
              <w14:schemeClr w14:val="tx1"/>
            </w14:solidFill>
          </w14:textFill>
        </w:rPr>
        <w:t>采购</w:t>
      </w:r>
      <w:r>
        <w:rPr>
          <w:rFonts w:cs="宋体" w:asciiTheme="minorEastAsia" w:hAnsiTheme="minorEastAsia" w:eastAsiaTheme="minorEastAsia"/>
          <w:sz w:val="28"/>
          <w:szCs w:val="28"/>
        </w:rPr>
        <w:t>编号：</w:t>
      </w:r>
      <w:r>
        <w:rPr>
          <w:rFonts w:hint="eastAsia" w:cs="宋体" w:asciiTheme="minorEastAsia" w:hAnsiTheme="minorEastAsia" w:eastAsiaTheme="minorEastAsia"/>
          <w:sz w:val="28"/>
          <w:szCs w:val="28"/>
        </w:rPr>
        <w:t>JMGPC-202201</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3.项目内容及需求：详见招标文件第二部分。</w:t>
      </w:r>
    </w:p>
    <w:p>
      <w:pPr>
        <w:pStyle w:val="3"/>
        <w:spacing w:before="0" w:after="0" w:line="520" w:lineRule="exact"/>
        <w:ind w:firstLine="562" w:firstLineChars="200"/>
        <w:rPr>
          <w:rFonts w:cs="宋体" w:asciiTheme="minorEastAsia" w:hAnsiTheme="minorEastAsia" w:eastAsiaTheme="minorEastAsia"/>
          <w:sz w:val="28"/>
          <w:szCs w:val="28"/>
        </w:rPr>
      </w:pPr>
      <w:bookmarkStart w:id="5" w:name="_Toc29375"/>
      <w:r>
        <w:rPr>
          <w:rFonts w:hint="eastAsia" w:cs="宋体" w:asciiTheme="minorEastAsia" w:hAnsiTheme="minorEastAsia" w:eastAsiaTheme="minorEastAsia"/>
          <w:sz w:val="28"/>
          <w:szCs w:val="28"/>
        </w:rPr>
        <w:t>二、投标人资格要求</w:t>
      </w:r>
      <w:bookmarkEnd w:id="5"/>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1.投标人应符合以下条件：</w:t>
      </w:r>
    </w:p>
    <w:p>
      <w:pPr>
        <w:pStyle w:val="2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1）投标人应为独立承担民事责任的能力的法人，自然人或非法人组织；</w:t>
      </w:r>
    </w:p>
    <w:p>
      <w:pPr>
        <w:pStyle w:val="2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2）具有良好的商业信誉和健全的财务会计制度；</w:t>
      </w:r>
    </w:p>
    <w:p>
      <w:pPr>
        <w:pStyle w:val="2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3）具有履行合同所必需的设备和专业技术能力；</w:t>
      </w:r>
    </w:p>
    <w:p>
      <w:pPr>
        <w:pStyle w:val="2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4）有依法缴纳税收和社会保障资金的良好记录；</w:t>
      </w:r>
    </w:p>
    <w:p>
      <w:pPr>
        <w:pStyle w:val="2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5）参加本项目前三年内，在经营活动中没有重大违法记录；</w:t>
      </w:r>
    </w:p>
    <w:p>
      <w:pPr>
        <w:pStyle w:val="2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6）法律、行政法规规定的其他条件。</w:t>
      </w:r>
    </w:p>
    <w:p>
      <w:pPr>
        <w:spacing w:line="520" w:lineRule="exact"/>
        <w:ind w:firstLine="420"/>
        <w:rPr>
          <w:rFonts w:cs="宋体" w:asciiTheme="minorEastAsia" w:hAnsiTheme="minorEastAsia" w:eastAsiaTheme="minorEastAsia"/>
          <w:kern w:val="1"/>
          <w:sz w:val="28"/>
          <w:szCs w:val="28"/>
        </w:rPr>
      </w:pPr>
      <w:r>
        <w:rPr>
          <w:rFonts w:cs="宋体" w:asciiTheme="minorEastAsia" w:hAnsiTheme="minorEastAsia" w:eastAsiaTheme="minorEastAsia"/>
          <w:kern w:val="1"/>
          <w:sz w:val="28"/>
          <w:szCs w:val="28"/>
        </w:rPr>
        <w:t>2.投标人未被列入“信用中国”网站(www.creditchina.gov.cn)“记录失信被执行人或重大税收违法案件当事人名单”</w:t>
      </w:r>
      <w:r>
        <w:rPr>
          <w:rFonts w:hint="eastAsia" w:cs="宋体" w:asciiTheme="minorEastAsia" w:hAnsiTheme="minorEastAsia" w:eastAsiaTheme="minorEastAsia"/>
          <w:kern w:val="1"/>
          <w:sz w:val="28"/>
          <w:szCs w:val="28"/>
        </w:rPr>
        <w:t>。</w:t>
      </w:r>
    </w:p>
    <w:p>
      <w:pPr>
        <w:spacing w:line="520" w:lineRule="exact"/>
        <w:ind w:firstLine="420"/>
        <w:rPr>
          <w:rFonts w:cs="宋体" w:asciiTheme="minorEastAsia" w:hAnsiTheme="minorEastAsia" w:eastAsiaTheme="minorEastAsia"/>
          <w:kern w:val="1"/>
          <w:sz w:val="28"/>
          <w:szCs w:val="28"/>
        </w:rPr>
      </w:pPr>
      <w:r>
        <w:rPr>
          <w:rFonts w:cs="宋体" w:asciiTheme="minorEastAsia" w:hAnsiTheme="minorEastAsia" w:eastAsiaTheme="minorEastAsia"/>
          <w:kern w:val="1"/>
          <w:sz w:val="28"/>
          <w:szCs w:val="28"/>
        </w:rPr>
        <w:t>3.前期为本项目提供整体设计、规范编制或者项目管理、监理、检测等服务的供应商，不得参加本项目投标。</w:t>
      </w:r>
    </w:p>
    <w:p>
      <w:pPr>
        <w:spacing w:line="520" w:lineRule="exact"/>
        <w:ind w:firstLine="420"/>
        <w:rPr>
          <w:rFonts w:cs="宋体" w:asciiTheme="minorEastAsia" w:hAnsiTheme="minorEastAsia" w:eastAsiaTheme="minorEastAsia"/>
          <w:kern w:val="1"/>
          <w:sz w:val="28"/>
          <w:szCs w:val="28"/>
        </w:rPr>
      </w:pPr>
      <w:r>
        <w:rPr>
          <w:rFonts w:cs="宋体" w:asciiTheme="minorEastAsia" w:hAnsiTheme="minorEastAsia" w:eastAsiaTheme="minorEastAsia"/>
          <w:kern w:val="1"/>
          <w:sz w:val="28"/>
          <w:szCs w:val="28"/>
        </w:rPr>
        <w:t>4.单位</w:t>
      </w:r>
      <w:r>
        <w:rPr>
          <w:rFonts w:hint="eastAsia" w:cs="宋体" w:asciiTheme="minorEastAsia" w:hAnsiTheme="minorEastAsia" w:eastAsiaTheme="minorEastAsia"/>
          <w:kern w:val="1"/>
          <w:sz w:val="28"/>
          <w:szCs w:val="28"/>
        </w:rPr>
        <w:t>的法定代表人或负责人为同一人，或者存在直接控股、管理关系，或者隶属于同一总行、分行</w:t>
      </w:r>
      <w:r>
        <w:rPr>
          <w:rFonts w:cs="宋体" w:asciiTheme="minorEastAsia" w:hAnsiTheme="minorEastAsia" w:eastAsiaTheme="minorEastAsia"/>
          <w:kern w:val="1"/>
          <w:sz w:val="28"/>
          <w:szCs w:val="28"/>
        </w:rPr>
        <w:t>(</w:t>
      </w:r>
      <w:r>
        <w:rPr>
          <w:rFonts w:hint="eastAsia" w:cs="宋体" w:asciiTheme="minorEastAsia" w:hAnsiTheme="minorEastAsia" w:eastAsiaTheme="minorEastAsia"/>
          <w:kern w:val="1"/>
          <w:sz w:val="28"/>
          <w:szCs w:val="28"/>
        </w:rPr>
        <w:t>或支行</w:t>
      </w:r>
      <w:r>
        <w:rPr>
          <w:rFonts w:cs="宋体" w:asciiTheme="minorEastAsia" w:hAnsiTheme="minorEastAsia" w:eastAsiaTheme="minorEastAsia"/>
          <w:kern w:val="1"/>
          <w:sz w:val="28"/>
          <w:szCs w:val="28"/>
        </w:rPr>
        <w:t>)</w:t>
      </w:r>
      <w:r>
        <w:rPr>
          <w:rFonts w:hint="eastAsia" w:cs="宋体" w:asciiTheme="minorEastAsia" w:hAnsiTheme="minorEastAsia" w:eastAsiaTheme="minorEastAsia"/>
          <w:kern w:val="1"/>
          <w:sz w:val="28"/>
          <w:szCs w:val="28"/>
        </w:rPr>
        <w:t>的不同供应商，不得同时参加本项目投标，否则同时取消投标资格。</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kern w:val="1"/>
          <w:sz w:val="28"/>
          <w:szCs w:val="28"/>
        </w:rPr>
        <w:t>5.</w:t>
      </w:r>
      <w:r>
        <w:rPr>
          <w:rFonts w:hint="eastAsia" w:cs="宋体" w:asciiTheme="minorEastAsia" w:hAnsiTheme="minorEastAsia" w:eastAsiaTheme="minorEastAsia"/>
          <w:kern w:val="1"/>
          <w:sz w:val="28"/>
          <w:szCs w:val="28"/>
        </w:rPr>
        <w:t>根据《财政部关于印发&lt;财政专户管理办法&gt;的通知》（财库〔2013〕46号），本项目是江门市本级非税收入代收银行资格服务项目，供应商应为经中国银行业监督管理委员会批准设立的，在江门市辖区（蓬江区、江海区、新会区）范围内取得营业执照并依法设立总行、分行(或支行)的商业银行、城市信用合作社、农村信用合作社等金融机构。</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6.</w:t>
      </w:r>
      <w:r>
        <w:rPr>
          <w:rFonts w:hint="eastAsia" w:cs="宋体" w:asciiTheme="minorEastAsia" w:hAnsiTheme="minorEastAsia" w:eastAsiaTheme="minorEastAsia"/>
          <w:sz w:val="28"/>
          <w:szCs w:val="28"/>
        </w:rPr>
        <w:t>供应商须持有中国银行业监督管理委员会或分支机构核发的《金融许可证》。</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7.本项目不接受联合体投标。</w:t>
      </w:r>
    </w:p>
    <w:p>
      <w:pPr>
        <w:pStyle w:val="3"/>
        <w:spacing w:before="0" w:after="0" w:line="520" w:lineRule="exact"/>
        <w:ind w:firstLine="562" w:firstLineChars="200"/>
        <w:rPr>
          <w:rFonts w:cs="宋体" w:asciiTheme="minorEastAsia" w:hAnsiTheme="minorEastAsia" w:eastAsiaTheme="minorEastAsia"/>
          <w:sz w:val="28"/>
          <w:szCs w:val="28"/>
        </w:rPr>
      </w:pPr>
      <w:bookmarkStart w:id="6" w:name="_Toc3141"/>
      <w:bookmarkStart w:id="7" w:name="_Toc5930"/>
      <w:bookmarkStart w:id="8" w:name="_Toc661"/>
      <w:r>
        <w:rPr>
          <w:rFonts w:hint="eastAsia" w:cs="宋体" w:asciiTheme="minorEastAsia" w:hAnsiTheme="minorEastAsia" w:eastAsiaTheme="minorEastAsia"/>
          <w:sz w:val="28"/>
          <w:szCs w:val="28"/>
        </w:rPr>
        <w:t>三、招标文件公示</w:t>
      </w:r>
      <w:bookmarkEnd w:id="6"/>
      <w:bookmarkEnd w:id="7"/>
      <w:bookmarkEnd w:id="8"/>
    </w:p>
    <w:p>
      <w:pPr>
        <w:pStyle w:val="20"/>
        <w:spacing w:line="520" w:lineRule="exact"/>
        <w:ind w:firstLine="560" w:firstLineChars="200"/>
        <w:rPr>
          <w:rFonts w:cs="宋体" w:asciiTheme="minorEastAsia" w:hAnsiTheme="minorEastAsia" w:eastAsiaTheme="minorEastAsia"/>
          <w:sz w:val="28"/>
          <w:szCs w:val="28"/>
        </w:rPr>
      </w:pPr>
      <w:bookmarkStart w:id="9" w:name="_Toc3641"/>
      <w:bookmarkStart w:id="10" w:name="_Toc5119"/>
      <w:bookmarkStart w:id="11" w:name="_Toc21798"/>
      <w:r>
        <w:rPr>
          <w:rFonts w:hint="eastAsia" w:cs="宋体" w:asciiTheme="minorEastAsia" w:hAnsiTheme="minorEastAsia" w:eastAsiaTheme="minorEastAsia"/>
          <w:sz w:val="28"/>
          <w:szCs w:val="28"/>
        </w:rPr>
        <w:t>自本公告发布之日起</w:t>
      </w:r>
      <w:r>
        <w:rPr>
          <w:rFonts w:cs="宋体" w:asciiTheme="minorEastAsia" w:hAnsiTheme="minorEastAsia" w:eastAsiaTheme="minorEastAsia"/>
          <w:sz w:val="28"/>
          <w:szCs w:val="28"/>
        </w:rPr>
        <w:t>5个工作日。</w:t>
      </w:r>
    </w:p>
    <w:p>
      <w:pPr>
        <w:pStyle w:val="2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供应商认为文件的内容损害其权益的，可以在公示期间或者自期满之日起七个工作日内以纸质文件形式（加盖单位公章，电子文件、复印件、扫描件、电话咨询、传真或电邮等方式无效）向招标人或者我中心提出质疑。</w:t>
      </w:r>
    </w:p>
    <w:p>
      <w:pPr>
        <w:pStyle w:val="3"/>
        <w:spacing w:before="0" w:after="0" w:line="520" w:lineRule="exact"/>
        <w:ind w:firstLine="562" w:firstLineChars="200"/>
        <w:rPr>
          <w:rFonts w:cs="宋体" w:asciiTheme="minorEastAsia" w:hAnsiTheme="minorEastAsia" w:eastAsiaTheme="minorEastAsia"/>
          <w:sz w:val="28"/>
          <w:szCs w:val="28"/>
        </w:rPr>
      </w:pPr>
      <w:bookmarkStart w:id="12" w:name="_Toc18913"/>
      <w:r>
        <w:rPr>
          <w:rFonts w:hint="eastAsia" w:cs="宋体" w:asciiTheme="minorEastAsia" w:hAnsiTheme="minorEastAsia" w:eastAsiaTheme="minorEastAsia"/>
          <w:sz w:val="28"/>
          <w:szCs w:val="28"/>
        </w:rPr>
        <w:t>四、报名和获取招标文件</w:t>
      </w:r>
      <w:bookmarkEnd w:id="9"/>
      <w:bookmarkEnd w:id="10"/>
      <w:bookmarkEnd w:id="11"/>
      <w:bookmarkEnd w:id="12"/>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1.获取招标文件方式：现场获取</w:t>
      </w:r>
      <w:r>
        <w:rPr>
          <w:rFonts w:hint="eastAsia" w:cs="宋体" w:asciiTheme="minorEastAsia" w:hAnsiTheme="minorEastAsia" w:eastAsiaTheme="minorEastAsia"/>
          <w:sz w:val="28"/>
          <w:szCs w:val="28"/>
        </w:rPr>
        <w:t>（需携带《获取招标文件授权书》，加盖供应商公章）</w:t>
      </w:r>
      <w:r>
        <w:rPr>
          <w:rFonts w:cs="宋体" w:asciiTheme="minorEastAsia" w:hAnsiTheme="minorEastAsia" w:eastAsiaTheme="minorEastAsia"/>
          <w:sz w:val="28"/>
          <w:szCs w:val="28"/>
        </w:rPr>
        <w:t>。</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2.供应商获取招标文件时间：</w:t>
      </w:r>
      <w:r>
        <w:rPr>
          <w:rFonts w:hint="eastAsia" w:cs="宋体" w:asciiTheme="minorEastAsia" w:hAnsiTheme="minorEastAsia" w:eastAsiaTheme="minorEastAsia"/>
          <w:sz w:val="28"/>
          <w:szCs w:val="28"/>
        </w:rPr>
        <w:t>2022年5月11日至5月19日的工作日，每日上午9:00时至12:00时，下午14:30时至17:30时</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3.获取招标文件地点：江门市政府</w:t>
      </w:r>
      <w:r>
        <w:rPr>
          <w:rFonts w:cs="宋体" w:asciiTheme="minorEastAsia" w:hAnsiTheme="minorEastAsia" w:eastAsiaTheme="minorEastAsia"/>
          <w:color w:val="000000" w:themeColor="text1"/>
          <w:sz w:val="28"/>
          <w:szCs w:val="28"/>
          <w14:textFill>
            <w14:solidFill>
              <w14:schemeClr w14:val="tx1"/>
            </w14:solidFill>
          </w14:textFill>
        </w:rPr>
        <w:t>采购</w:t>
      </w:r>
      <w:r>
        <w:rPr>
          <w:rFonts w:cs="宋体" w:asciiTheme="minorEastAsia" w:hAnsiTheme="minorEastAsia" w:eastAsiaTheme="minorEastAsia"/>
          <w:sz w:val="28"/>
          <w:szCs w:val="28"/>
        </w:rPr>
        <w:t>中心（江门市蓬江区堤西路88号三楼）</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4.</w:t>
      </w:r>
      <w:r>
        <w:rPr>
          <w:rFonts w:hint="eastAsia" w:cs="宋体" w:asciiTheme="minorEastAsia" w:hAnsiTheme="minorEastAsia" w:eastAsiaTheme="minorEastAsia"/>
          <w:sz w:val="28"/>
          <w:szCs w:val="28"/>
        </w:rPr>
        <w:t>售价：本项目不收取标书费。</w:t>
      </w:r>
    </w:p>
    <w:p>
      <w:pPr>
        <w:pStyle w:val="3"/>
        <w:spacing w:before="0" w:after="0" w:line="520" w:lineRule="exact"/>
        <w:ind w:firstLine="562" w:firstLineChars="200"/>
        <w:rPr>
          <w:rFonts w:cs="宋体" w:asciiTheme="minorEastAsia" w:hAnsiTheme="minorEastAsia" w:eastAsiaTheme="minorEastAsia"/>
          <w:sz w:val="28"/>
          <w:szCs w:val="28"/>
        </w:rPr>
      </w:pPr>
      <w:bookmarkStart w:id="13" w:name="_Toc7984"/>
      <w:bookmarkStart w:id="14" w:name="_Toc14971"/>
      <w:bookmarkStart w:id="15" w:name="_Toc10225"/>
      <w:r>
        <w:rPr>
          <w:rFonts w:hint="eastAsia" w:cs="宋体" w:asciiTheme="minorEastAsia" w:hAnsiTheme="minorEastAsia" w:eastAsiaTheme="minorEastAsia"/>
          <w:sz w:val="28"/>
          <w:szCs w:val="28"/>
        </w:rPr>
        <w:t>五、接收投标文件的时间、地点、截止时间，开标时间、地点</w:t>
      </w:r>
      <w:bookmarkEnd w:id="13"/>
      <w:bookmarkEnd w:id="14"/>
      <w:bookmarkEnd w:id="15"/>
    </w:p>
    <w:p>
      <w:pPr>
        <w:spacing w:line="520" w:lineRule="exact"/>
        <w:ind w:firstLine="630" w:firstLineChars="225"/>
        <w:rPr>
          <w:rFonts w:cs="宋体" w:asciiTheme="minorEastAsia" w:hAnsiTheme="minorEastAsia" w:eastAsiaTheme="minorEastAsia"/>
          <w:kern w:val="1"/>
          <w:sz w:val="28"/>
          <w:szCs w:val="28"/>
        </w:rPr>
      </w:pPr>
      <w:r>
        <w:rPr>
          <w:rFonts w:cs="宋体" w:asciiTheme="minorEastAsia" w:hAnsiTheme="minorEastAsia" w:eastAsiaTheme="minorEastAsia"/>
          <w:kern w:val="1"/>
          <w:sz w:val="28"/>
          <w:szCs w:val="28"/>
        </w:rPr>
        <w:t>1.接收投标文件时间：202</w:t>
      </w:r>
      <w:r>
        <w:rPr>
          <w:rFonts w:hint="eastAsia" w:cs="宋体" w:asciiTheme="minorEastAsia" w:hAnsiTheme="minorEastAsia" w:eastAsiaTheme="minorEastAsia"/>
          <w:kern w:val="1"/>
          <w:sz w:val="28"/>
          <w:szCs w:val="28"/>
        </w:rPr>
        <w:t>2</w:t>
      </w:r>
      <w:r>
        <w:rPr>
          <w:rFonts w:cs="宋体" w:asciiTheme="minorEastAsia" w:hAnsiTheme="minorEastAsia" w:eastAsiaTheme="minorEastAsia"/>
          <w:kern w:val="1"/>
          <w:sz w:val="28"/>
          <w:szCs w:val="28"/>
        </w:rPr>
        <w:t>年</w:t>
      </w:r>
      <w:r>
        <w:rPr>
          <w:rFonts w:hint="eastAsia" w:cs="宋体" w:asciiTheme="minorEastAsia" w:hAnsiTheme="minorEastAsia" w:eastAsiaTheme="minorEastAsia"/>
          <w:kern w:val="1"/>
          <w:sz w:val="28"/>
          <w:szCs w:val="28"/>
        </w:rPr>
        <w:t>5</w:t>
      </w:r>
      <w:r>
        <w:rPr>
          <w:rFonts w:cs="宋体" w:asciiTheme="minorEastAsia" w:hAnsiTheme="minorEastAsia" w:eastAsiaTheme="minorEastAsia"/>
          <w:kern w:val="1"/>
          <w:sz w:val="28"/>
          <w:szCs w:val="28"/>
        </w:rPr>
        <w:t>月</w:t>
      </w:r>
      <w:r>
        <w:rPr>
          <w:rFonts w:hint="eastAsia" w:cs="宋体" w:asciiTheme="minorEastAsia" w:hAnsiTheme="minorEastAsia" w:eastAsiaTheme="minorEastAsia"/>
          <w:kern w:val="1"/>
          <w:sz w:val="28"/>
          <w:szCs w:val="28"/>
        </w:rPr>
        <w:t>31</w:t>
      </w:r>
      <w:r>
        <w:rPr>
          <w:rFonts w:cs="宋体" w:asciiTheme="minorEastAsia" w:hAnsiTheme="minorEastAsia" w:eastAsiaTheme="minorEastAsia"/>
          <w:kern w:val="1"/>
          <w:sz w:val="28"/>
          <w:szCs w:val="28"/>
        </w:rPr>
        <w:t>日9：00时至9：30时。不接受提前、逾期递交的投标文件或不符合规定的投标文件。</w:t>
      </w:r>
    </w:p>
    <w:p>
      <w:pPr>
        <w:spacing w:line="520" w:lineRule="exact"/>
        <w:ind w:firstLine="630" w:firstLineChars="225"/>
        <w:rPr>
          <w:rFonts w:cs="宋体" w:asciiTheme="minorEastAsia" w:hAnsiTheme="minorEastAsia" w:eastAsiaTheme="minorEastAsia"/>
          <w:kern w:val="1"/>
          <w:sz w:val="28"/>
          <w:szCs w:val="28"/>
        </w:rPr>
      </w:pPr>
      <w:r>
        <w:rPr>
          <w:rFonts w:cs="宋体" w:asciiTheme="minorEastAsia" w:hAnsiTheme="minorEastAsia" w:eastAsiaTheme="minorEastAsia"/>
          <w:kern w:val="1"/>
          <w:sz w:val="28"/>
          <w:szCs w:val="28"/>
        </w:rPr>
        <w:t>2.投标截止时间：202</w:t>
      </w:r>
      <w:r>
        <w:rPr>
          <w:rFonts w:hint="eastAsia" w:cs="宋体" w:asciiTheme="minorEastAsia" w:hAnsiTheme="minorEastAsia" w:eastAsiaTheme="minorEastAsia"/>
          <w:kern w:val="1"/>
          <w:sz w:val="28"/>
          <w:szCs w:val="28"/>
        </w:rPr>
        <w:t>2</w:t>
      </w:r>
      <w:r>
        <w:rPr>
          <w:rFonts w:cs="宋体" w:asciiTheme="minorEastAsia" w:hAnsiTheme="minorEastAsia" w:eastAsiaTheme="minorEastAsia"/>
          <w:kern w:val="1"/>
          <w:sz w:val="28"/>
          <w:szCs w:val="28"/>
        </w:rPr>
        <w:t>年</w:t>
      </w:r>
      <w:r>
        <w:rPr>
          <w:rFonts w:hint="eastAsia" w:cs="宋体" w:asciiTheme="minorEastAsia" w:hAnsiTheme="minorEastAsia" w:eastAsiaTheme="minorEastAsia"/>
          <w:kern w:val="1"/>
          <w:sz w:val="28"/>
          <w:szCs w:val="28"/>
        </w:rPr>
        <w:t>5</w:t>
      </w:r>
      <w:r>
        <w:rPr>
          <w:rFonts w:cs="宋体" w:asciiTheme="minorEastAsia" w:hAnsiTheme="minorEastAsia" w:eastAsiaTheme="minorEastAsia"/>
          <w:kern w:val="1"/>
          <w:sz w:val="28"/>
          <w:szCs w:val="28"/>
        </w:rPr>
        <w:t>月</w:t>
      </w:r>
      <w:r>
        <w:rPr>
          <w:rFonts w:hint="eastAsia" w:cs="宋体" w:asciiTheme="minorEastAsia" w:hAnsiTheme="minorEastAsia" w:eastAsiaTheme="minorEastAsia"/>
          <w:kern w:val="1"/>
          <w:sz w:val="28"/>
          <w:szCs w:val="28"/>
        </w:rPr>
        <w:t>31</w:t>
      </w:r>
      <w:r>
        <w:rPr>
          <w:rFonts w:cs="宋体" w:asciiTheme="minorEastAsia" w:hAnsiTheme="minorEastAsia" w:eastAsiaTheme="minorEastAsia"/>
          <w:kern w:val="1"/>
          <w:sz w:val="28"/>
          <w:szCs w:val="28"/>
        </w:rPr>
        <w:t>日9：30时。</w:t>
      </w:r>
    </w:p>
    <w:p>
      <w:pPr>
        <w:spacing w:line="520" w:lineRule="exact"/>
        <w:ind w:firstLine="630" w:firstLineChars="225"/>
        <w:rPr>
          <w:rFonts w:cs="宋体" w:asciiTheme="minorEastAsia" w:hAnsiTheme="minorEastAsia" w:eastAsiaTheme="minorEastAsia"/>
          <w:kern w:val="1"/>
          <w:sz w:val="28"/>
          <w:szCs w:val="28"/>
        </w:rPr>
      </w:pPr>
      <w:r>
        <w:rPr>
          <w:rFonts w:cs="宋体" w:asciiTheme="minorEastAsia" w:hAnsiTheme="minorEastAsia" w:eastAsiaTheme="minorEastAsia"/>
          <w:kern w:val="1"/>
          <w:sz w:val="28"/>
          <w:szCs w:val="28"/>
        </w:rPr>
        <w:t>3.接收投标文件地点：江门市公共资源交易中心开标室（地址：江门市蓬江区堤西路88号三楼）。</w:t>
      </w:r>
    </w:p>
    <w:p>
      <w:pPr>
        <w:spacing w:line="520" w:lineRule="exact"/>
        <w:ind w:firstLine="630" w:firstLineChars="225"/>
        <w:rPr>
          <w:rFonts w:cs="宋体" w:asciiTheme="minorEastAsia" w:hAnsiTheme="minorEastAsia" w:eastAsiaTheme="minorEastAsia"/>
          <w:kern w:val="1"/>
          <w:sz w:val="28"/>
          <w:szCs w:val="28"/>
        </w:rPr>
      </w:pPr>
      <w:r>
        <w:rPr>
          <w:rFonts w:cs="宋体" w:asciiTheme="minorEastAsia" w:hAnsiTheme="minorEastAsia" w:eastAsiaTheme="minorEastAsia"/>
          <w:kern w:val="1"/>
          <w:sz w:val="28"/>
          <w:szCs w:val="28"/>
        </w:rPr>
        <w:t>4.开标时间：202</w:t>
      </w:r>
      <w:r>
        <w:rPr>
          <w:rFonts w:hint="eastAsia" w:cs="宋体" w:asciiTheme="minorEastAsia" w:hAnsiTheme="minorEastAsia" w:eastAsiaTheme="minorEastAsia"/>
          <w:kern w:val="1"/>
          <w:sz w:val="28"/>
          <w:szCs w:val="28"/>
        </w:rPr>
        <w:t>2</w:t>
      </w:r>
      <w:r>
        <w:rPr>
          <w:rFonts w:cs="宋体" w:asciiTheme="minorEastAsia" w:hAnsiTheme="minorEastAsia" w:eastAsiaTheme="minorEastAsia"/>
          <w:kern w:val="1"/>
          <w:sz w:val="28"/>
          <w:szCs w:val="28"/>
        </w:rPr>
        <w:t>年</w:t>
      </w:r>
      <w:r>
        <w:rPr>
          <w:rFonts w:hint="eastAsia" w:cs="宋体" w:asciiTheme="minorEastAsia" w:hAnsiTheme="minorEastAsia" w:eastAsiaTheme="minorEastAsia"/>
          <w:kern w:val="1"/>
          <w:sz w:val="28"/>
          <w:szCs w:val="28"/>
        </w:rPr>
        <w:t>5</w:t>
      </w:r>
      <w:r>
        <w:rPr>
          <w:rFonts w:cs="宋体" w:asciiTheme="minorEastAsia" w:hAnsiTheme="minorEastAsia" w:eastAsiaTheme="minorEastAsia"/>
          <w:kern w:val="1"/>
          <w:sz w:val="28"/>
          <w:szCs w:val="28"/>
        </w:rPr>
        <w:t>月</w:t>
      </w:r>
      <w:r>
        <w:rPr>
          <w:rFonts w:hint="eastAsia" w:cs="宋体" w:asciiTheme="minorEastAsia" w:hAnsiTheme="minorEastAsia" w:eastAsiaTheme="minorEastAsia"/>
          <w:kern w:val="1"/>
          <w:sz w:val="28"/>
          <w:szCs w:val="28"/>
        </w:rPr>
        <w:t>31</w:t>
      </w:r>
      <w:r>
        <w:rPr>
          <w:rFonts w:cs="宋体" w:asciiTheme="minorEastAsia" w:hAnsiTheme="minorEastAsia" w:eastAsiaTheme="minorEastAsia"/>
          <w:kern w:val="1"/>
          <w:sz w:val="28"/>
          <w:szCs w:val="28"/>
        </w:rPr>
        <w:t>日9：30时。</w:t>
      </w:r>
    </w:p>
    <w:p>
      <w:pPr>
        <w:spacing w:line="520" w:lineRule="exact"/>
        <w:ind w:firstLine="630" w:firstLineChars="225"/>
        <w:rPr>
          <w:rFonts w:cs="宋体" w:asciiTheme="minorEastAsia" w:hAnsiTheme="minorEastAsia" w:eastAsiaTheme="minorEastAsia"/>
          <w:kern w:val="1"/>
          <w:sz w:val="28"/>
          <w:szCs w:val="28"/>
        </w:rPr>
      </w:pPr>
      <w:r>
        <w:rPr>
          <w:rFonts w:cs="宋体" w:asciiTheme="minorEastAsia" w:hAnsiTheme="minorEastAsia" w:eastAsiaTheme="minorEastAsia"/>
          <w:kern w:val="1"/>
          <w:sz w:val="28"/>
          <w:szCs w:val="28"/>
        </w:rPr>
        <w:t>5.开标地点：江门市公共资源交易中心开标室。（地址：江门市蓬江区堤西路88号三楼）</w:t>
      </w:r>
    </w:p>
    <w:p>
      <w:pPr>
        <w:pStyle w:val="3"/>
        <w:spacing w:before="0" w:after="0" w:line="520" w:lineRule="exact"/>
        <w:ind w:firstLine="562" w:firstLineChars="200"/>
        <w:rPr>
          <w:rFonts w:cs="宋体" w:asciiTheme="minorEastAsia" w:hAnsiTheme="minorEastAsia" w:eastAsiaTheme="minorEastAsia"/>
          <w:sz w:val="28"/>
          <w:szCs w:val="28"/>
        </w:rPr>
      </w:pPr>
      <w:bookmarkStart w:id="16" w:name="_Toc26822"/>
      <w:r>
        <w:rPr>
          <w:rFonts w:hint="eastAsia" w:cs="宋体" w:asciiTheme="minorEastAsia" w:hAnsiTheme="minorEastAsia" w:eastAsiaTheme="minorEastAsia"/>
          <w:sz w:val="28"/>
          <w:szCs w:val="28"/>
        </w:rPr>
        <w:t>六、招标人、招标代理机构的名称、地址和联系方式</w:t>
      </w:r>
      <w:bookmarkEnd w:id="16"/>
    </w:p>
    <w:p>
      <w:pPr>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招标人名称：江门市财政局</w:t>
      </w:r>
    </w:p>
    <w:p>
      <w:pPr>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地址：广东省江门市蓬江区华园中路</w:t>
      </w:r>
      <w:r>
        <w:rPr>
          <w:rFonts w:cs="宋体" w:asciiTheme="minorEastAsia" w:hAnsiTheme="minorEastAsia" w:eastAsiaTheme="minorEastAsia"/>
          <w:sz w:val="28"/>
          <w:szCs w:val="28"/>
        </w:rPr>
        <w:t>21-23号</w:t>
      </w:r>
    </w:p>
    <w:p>
      <w:pPr>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联系人：江小姐</w:t>
      </w:r>
    </w:p>
    <w:p>
      <w:pPr>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联系电话：</w:t>
      </w:r>
      <w:r>
        <w:rPr>
          <w:rFonts w:cs="宋体" w:asciiTheme="minorEastAsia" w:hAnsiTheme="minorEastAsia" w:eastAsiaTheme="minorEastAsia"/>
          <w:sz w:val="28"/>
          <w:szCs w:val="28"/>
        </w:rPr>
        <w:t>0750-3501</w:t>
      </w:r>
      <w:r>
        <w:rPr>
          <w:rFonts w:hint="eastAsia" w:cs="宋体" w:asciiTheme="minorEastAsia" w:hAnsiTheme="minorEastAsia" w:eastAsiaTheme="minorEastAsia"/>
          <w:sz w:val="28"/>
          <w:szCs w:val="28"/>
        </w:rPr>
        <w:t>948</w:t>
      </w:r>
    </w:p>
    <w:p>
      <w:pPr>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招标代理机构名称：江门市政府</w:t>
      </w:r>
      <w:r>
        <w:rPr>
          <w:rFonts w:hint="eastAsia" w:cs="宋体" w:asciiTheme="minorEastAsia" w:hAnsiTheme="minorEastAsia" w:eastAsiaTheme="minorEastAsia"/>
          <w:color w:val="000000" w:themeColor="text1"/>
          <w:sz w:val="28"/>
          <w:szCs w:val="28"/>
          <w14:textFill>
            <w14:solidFill>
              <w14:schemeClr w14:val="tx1"/>
            </w14:solidFill>
          </w14:textFill>
        </w:rPr>
        <w:t>采购</w:t>
      </w:r>
      <w:r>
        <w:rPr>
          <w:rFonts w:hint="eastAsia" w:cs="宋体" w:asciiTheme="minorEastAsia" w:hAnsiTheme="minorEastAsia" w:eastAsiaTheme="minorEastAsia"/>
          <w:sz w:val="28"/>
          <w:szCs w:val="28"/>
        </w:rPr>
        <w:t>中心</w:t>
      </w:r>
    </w:p>
    <w:p>
      <w:pPr>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地址：广东省江门市蓬江区堤西路</w:t>
      </w:r>
      <w:r>
        <w:rPr>
          <w:rFonts w:cs="宋体" w:asciiTheme="minorEastAsia" w:hAnsiTheme="minorEastAsia" w:eastAsiaTheme="minorEastAsia"/>
          <w:sz w:val="28"/>
          <w:szCs w:val="28"/>
        </w:rPr>
        <w:t>88号三楼</w:t>
      </w:r>
    </w:p>
    <w:p>
      <w:pPr>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联系人：</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陈先生</w:t>
      </w:r>
    </w:p>
    <w:p>
      <w:pPr>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联系电话：</w:t>
      </w:r>
      <w:r>
        <w:rPr>
          <w:rFonts w:cs="宋体" w:asciiTheme="minorEastAsia" w:hAnsiTheme="minorEastAsia" w:eastAsiaTheme="minorEastAsia"/>
          <w:sz w:val="28"/>
          <w:szCs w:val="28"/>
        </w:rPr>
        <w:t>0750-3509013</w:t>
      </w:r>
    </w:p>
    <w:p>
      <w:pPr>
        <w:pStyle w:val="20"/>
        <w:spacing w:line="520" w:lineRule="exact"/>
        <w:ind w:right="-3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  </w:t>
      </w:r>
    </w:p>
    <w:p>
      <w:pPr>
        <w:pStyle w:val="20"/>
        <w:spacing w:line="520" w:lineRule="exact"/>
        <w:ind w:left="160" w:right="-30"/>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                                        江门市政府</w:t>
      </w:r>
      <w:r>
        <w:rPr>
          <w:rFonts w:cs="宋体" w:asciiTheme="minorEastAsia" w:hAnsiTheme="minorEastAsia" w:eastAsiaTheme="minorEastAsia"/>
          <w:color w:val="000000" w:themeColor="text1"/>
          <w:sz w:val="28"/>
          <w:szCs w:val="28"/>
          <w14:textFill>
            <w14:solidFill>
              <w14:schemeClr w14:val="tx1"/>
            </w14:solidFill>
          </w14:textFill>
        </w:rPr>
        <w:t>采购</w:t>
      </w:r>
      <w:r>
        <w:rPr>
          <w:rFonts w:cs="宋体" w:asciiTheme="minorEastAsia" w:hAnsiTheme="minorEastAsia" w:eastAsiaTheme="minorEastAsia"/>
          <w:sz w:val="28"/>
          <w:szCs w:val="28"/>
        </w:rPr>
        <w:t xml:space="preserve">中心             </w:t>
      </w:r>
    </w:p>
    <w:p>
      <w:pPr>
        <w:pStyle w:val="20"/>
        <w:spacing w:line="520" w:lineRule="exact"/>
        <w:ind w:left="160" w:right="-30"/>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                                       202</w:t>
      </w:r>
      <w:r>
        <w:rPr>
          <w:rFonts w:hint="eastAsia" w:cs="宋体" w:asciiTheme="minorEastAsia" w:hAnsiTheme="minorEastAsia" w:eastAsiaTheme="minorEastAsia"/>
          <w:sz w:val="28"/>
          <w:szCs w:val="28"/>
        </w:rPr>
        <w:t>2</w:t>
      </w:r>
      <w:r>
        <w:rPr>
          <w:rFonts w:cs="宋体" w:asciiTheme="minorEastAsia" w:hAnsiTheme="minorEastAsia" w:eastAsiaTheme="minorEastAsia"/>
          <w:sz w:val="28"/>
          <w:szCs w:val="28"/>
        </w:rPr>
        <w:t>年</w:t>
      </w:r>
      <w:r>
        <w:rPr>
          <w:rFonts w:hint="eastAsia" w:cs="宋体" w:asciiTheme="minorEastAsia" w:hAnsiTheme="minorEastAsia" w:eastAsiaTheme="minorEastAsia"/>
          <w:sz w:val="28"/>
          <w:szCs w:val="28"/>
        </w:rPr>
        <w:t>5</w:t>
      </w:r>
      <w:r>
        <w:rPr>
          <w:rFonts w:cs="宋体" w:asciiTheme="minorEastAsia" w:hAnsiTheme="minorEastAsia" w:eastAsiaTheme="minorEastAsia"/>
          <w:sz w:val="28"/>
          <w:szCs w:val="28"/>
        </w:rPr>
        <w:t>月</w:t>
      </w:r>
      <w:r>
        <w:rPr>
          <w:rFonts w:hint="eastAsia" w:cs="宋体" w:asciiTheme="minorEastAsia" w:hAnsiTheme="minorEastAsia" w:eastAsiaTheme="minorEastAsia"/>
          <w:sz w:val="28"/>
          <w:szCs w:val="28"/>
        </w:rPr>
        <w:t>10</w:t>
      </w:r>
      <w:r>
        <w:rPr>
          <w:rFonts w:cs="宋体" w:asciiTheme="minorEastAsia" w:hAnsiTheme="minorEastAsia" w:eastAsiaTheme="minorEastAsia"/>
          <w:sz w:val="28"/>
          <w:szCs w:val="28"/>
        </w:rPr>
        <w:t>日</w:t>
      </w:r>
    </w:p>
    <w:p>
      <w:pPr>
        <w:spacing w:line="520" w:lineRule="exact"/>
        <w:rPr>
          <w:rFonts w:cs="宋体" w:asciiTheme="minorEastAsia" w:hAnsiTheme="minorEastAsia" w:eastAsiaTheme="minorEastAsia"/>
          <w:sz w:val="28"/>
          <w:szCs w:val="28"/>
        </w:rPr>
      </w:pPr>
      <w:bookmarkStart w:id="17" w:name="_Toc56352967"/>
      <w:bookmarkStart w:id="18" w:name="_Toc467236722"/>
      <w:bookmarkStart w:id="19" w:name="_Toc486671526"/>
      <w:bookmarkStart w:id="20" w:name="_Toc52021497"/>
      <w:bookmarkStart w:id="21" w:name="_Toc51756450"/>
      <w:bookmarkStart w:id="22" w:name="_Toc52027884"/>
      <w:bookmarkStart w:id="23" w:name="_Toc458262591"/>
      <w:bookmarkStart w:id="24" w:name="_Toc476976154"/>
      <w:bookmarkStart w:id="25" w:name="_Toc51939415"/>
    </w:p>
    <w:p>
      <w:pPr>
        <w:spacing w:line="520" w:lineRule="exact"/>
        <w:rPr>
          <w:rFonts w:cs="宋体" w:asciiTheme="minorEastAsia" w:hAnsiTheme="minorEastAsia" w:eastAsiaTheme="minorEastAsia"/>
          <w:sz w:val="28"/>
          <w:szCs w:val="28"/>
        </w:rPr>
      </w:pPr>
    </w:p>
    <w:p>
      <w:pPr>
        <w:spacing w:line="520" w:lineRule="exact"/>
        <w:rPr>
          <w:rFonts w:cs="宋体" w:asciiTheme="minorEastAsia" w:hAnsiTheme="minorEastAsia" w:eastAsiaTheme="minorEastAsia"/>
          <w:sz w:val="28"/>
          <w:szCs w:val="28"/>
        </w:rPr>
      </w:pPr>
    </w:p>
    <w:p>
      <w:pPr>
        <w:spacing w:line="520" w:lineRule="exact"/>
        <w:rPr>
          <w:rFonts w:cs="宋体" w:asciiTheme="minorEastAsia" w:hAnsiTheme="minorEastAsia" w:eastAsiaTheme="minorEastAsia"/>
          <w:sz w:val="28"/>
          <w:szCs w:val="28"/>
        </w:rPr>
      </w:pPr>
      <w:r>
        <w:rPr>
          <w:rFonts w:cs="宋体" w:asciiTheme="minorEastAsia" w:hAnsiTheme="minorEastAsia" w:eastAsiaTheme="minorEastAsia"/>
          <w:sz w:val="28"/>
          <w:szCs w:val="28"/>
        </w:rPr>
        <w:br w:type="page"/>
      </w:r>
    </w:p>
    <w:p>
      <w:pPr>
        <w:pStyle w:val="2"/>
        <w:spacing w:before="0" w:after="0" w:line="460" w:lineRule="exact"/>
        <w:jc w:val="center"/>
        <w:rPr>
          <w:rFonts w:cs="宋体" w:asciiTheme="minorEastAsia" w:hAnsiTheme="minorEastAsia" w:eastAsiaTheme="minorEastAsia"/>
          <w:sz w:val="30"/>
          <w:szCs w:val="30"/>
        </w:rPr>
      </w:pPr>
      <w:bookmarkStart w:id="26" w:name="_Toc30253"/>
      <w:r>
        <w:rPr>
          <w:rFonts w:hint="eastAsia" w:cs="宋体" w:asciiTheme="minorEastAsia" w:hAnsiTheme="minorEastAsia" w:eastAsiaTheme="minorEastAsia"/>
          <w:sz w:val="30"/>
          <w:szCs w:val="30"/>
        </w:rPr>
        <w:t>第二部分</w:t>
      </w:r>
      <w:bookmarkEnd w:id="17"/>
      <w:bookmarkEnd w:id="18"/>
      <w:bookmarkEnd w:id="19"/>
      <w:bookmarkEnd w:id="20"/>
      <w:bookmarkEnd w:id="21"/>
      <w:bookmarkEnd w:id="22"/>
      <w:bookmarkEnd w:id="23"/>
      <w:bookmarkEnd w:id="24"/>
      <w:bookmarkEnd w:id="25"/>
      <w:r>
        <w:rPr>
          <w:rFonts w:cs="宋体" w:asciiTheme="minorEastAsia" w:hAnsiTheme="minorEastAsia" w:eastAsiaTheme="minorEastAsia"/>
          <w:sz w:val="30"/>
          <w:szCs w:val="30"/>
        </w:rPr>
        <w:t xml:space="preserve">  </w:t>
      </w:r>
      <w:r>
        <w:rPr>
          <w:rFonts w:cs="宋体" w:asciiTheme="minorEastAsia" w:hAnsiTheme="minorEastAsia" w:eastAsiaTheme="minorEastAsia"/>
          <w:color w:val="000000" w:themeColor="text1"/>
          <w:sz w:val="30"/>
          <w:szCs w:val="30"/>
          <w14:textFill>
            <w14:solidFill>
              <w14:schemeClr w14:val="tx1"/>
            </w14:solidFill>
          </w14:textFill>
        </w:rPr>
        <w:t>采购</w:t>
      </w:r>
      <w:r>
        <w:rPr>
          <w:rFonts w:cs="宋体" w:asciiTheme="minorEastAsia" w:hAnsiTheme="minorEastAsia" w:eastAsiaTheme="minorEastAsia"/>
          <w:sz w:val="30"/>
          <w:szCs w:val="30"/>
        </w:rPr>
        <w:t>需求</w:t>
      </w:r>
      <w:bookmarkEnd w:id="26"/>
    </w:p>
    <w:p>
      <w:pPr>
        <w:spacing w:line="520" w:lineRule="exact"/>
        <w:ind w:firstLine="420"/>
        <w:rPr>
          <w:rFonts w:cs="宋体" w:asciiTheme="minorEastAsia" w:hAnsiTheme="minorEastAsia" w:eastAsiaTheme="minorEastAsia"/>
          <w:b/>
          <w:bCs/>
          <w:sz w:val="28"/>
          <w:szCs w:val="28"/>
          <w:lang w:val="zh-CN"/>
        </w:rPr>
      </w:pPr>
      <w:bookmarkStart w:id="27" w:name="_Toc52027886"/>
      <w:bookmarkStart w:id="28" w:name="_Toc51756452"/>
      <w:bookmarkStart w:id="29" w:name="_Toc467236723"/>
      <w:bookmarkStart w:id="30" w:name="_Toc476976155"/>
      <w:bookmarkStart w:id="31" w:name="_Toc52021499"/>
      <w:bookmarkStart w:id="32" w:name="_Toc51939417"/>
      <w:bookmarkStart w:id="33" w:name="_Toc56352971"/>
      <w:bookmarkStart w:id="34" w:name="_Toc486671527"/>
      <w:bookmarkStart w:id="35" w:name="_Toc458262598"/>
    </w:p>
    <w:p>
      <w:pPr>
        <w:pStyle w:val="3"/>
        <w:numPr>
          <w:ilvl w:val="0"/>
          <w:numId w:val="1"/>
        </w:numPr>
        <w:spacing w:before="0" w:after="0" w:line="520" w:lineRule="exact"/>
        <w:rPr>
          <w:rFonts w:cs="宋体" w:asciiTheme="minorEastAsia" w:hAnsiTheme="minorEastAsia" w:eastAsiaTheme="minorEastAsia"/>
          <w:sz w:val="28"/>
          <w:szCs w:val="28"/>
        </w:rPr>
      </w:pPr>
      <w:bookmarkStart w:id="36" w:name="_Toc31607"/>
      <w:r>
        <w:rPr>
          <w:rFonts w:hint="eastAsia" w:cs="宋体" w:asciiTheme="minorEastAsia" w:hAnsiTheme="minorEastAsia" w:eastAsiaTheme="minorEastAsia"/>
          <w:sz w:val="28"/>
          <w:szCs w:val="28"/>
        </w:rPr>
        <w:t>项目介绍</w:t>
      </w:r>
      <w:bookmarkEnd w:id="36"/>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依据《中华人民共和国民法典》、《政府非税收入管理办法》的相关规定，等有关规定，对江门市本级非税收入代收银行资格服务项目进行公开招标。</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根据省政府《印发关于深化收支两条线改革进一步加强和规范非税收入管理意见的通知》(粤府〔2004〕40号) 的要求，经过公开招标方式选择</w:t>
      </w:r>
      <w:r>
        <w:rPr>
          <w:rFonts w:cs="宋体" w:asciiTheme="minorEastAsia" w:hAnsiTheme="minorEastAsia" w:eastAsiaTheme="minorEastAsia"/>
          <w:sz w:val="28"/>
          <w:szCs w:val="28"/>
        </w:rPr>
        <w:t>在江门市辖区（蓬江区、江海区、新会区）范围内取得营业执照并依法设立总行</w:t>
      </w: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分行(</w:t>
      </w:r>
      <w:r>
        <w:rPr>
          <w:rFonts w:hint="eastAsia" w:cs="宋体" w:asciiTheme="minorEastAsia" w:hAnsiTheme="minorEastAsia" w:eastAsiaTheme="minorEastAsia"/>
          <w:sz w:val="28"/>
          <w:szCs w:val="28"/>
        </w:rPr>
        <w:t>或支行</w:t>
      </w:r>
      <w:r>
        <w:rPr>
          <w:rFonts w:cs="宋体" w:asciiTheme="minorEastAsia" w:hAnsiTheme="minorEastAsia" w:eastAsiaTheme="minorEastAsia"/>
          <w:sz w:val="28"/>
          <w:szCs w:val="28"/>
        </w:rPr>
        <w:t>)的商业银行、城市信用合作社、农村信用合作社等金融机构</w:t>
      </w:r>
      <w:r>
        <w:rPr>
          <w:rFonts w:hint="eastAsia" w:cs="宋体" w:asciiTheme="minorEastAsia" w:hAnsiTheme="minorEastAsia" w:eastAsiaTheme="minorEastAsia"/>
          <w:sz w:val="28"/>
          <w:szCs w:val="28"/>
        </w:rPr>
        <w:t>代理江门市本级非税收入(包括行政事业性收费、政府性基金、专项收入、罚没收入和其他非税收入及教育收费等，上级部门另有规定的收缴业务除外），按照招标人与代理银行双方签订的委托代收协议管理代收各事项，并足额及时清算划缴代收资金到江门市人行国库或招标人在代理银行（或其他中标代理银行）开设的市本级非税收入财政专户。</w:t>
      </w:r>
    </w:p>
    <w:p>
      <w:pPr>
        <w:adjustRightInd w:val="0"/>
        <w:snapToGrid w:val="0"/>
        <w:spacing w:line="520" w:lineRule="exact"/>
        <w:ind w:firstLine="632" w:firstLineChars="225"/>
        <w:rPr>
          <w:rFonts w:cs="宋体" w:asciiTheme="minorEastAsia" w:hAnsiTheme="minorEastAsia" w:eastAsiaTheme="minorEastAsia"/>
          <w:sz w:val="28"/>
          <w:szCs w:val="28"/>
        </w:rPr>
      </w:pPr>
      <w:r>
        <w:rPr>
          <w:rFonts w:hint="eastAsia" w:cs="宋体" w:asciiTheme="minorEastAsia" w:hAnsiTheme="minorEastAsia" w:eastAsiaTheme="minorEastAsia"/>
          <w:b/>
          <w:bCs/>
          <w:sz w:val="28"/>
          <w:szCs w:val="28"/>
        </w:rPr>
        <w:t>1. 本项目不限定取得江门市本级非税收入代收银行服务资格的中标人的数量，</w:t>
      </w:r>
      <w:r>
        <w:rPr>
          <w:rFonts w:hint="eastAsia" w:ascii="宋体" w:hAnsi="宋体" w:cs="宋体"/>
          <w:b/>
          <w:sz w:val="28"/>
          <w:szCs w:val="28"/>
        </w:rPr>
        <w:t>凡综合得分达到60分及以上的投标人为</w:t>
      </w:r>
      <w:r>
        <w:rPr>
          <w:rFonts w:hint="eastAsia" w:cs="宋体" w:asciiTheme="minorEastAsia" w:hAnsiTheme="minorEastAsia" w:eastAsiaTheme="minorEastAsia"/>
          <w:b/>
          <w:bCs/>
          <w:sz w:val="28"/>
          <w:szCs w:val="28"/>
        </w:rPr>
        <w:t>江门市本级非税收入代收银行服务资格的中标人。</w:t>
      </w:r>
    </w:p>
    <w:p>
      <w:pPr>
        <w:adjustRightInd w:val="0"/>
        <w:snapToGrid w:val="0"/>
        <w:spacing w:line="520" w:lineRule="exact"/>
        <w:ind w:firstLine="630" w:firstLineChars="225"/>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2.本次招标为服务资格</w:t>
      </w:r>
      <w:r>
        <w:rPr>
          <w:rFonts w:hint="eastAsia" w:cs="宋体" w:asciiTheme="minorEastAsia" w:hAnsiTheme="minorEastAsia" w:eastAsiaTheme="minorEastAsia"/>
          <w:color w:val="000000" w:themeColor="text1"/>
          <w:sz w:val="28"/>
          <w:szCs w:val="28"/>
          <w14:textFill>
            <w14:solidFill>
              <w14:schemeClr w14:val="tx1"/>
            </w14:solidFill>
          </w14:textFill>
        </w:rPr>
        <w:t>采购</w:t>
      </w:r>
      <w:r>
        <w:rPr>
          <w:rFonts w:hint="eastAsia" w:cs="宋体" w:asciiTheme="minorEastAsia" w:hAnsiTheme="minorEastAsia" w:eastAsiaTheme="minorEastAsia"/>
          <w:sz w:val="28"/>
          <w:szCs w:val="28"/>
        </w:rPr>
        <w:t>，中标候选人获得本项目的服务资格并不意味着服务的售出、拥有业务的保障，招标人无法预计也无法保证各中标人所占市场份额的数量，中标人不得异议。</w:t>
      </w:r>
    </w:p>
    <w:p>
      <w:pPr>
        <w:pStyle w:val="3"/>
        <w:spacing w:before="0" w:after="0" w:line="520" w:lineRule="exact"/>
        <w:ind w:firstLine="562" w:firstLineChars="200"/>
        <w:rPr>
          <w:rFonts w:cs="宋体" w:asciiTheme="minorEastAsia" w:hAnsiTheme="minorEastAsia" w:eastAsiaTheme="minorEastAsia"/>
          <w:sz w:val="28"/>
          <w:szCs w:val="28"/>
        </w:rPr>
      </w:pPr>
      <w:bookmarkStart w:id="37" w:name="_Toc19340"/>
      <w:bookmarkStart w:id="38" w:name="_Toc14694"/>
      <w:r>
        <w:rPr>
          <w:rFonts w:hint="eastAsia" w:cs="宋体" w:asciiTheme="minorEastAsia" w:hAnsiTheme="minorEastAsia" w:eastAsiaTheme="minorEastAsia"/>
          <w:sz w:val="28"/>
          <w:szCs w:val="28"/>
        </w:rPr>
        <w:t>二、项目内容</w:t>
      </w:r>
      <w:bookmarkEnd w:id="37"/>
      <w:bookmarkEnd w:id="38"/>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bCs/>
          <w:sz w:val="28"/>
          <w:szCs w:val="28"/>
        </w:rPr>
        <w:t>1.</w:t>
      </w:r>
      <w:r>
        <w:rPr>
          <w:rFonts w:hint="eastAsia" w:cs="宋体" w:asciiTheme="minorEastAsia" w:hAnsiTheme="minorEastAsia" w:eastAsiaTheme="minorEastAsia"/>
          <w:sz w:val="28"/>
          <w:szCs w:val="28"/>
        </w:rPr>
        <w:t>中标人不得将中标项目转让或分包给他人，否则</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人有权单方终止合同，由此产生的一切经济损失由中标人自行承担。</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中标人在合同履行期间内保证对</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人的服务供应，中标后不得拒绝</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人分配的任务。中标人在服务期内没能达到投标文件承诺的服务要求或中标人未按要求履行合同义务或中标人的资质在服务期内发生变化不再符合要求，</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人均有权单方终止协议，由此产生的一切经济损失由中标人自行承担。</w:t>
      </w:r>
    </w:p>
    <w:p>
      <w:pPr>
        <w:adjustRightInd w:val="0"/>
        <w:snapToGrid w:val="0"/>
        <w:spacing w:line="52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2．代理业务分配</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2.1中标人获得本项目的服务资格并不意味拥有业务量保障。</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2.2通过江门市本级广东非税收入管理一体化平台征收的收费项目原则上由缴费人自行选择中标的代理银行。</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2.3因特殊情况不能使用广东非税收入管理一体化平台征收的收费项目，由执收单位自行选择中标的代理银行代理收费。</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2.4通过POS机刷卡收费方式征收的收费项目，由执收单位自行选择中标的代理银行代理收费。</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2.5</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人只负担支付中标人的代收手续费，代理业务过程中 (含POS机和微信、支付宝收费方式)所产生的相关费用由代理银行自行负担。</w:t>
      </w:r>
    </w:p>
    <w:p>
      <w:pPr>
        <w:spacing w:line="520" w:lineRule="exact"/>
        <w:ind w:firstLine="48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 代收手续费</w:t>
      </w:r>
    </w:p>
    <w:p>
      <w:pPr>
        <w:spacing w:line="52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3.1</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按每笔总额的千分之五计付代收手续费（含微信代收、支付宝代收的非税收入，省级非税分成的公安交警罚款收入、以及通过网上银行和银行网点柜台代收划入国库的资金），单笔封顶100元（以一个缴款通知书为一笔）；</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3.2 专用POS代收的非税收入，侨都之窗自助终端代收的非税收入、以及省内公安交通违法异地办理缴交罚款、银行开发的微信代收的公安交警罚款资金（由于银行每日集中一笔统缴国库），按代收总额的千分之五计付手续费，不作封顶；</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3.3代收的缴入财政专户管理的资金不纳入支付手续费的范围；</w:t>
      </w:r>
    </w:p>
    <w:p>
      <w:pPr>
        <w:tabs>
          <w:tab w:val="left" w:pos="709"/>
        </w:tabs>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3.4</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人只负担支付中标人的代收手续费，代理业务过程中（含POS机、微信、侨都之窗自助终端刷卡收费等征收方式）所产生的相关费用由中标人自行负担；</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3.5结算方式按半年计算。</w:t>
      </w:r>
    </w:p>
    <w:p>
      <w:pPr>
        <w:pStyle w:val="3"/>
        <w:spacing w:before="0" w:after="0" w:line="520" w:lineRule="exact"/>
        <w:ind w:firstLine="562" w:firstLineChars="200"/>
        <w:rPr>
          <w:rFonts w:cs="宋体" w:asciiTheme="minorEastAsia" w:hAnsiTheme="minorEastAsia" w:eastAsiaTheme="minorEastAsia"/>
          <w:sz w:val="28"/>
          <w:szCs w:val="28"/>
        </w:rPr>
      </w:pPr>
      <w:bookmarkStart w:id="39" w:name="_Toc28928"/>
      <w:bookmarkStart w:id="40" w:name="_Toc16935"/>
      <w:r>
        <w:rPr>
          <w:rFonts w:hint="eastAsia" w:cs="宋体" w:asciiTheme="minorEastAsia" w:hAnsiTheme="minorEastAsia" w:eastAsiaTheme="minorEastAsia"/>
          <w:sz w:val="28"/>
          <w:szCs w:val="28"/>
        </w:rPr>
        <w:t>三、项目技术及服务要求</w:t>
      </w:r>
      <w:bookmarkEnd w:id="39"/>
      <w:bookmarkEnd w:id="40"/>
    </w:p>
    <w:p>
      <w:pPr>
        <w:adjustRightInd w:val="0"/>
        <w:snapToGrid w:val="0"/>
        <w:spacing w:line="520" w:lineRule="exact"/>
        <w:ind w:firstLine="36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投标人应满足或承诺中标后满足以下要求或可提供更优的条件：</w:t>
      </w:r>
    </w:p>
    <w:p>
      <w:pPr>
        <w:pStyle w:val="79"/>
        <w:adjustRightInd w:val="0"/>
        <w:snapToGrid w:val="0"/>
        <w:spacing w:line="520" w:lineRule="exact"/>
        <w:ind w:left="482" w:firstLine="0" w:firstLineChars="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1.基本要求</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1.1在江门市全市（四市三区范围内）设有对公网点的</w:t>
      </w:r>
      <w:r>
        <w:rPr>
          <w:rFonts w:cs="宋体" w:asciiTheme="minorEastAsia" w:hAnsiTheme="minorEastAsia" w:eastAsiaTheme="minorEastAsia"/>
          <w:sz w:val="28"/>
          <w:szCs w:val="28"/>
        </w:rPr>
        <w:t>商业银行</w:t>
      </w:r>
      <w:r>
        <w:rPr>
          <w:rFonts w:hint="eastAsia" w:cs="宋体" w:asciiTheme="minorEastAsia" w:hAnsiTheme="minorEastAsia" w:eastAsiaTheme="minorEastAsia"/>
          <w:sz w:val="28"/>
          <w:szCs w:val="28"/>
        </w:rPr>
        <w:t>或</w:t>
      </w:r>
      <w:r>
        <w:rPr>
          <w:rFonts w:cs="宋体" w:asciiTheme="minorEastAsia" w:hAnsiTheme="minorEastAsia" w:eastAsiaTheme="minorEastAsia"/>
          <w:sz w:val="28"/>
          <w:szCs w:val="28"/>
        </w:rPr>
        <w:t>城市信用合作社</w:t>
      </w:r>
      <w:r>
        <w:rPr>
          <w:rFonts w:hint="eastAsia" w:cs="宋体" w:asciiTheme="minorEastAsia" w:hAnsiTheme="minorEastAsia" w:eastAsiaTheme="minorEastAsia"/>
          <w:sz w:val="28"/>
          <w:szCs w:val="28"/>
        </w:rPr>
        <w:t>或</w:t>
      </w:r>
      <w:r>
        <w:rPr>
          <w:rFonts w:cs="宋体" w:asciiTheme="minorEastAsia" w:hAnsiTheme="minorEastAsia" w:eastAsiaTheme="minorEastAsia"/>
          <w:sz w:val="28"/>
          <w:szCs w:val="28"/>
        </w:rPr>
        <w:t>农村信用合作社</w:t>
      </w:r>
      <w:r>
        <w:rPr>
          <w:rFonts w:hint="eastAsia" w:cs="宋体" w:asciiTheme="minorEastAsia" w:hAnsiTheme="minorEastAsia" w:eastAsiaTheme="minorEastAsia"/>
          <w:sz w:val="28"/>
          <w:szCs w:val="28"/>
        </w:rPr>
        <w:t>。并设定专人为</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人提供专门跟踪服务，随时解决支付系统软、硬件问题及对账服务，能够为缴款人提供方便、快捷和优质的服务。</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1.2 </w:t>
      </w:r>
      <w:r>
        <w:rPr>
          <w:rFonts w:hint="eastAsia" w:cs="宋体" w:asciiTheme="minorEastAsia" w:hAnsiTheme="minorEastAsia" w:eastAsiaTheme="minorEastAsia"/>
          <w:sz w:val="28"/>
          <w:szCs w:val="28"/>
        </w:rPr>
        <w:t>在服务期内开放江门市全市（四市三区）营业网点办理收款业务，明确收款时间为周一至周六（法定节假日按人行规定停业）上午</w:t>
      </w:r>
      <w:r>
        <w:rPr>
          <w:rFonts w:cs="宋体" w:asciiTheme="minorEastAsia" w:hAnsiTheme="minorEastAsia" w:eastAsiaTheme="minorEastAsia"/>
          <w:sz w:val="28"/>
          <w:szCs w:val="28"/>
        </w:rPr>
        <w:t>9时至下午5时（节假日为上午10时至下午4时），对公业务（主要指转帐支票部分）为非节假日的周一至周五上午9时至12时，下午2时至5时</w:t>
      </w:r>
      <w:r>
        <w:rPr>
          <w:rFonts w:hint="eastAsia" w:cs="宋体" w:asciiTheme="minorEastAsia" w:hAnsiTheme="minorEastAsia" w:eastAsiaTheme="minorEastAsia"/>
          <w:sz w:val="28"/>
          <w:szCs w:val="28"/>
        </w:rPr>
        <w:t>，国家政策有调整的除外。</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 内部管理规范，内控制度健全，会计核算手续严密，资金清算制度完善；</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具备满足财政收付业务需要的经营网点、成熟的管理协调能力和完善的员工培训机制，配备专职人员及技术人员负责财政收付业务，专人沟通配合方案推进，包括专人、专门成立该项目服务小组，及时沟通解决问题。</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1.5具备满足财政专户业务需要的资金汇划清算系统，保证本行系统同城转账实时到账、异地汇划和跨行支付两小时内到账，保证资金汇划系统和内部网络的安全性，并承担自身网络安全问题方面的有关责任。</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投标方案及实施措施应当符合《关于进一步加强财政部门和预算单位资金存放管理的指导意见》（财库〔2017〕76号）、《财政部关于印发&lt;财政专户管理办法&gt;的通知》（财库〔2013〕46号）、《关于印发&lt;广东省财政专户开户银行选择办法&gt;的通知》（粤财库〔2013〕21号）和《关于进一步加强财政部门和预算单位资金存放管理的实施意见》（粤财库〔2017〕59号）的规定。</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8</w:t>
      </w:r>
      <w:r>
        <w:rPr>
          <w:rFonts w:cs="宋体" w:asciiTheme="minorEastAsia" w:hAnsiTheme="minorEastAsia" w:eastAsiaTheme="minorEastAsia"/>
          <w:sz w:val="28"/>
          <w:szCs w:val="28"/>
        </w:rPr>
        <w:t>接受江门市财政局和中国人民银行江门市中心支行对业务的监督管理。</w:t>
      </w:r>
    </w:p>
    <w:p>
      <w:pPr>
        <w:adjustRightInd w:val="0"/>
        <w:snapToGrid w:val="0"/>
        <w:spacing w:line="52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2.技术要求</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2.1 中标人应按照“广东非税收入收缴一体化系统”银行接入规范开展行内系统自术开发、对接联调及实施保障工作，实现收款、对账、分成、达账等全业务流程功能，确保数据按要求实时与“广东非税收入收缴一体化系统”同步，做到资金与数据准确、一致。</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2.2 中标人系统须配备专线接入广东省政务外网与“广东非税收入收缴一体化系统”连接。</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2.3 中标人必须对接使用“广东非税收入收缴一体化系统”办理非税收入收款业务。收款涉及的行政区划、执收单位、预算科目、收费项目等基础信息必须满足招标人标准规范及编码管理要求，中标人不得擅自修改编码。</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2.4 中标人应协同对接“广东非税收入收缴一体化系统”提供各类便民缴款渠道，包括：线下的银行网点柜面、POS刷卡、自助终端、转账等渠道，线上的微信、支付宝、银联等渠道。中标人应至少提供1类线上缴款渠道及1类线下缴款渠道。</w:t>
      </w:r>
    </w:p>
    <w:p>
      <w:pPr>
        <w:tabs>
          <w:tab w:val="left" w:pos="9356"/>
        </w:tabs>
        <w:snapToGrid w:val="0"/>
        <w:spacing w:line="520" w:lineRule="exact"/>
        <w:ind w:right="422" w:rightChars="201" w:firstLine="550"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w:t>
      </w:r>
      <w:r>
        <w:rPr>
          <w:rFonts w:cs="宋体" w:asciiTheme="minorEastAsia" w:hAnsiTheme="minorEastAsia" w:eastAsiaTheme="minorEastAsia"/>
          <w:b/>
          <w:sz w:val="28"/>
          <w:szCs w:val="28"/>
        </w:rPr>
        <w:t>帐户管理</w:t>
      </w:r>
      <w:r>
        <w:rPr>
          <w:rFonts w:hint="eastAsia" w:cs="宋体" w:asciiTheme="minorEastAsia" w:hAnsiTheme="minorEastAsia" w:eastAsiaTheme="minorEastAsia"/>
          <w:b/>
          <w:sz w:val="28"/>
          <w:szCs w:val="28"/>
        </w:rPr>
        <w:t>要求</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3.1必须在“待结算财政收入”科目下开设“代收（或代理）江门市非税收入待报解汇缴账户”（通过签订协议明确或以函件形式把该账户信息报备</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人），用于归集中标人下属各代收网点收到的各类非税收入，并按照次日清零的原则（法定节假日顺延），于每个工作日上午12点前，根据</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人广东非税收入管理一体化平台发送的分成文件，将上一个工作日与广东非税收入管理一体化平台对账无误的代收资金划入</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人在中标人开设的财政专户或缴入国库。</w:t>
      </w:r>
    </w:p>
    <w:p>
      <w:pPr>
        <w:spacing w:line="520" w:lineRule="exact"/>
        <w:ind w:firstLine="560" w:firstLineChars="200"/>
        <w:rPr>
          <w:rFonts w:cs="宋体" w:asciiTheme="minorEastAsia" w:hAnsiTheme="minorEastAsia" w:eastAsiaTheme="minorEastAsia"/>
          <w:b/>
          <w:sz w:val="28"/>
          <w:szCs w:val="28"/>
        </w:rPr>
      </w:pPr>
      <w:r>
        <w:rPr>
          <w:rFonts w:hint="eastAsia" w:cs="宋体" w:asciiTheme="minorEastAsia" w:hAnsiTheme="minorEastAsia" w:eastAsiaTheme="minorEastAsia"/>
          <w:sz w:val="28"/>
          <w:szCs w:val="28"/>
        </w:rPr>
        <w:t>3.2款项的划转必须指向财政专户或人行国库，中标人不得擅自调度非税收入，或将非税收入随意划转到报备以外或非财政部门指定的账户上，</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3.2.1  第一类，直接缴入国库资金划缴管理。</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3.2.1.1  缴库资金经对账无误后，中标人根据广东非税收入管理一体化平台分成文件，将分成文件报表反映的缴库资金按预算收入报解程序及预算科目直接划缴到人民银行相关级次国库； </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3.2.1.2 缴库时填列《专用缴款书》或《一般缴款书》，分别填写相关级次的收款国库、国库账号、预算科目及预算科目编码等，加盖业务用公章后将缴款书相关联次和核对无误的《缴入国库收入报表》和《缴入国库收入明细报表》送达</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人。中标人须将缴库资金及时足额上缴相关级次国库，不得延解国库收入或混级缴库。</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3.2.2</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第二类，缴入财政专户资金划缴管理。</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3.2.2.1</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缴入财政专户资金，指应缴入财政专户的非税收入；</w:t>
      </w:r>
      <w:r>
        <w:rPr>
          <w:rFonts w:cs="宋体" w:asciiTheme="minorEastAsia" w:hAnsiTheme="minorEastAsia" w:eastAsiaTheme="minorEastAsia"/>
          <w:sz w:val="28"/>
          <w:szCs w:val="28"/>
        </w:rPr>
        <w:t xml:space="preserve"> </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3.2.2.2</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缴专户资金经对账无误后，由中标人根据</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人在其开设的财政专户情况，按以下情况划缴。</w:t>
      </w:r>
      <w:r>
        <w:rPr>
          <w:rFonts w:cs="宋体" w:asciiTheme="minorEastAsia" w:hAnsiTheme="minorEastAsia" w:eastAsiaTheme="minorEastAsia"/>
          <w:sz w:val="28"/>
          <w:szCs w:val="28"/>
        </w:rPr>
        <w:t xml:space="preserve"> </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3.2.2.2.1</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第一种情况：</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人已在中标人开设财政专户的，由中标人根据广东非税收入管理一体化平台分成文件，将分成文件报表反映的缴专户资金缴入</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人在中标人开设的财政专户；</w:t>
      </w:r>
      <w:r>
        <w:rPr>
          <w:rFonts w:cs="宋体" w:asciiTheme="minorEastAsia" w:hAnsiTheme="minorEastAsia" w:eastAsiaTheme="minorEastAsia"/>
          <w:sz w:val="28"/>
          <w:szCs w:val="28"/>
        </w:rPr>
        <w:t xml:space="preserve"> </w:t>
      </w:r>
    </w:p>
    <w:p>
      <w:pPr>
        <w:spacing w:line="520" w:lineRule="exact"/>
        <w:ind w:firstLine="560" w:firstLineChars="20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3.2.2.2.2</w:t>
      </w:r>
      <w:r>
        <w:rPr>
          <w:rFonts w:cs="宋体" w:asciiTheme="minorEastAsia" w:hAnsiTheme="minorEastAsia" w:eastAsiaTheme="minorEastAsia"/>
          <w:color w:val="000000" w:themeColor="text1"/>
          <w:sz w:val="28"/>
          <w:szCs w:val="28"/>
          <w14:textFill>
            <w14:solidFill>
              <w14:schemeClr w14:val="tx1"/>
            </w14:solidFill>
          </w14:textFill>
        </w:rPr>
        <w:t xml:space="preserve"> </w:t>
      </w:r>
      <w:r>
        <w:rPr>
          <w:rFonts w:hint="eastAsia" w:cs="宋体" w:asciiTheme="minorEastAsia" w:hAnsiTheme="minorEastAsia" w:eastAsiaTheme="minorEastAsia"/>
          <w:color w:val="000000" w:themeColor="text1"/>
          <w:sz w:val="28"/>
          <w:szCs w:val="28"/>
          <w14:textFill>
            <w14:solidFill>
              <w14:schemeClr w14:val="tx1"/>
            </w14:solidFill>
          </w14:textFill>
        </w:rPr>
        <w:t>招标人未在中标人开设财政专户的，由中标人根据广东非税收入管理一体化平台分成文件，将分成文件报表反映的缴专户资金缴入招标人在其他代理银行（以下统称第三方代理银行）开设的财政专户。</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3.3中标人每日与广东非税收入管理一体化平台对账所产生的问题账务，其中涉及非资金问题的（如票据号码重复等），由中标人协助招标人理清并解决；涉及资金问题的（如重复缴费等），由招标人协助中标人核实并生成重复缴费账务报表，中标人根据重复缴费账务报表记载信息，将重复缴费资金按原路退回缴款单位（个人）。重复缴费原则上应在生成重复缴费账务报表当天退回缴款单位（个人），如有特殊情况可经招标人同意后延迟至下一工作日，但最长不得超过三个工作日。</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3.4中标人在非税收入代收账户中暂收的款项应按以下原则及时进行清理：1)自暂收款达帐之日起两个工作日内，中标人可等待缴费人持《通知书》前往中标人收款网点办理缴费确认，缴费人持《通知书》前往中标人收款网点办理确认缴费事宜，由中标人按转账缴款规则办理。2)对暂收超过两个工作日的款项，中标人应于之后两个工作日内完成来源追查（涉及到执收、执罚单位的追查工作可由招标人协助开展），对可追查来源的款项及时提醒缴款人前往网点办理非税缴款确认事宜。3)对暂收超过五个工作日的款项，缴费人未前往网点办理非税缴款确认事宜，由中标人按款项缴入渠道原路退回；对ATM现金转账等无法追查来源的款项，由中标人按月汇总，于次月25日前（如遇节假日顺延）报请招标人，经招标人同意后清缴国库。4)对于无法原路退回且已清缴国库的资金，如有缴款人申请退还相关款项，一律由中标人受理并于五个工作日内核实缴款人的缴款事实，出具书面审核意见后，报送招标人办理退库。5) 中标人应将每日暂收款项以及对应的确认缴款、退回、清缴国库情况编列明细报表，并于次月25日前（如遇节假日顺延）将上月报表送招标人备案。</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3.5中标人应每季度对江门市本级非税收入代收账户进行盘查，确保没有漏缴、超时未退回、超时未清缴的情况发生，并在每季度结束后20个工作日内将盘查情况报送招标人。</w:t>
      </w:r>
    </w:p>
    <w:p>
      <w:pPr>
        <w:tabs>
          <w:tab w:val="left" w:pos="9356"/>
        </w:tabs>
        <w:snapToGrid w:val="0"/>
        <w:spacing w:line="520" w:lineRule="exact"/>
        <w:ind w:right="422" w:rightChars="201" w:firstLine="550"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4.非税收入管理要求</w:t>
      </w:r>
    </w:p>
    <w:p>
      <w:pPr>
        <w:tabs>
          <w:tab w:val="left" w:pos="851"/>
        </w:tabs>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4.1使用现金或转账（含支票）到银行柜台现场缴交款的，中标人根据缴款单位(个人)持有的《江门市非税收入缴款通知书》、《江门市非税收入罚款通知书》（以下统称《通知书》）向广东非税收入一体化平台查询相关缴费信息，经核实缴费信息与《通知书》记载一致后收取相关款项（若中标人向广东非税收入一体化平台查询相关缴费信息后，反馈的缴费信息除《通知书》记载内容外还增加“滞纳金”收费项目，中标人应告知缴款单位(个人)，并经缴款单位(个人)同意后按照广东非税收入一体化平台反馈的缴费信息收缴。缴款单位</w:t>
      </w:r>
      <w:r>
        <w:rPr>
          <w:rFonts w:cs="宋体" w:asciiTheme="minorEastAsia" w:hAnsiTheme="minorEastAsia" w:eastAsiaTheme="minorEastAsia"/>
          <w:sz w:val="28"/>
          <w:szCs w:val="28"/>
        </w:rPr>
        <w:t>(个人)如需要</w:t>
      </w:r>
      <w:r>
        <w:rPr>
          <w:rFonts w:hint="eastAsia" w:cs="宋体" w:asciiTheme="minorEastAsia" w:hAnsiTheme="minorEastAsia" w:eastAsiaTheme="minorEastAsia"/>
          <w:sz w:val="28"/>
          <w:szCs w:val="28"/>
        </w:rPr>
        <w:t>电子财政票据的打印服务</w:t>
      </w:r>
      <w:r>
        <w:rPr>
          <w:rFonts w:cs="宋体" w:asciiTheme="minorEastAsia" w:hAnsiTheme="minorEastAsia" w:eastAsiaTheme="minorEastAsia"/>
          <w:sz w:val="28"/>
          <w:szCs w:val="28"/>
        </w:rPr>
        <w:t>，中标人</w:t>
      </w:r>
      <w:r>
        <w:rPr>
          <w:rFonts w:hint="eastAsia" w:cs="宋体" w:asciiTheme="minorEastAsia" w:hAnsiTheme="minorEastAsia" w:eastAsiaTheme="minorEastAsia"/>
          <w:sz w:val="28"/>
          <w:szCs w:val="28"/>
        </w:rPr>
        <w:t>应提供。</w:t>
      </w:r>
    </w:p>
    <w:p>
      <w:pPr>
        <w:tabs>
          <w:tab w:val="left" w:pos="851"/>
        </w:tabs>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4.2使用在线支付方式缴款的，中标人通过在线收缴渠道收取款项后，缴款单位(个人)如需要纸质财政票据，由中标人按照广东非税收入一体化平台规则，在各代收网点向缴款人提供打印电子财政票据的服务</w:t>
      </w:r>
      <w:r>
        <w:rPr>
          <w:rFonts w:cs="宋体" w:asciiTheme="minorEastAsia" w:hAnsiTheme="minorEastAsia" w:eastAsiaTheme="minorEastAsia"/>
          <w:sz w:val="28"/>
          <w:szCs w:val="28"/>
        </w:rPr>
        <w:t>。</w:t>
      </w:r>
    </w:p>
    <w:p>
      <w:pPr>
        <w:tabs>
          <w:tab w:val="left" w:pos="9356"/>
        </w:tabs>
        <w:snapToGrid w:val="0"/>
        <w:spacing w:line="520" w:lineRule="exact"/>
        <w:ind w:right="422" w:rightChars="201" w:firstLine="550"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5.报表管理要求</w:t>
      </w:r>
    </w:p>
    <w:p>
      <w:pPr>
        <w:spacing w:line="52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人、中标人双方均以电子数据作为日常对账的依据，中标人在每月月终编制当月非税收入账户的交易明细表、缴库明细表供</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人记账使用，并于次月5日前提交</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人。中标人对</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人提供上一月度的非税收入统计月报表的发生金额与银行实收金额进行核对，如发现数据不符需作相关书面说明，报表和书面说明需在当月20日前提交</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w:t>
      </w:r>
    </w:p>
    <w:p>
      <w:pPr>
        <w:adjustRightInd w:val="0"/>
        <w:snapToGrid w:val="0"/>
        <w:spacing w:line="520" w:lineRule="exact"/>
        <w:ind w:firstLine="278" w:firstLineChars="99"/>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w:t>
      </w:r>
      <w:r>
        <w:rPr>
          <w:rFonts w:hint="eastAsia" w:cs="宋体" w:asciiTheme="minorEastAsia" w:hAnsiTheme="minorEastAsia" w:eastAsiaTheme="minorEastAsia"/>
          <w:b/>
          <w:sz w:val="28"/>
          <w:szCs w:val="28"/>
        </w:rPr>
        <w:t>5.1 缴入国库资金的报表处理</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报表要按执收执罚单位和收费项目及罚款项目分类，注明所属时间、打印日期、盖章和经办人签章需每月20日前交</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人；缴入市本级国库的非税款项的交易数据需纸质打印后加盖业务公章连同《一般缴款书》相关联次需每月5日前交给</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w:t>
      </w:r>
    </w:p>
    <w:p>
      <w:pPr>
        <w:spacing w:line="520" w:lineRule="exact"/>
        <w:ind w:firstLine="413" w:firstLineChars="147"/>
        <w:rPr>
          <w:rFonts w:asciiTheme="minorEastAsia" w:hAnsiTheme="minorEastAsia" w:eastAsiaTheme="minorEastAsia"/>
          <w:b/>
          <w:sz w:val="28"/>
          <w:szCs w:val="28"/>
        </w:rPr>
      </w:pPr>
      <w:r>
        <w:rPr>
          <w:rFonts w:hint="eastAsia" w:asciiTheme="minorEastAsia" w:hAnsiTheme="minorEastAsia" w:eastAsiaTheme="minorEastAsia"/>
          <w:b/>
          <w:sz w:val="28"/>
          <w:szCs w:val="28"/>
        </w:rPr>
        <w:t>5.2缴入财政专户资金的报表处理</w:t>
      </w:r>
    </w:p>
    <w:p>
      <w:pPr>
        <w:spacing w:line="520" w:lineRule="exact"/>
        <w:ind w:firstLine="411" w:firstLineChars="147"/>
        <w:rPr>
          <w:rFonts w:asciiTheme="minorEastAsia" w:hAnsiTheme="minorEastAsia" w:eastAsiaTheme="minorEastAsia"/>
          <w:sz w:val="28"/>
          <w:szCs w:val="28"/>
        </w:rPr>
      </w:pPr>
      <w:r>
        <w:rPr>
          <w:rFonts w:hint="eastAsia" w:asciiTheme="minorEastAsia" w:hAnsiTheme="minorEastAsia" w:eastAsiaTheme="minorEastAsia"/>
          <w:sz w:val="28"/>
          <w:szCs w:val="28"/>
        </w:rPr>
        <w:t>5.2.1第一种情况：</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人已在中标人开设财政专户的。</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报表要按执收单位和收费项目分类，注明所属时间、打印日期、盖章和经办人签章需每月20日前交</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人，中标人打印的《</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人账户交易明细表》需每月5日前交</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w:t>
      </w:r>
    </w:p>
    <w:p>
      <w:pPr>
        <w:spacing w:line="520" w:lineRule="exact"/>
        <w:ind w:firstLine="408" w:firstLineChars="146"/>
        <w:rPr>
          <w:rFonts w:asciiTheme="minorEastAsia" w:hAnsiTheme="minorEastAsia" w:eastAsiaTheme="minorEastAsia"/>
          <w:sz w:val="28"/>
          <w:szCs w:val="28"/>
        </w:rPr>
      </w:pPr>
      <w:r>
        <w:rPr>
          <w:rFonts w:hint="eastAsia" w:asciiTheme="minorEastAsia" w:hAnsiTheme="minorEastAsia" w:eastAsiaTheme="minorEastAsia"/>
          <w:sz w:val="28"/>
          <w:szCs w:val="28"/>
        </w:rPr>
        <w:t>5.2.2 第二种情况：</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人未在中标人开设财政专户的。</w:t>
      </w:r>
    </w:p>
    <w:p>
      <w:pPr>
        <w:spacing w:line="52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报表要按执收单位和收费项目分类，注明所属时间、打印日期、盖章和经办人签章需每月20日前交</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人，划入</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人在他行开设专户的交易数据需纸质打印后加盖业务公章需每月5日前交</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w:t>
      </w:r>
    </w:p>
    <w:p>
      <w:pPr>
        <w:tabs>
          <w:tab w:val="left" w:pos="9356"/>
        </w:tabs>
        <w:snapToGrid w:val="0"/>
        <w:spacing w:line="520" w:lineRule="exact"/>
        <w:ind w:right="422" w:rightChars="201" w:firstLine="550"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6.合同履行过程中对中标人的考核</w:t>
      </w:r>
    </w:p>
    <w:p>
      <w:pPr>
        <w:spacing w:line="52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中标人必须履行好各项义务，理顺好与各营业网点的利益，充分调动各营业网点代收费的积极性。若</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人收到中标人网点下列情形投诉的，经查实后，视为违约并扣分，中标人在一个服务年度中被有效投诉累计达12分的，</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asciiTheme="minorEastAsia" w:hAnsiTheme="minorEastAsia" w:eastAsiaTheme="minorEastAsia"/>
          <w:sz w:val="28"/>
          <w:szCs w:val="28"/>
        </w:rPr>
        <w:t>人将予以警告并责令其整改。在</w:t>
      </w:r>
      <w:r>
        <w:rPr>
          <w:rFonts w:hint="eastAsia" w:cs="宋体" w:asciiTheme="minorEastAsia" w:hAnsiTheme="minorEastAsia" w:eastAsiaTheme="minorEastAsia"/>
          <w:sz w:val="28"/>
          <w:szCs w:val="28"/>
        </w:rPr>
        <w:t>本项目合同期内</w:t>
      </w:r>
      <w:r>
        <w:rPr>
          <w:rFonts w:hint="eastAsia" w:asciiTheme="minorEastAsia" w:hAnsiTheme="minorEastAsia" w:eastAsiaTheme="minorEastAsia"/>
          <w:sz w:val="28"/>
          <w:szCs w:val="28"/>
        </w:rPr>
        <w:t>被有效投诉累计达15分的，即被取消代理资格</w:t>
      </w:r>
      <w:r>
        <w:rPr>
          <w:rFonts w:hint="eastAsia" w:cs="宋体" w:asciiTheme="minorEastAsia" w:hAnsiTheme="minorEastAsia" w:eastAsiaTheme="minorEastAsia"/>
          <w:sz w:val="28"/>
          <w:szCs w:val="28"/>
        </w:rPr>
        <w:t>，由有关监督管理部门列入不良诚信记录，有关合同自动解除，并纳入下次市本级非税收入代收银行资格服务项目资格招标的考核扣分。</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sz w:val="28"/>
          <w:szCs w:val="28"/>
        </w:rPr>
        <w:t>6.1  中标人违反廉政承诺</w:t>
      </w:r>
      <w:r>
        <w:rPr>
          <w:rFonts w:hint="eastAsia" w:cs="宋体" w:asciiTheme="minorEastAsia" w:hAnsiTheme="minorEastAsia" w:eastAsiaTheme="minorEastAsia"/>
          <w:kern w:val="0"/>
          <w:sz w:val="28"/>
          <w:szCs w:val="28"/>
        </w:rPr>
        <w:t>或经办人员有</w:t>
      </w:r>
      <w:r>
        <w:rPr>
          <w:rFonts w:hint="eastAsia" w:cs="宋体" w:asciiTheme="minorEastAsia" w:hAnsiTheme="minorEastAsia" w:eastAsiaTheme="minorEastAsia"/>
          <w:sz w:val="28"/>
          <w:szCs w:val="28"/>
        </w:rPr>
        <w:t>廉政</w:t>
      </w:r>
      <w:r>
        <w:rPr>
          <w:rFonts w:hint="eastAsia" w:cs="宋体" w:asciiTheme="minorEastAsia" w:hAnsiTheme="minorEastAsia" w:eastAsiaTheme="minorEastAsia"/>
          <w:kern w:val="0"/>
          <w:sz w:val="28"/>
          <w:szCs w:val="28"/>
        </w:rPr>
        <w:t>违纪违法行为，扣3分。</w:t>
      </w:r>
    </w:p>
    <w:p>
      <w:pPr>
        <w:spacing w:line="52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6.2  中标人经办人员有违纪行为、内控不严出现或</w:t>
      </w:r>
      <w:r>
        <w:rPr>
          <w:rFonts w:hint="eastAsia" w:cs="宋体" w:asciiTheme="minorEastAsia" w:hAnsiTheme="minorEastAsia" w:eastAsiaTheme="minorEastAsia"/>
          <w:sz w:val="28"/>
          <w:szCs w:val="28"/>
        </w:rPr>
        <w:t>无客观性特殊原因</w:t>
      </w:r>
      <w:r>
        <w:rPr>
          <w:rFonts w:hint="eastAsia" w:cs="宋体" w:asciiTheme="minorEastAsia" w:hAnsiTheme="minorEastAsia" w:eastAsiaTheme="minorEastAsia"/>
          <w:kern w:val="0"/>
          <w:sz w:val="28"/>
          <w:szCs w:val="28"/>
        </w:rPr>
        <w:t>未按规定及时办理业务或故意压票，扣2分。</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6.3 中标人无故违反代收款过渡户必须“次日清零”的原则，延迟划缴财政指定账户，扣1分。</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6.4 中标人违反相关规定将非税收入随意划转到报备以外或非财政部门指定的账户上，及利用虚假账务处理手段隐瞒或虚报“代收（或代理）江门市非税收入待报解汇缴账户”每日结余情况，扣3分。</w:t>
      </w:r>
    </w:p>
    <w:p>
      <w:pPr>
        <w:spacing w:line="52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6.5 不收现金，要求缴费人在中标人开设账户才收费或只接受缴费人刷卡缴费的，扣1分。</w:t>
      </w:r>
    </w:p>
    <w:p>
      <w:pPr>
        <w:spacing w:line="52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6.6 中标人以“网络故障”、“开卡才能缴款”等理由无故拒收、推诿收款。扣3分。</w:t>
      </w:r>
    </w:p>
    <w:p>
      <w:pPr>
        <w:spacing w:line="52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6.7 中标人违反单位委托批量扣收条款或迟报各种应报报表、账单超过3天。扣1分。</w:t>
      </w:r>
    </w:p>
    <w:p>
      <w:pPr>
        <w:spacing w:line="52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6.8 中标人没有在网点内设立办理缴纳江门市非税收入的相关指引，标明代收款业务时间、窗口号码及投诉电话等资料，扣1分。</w:t>
      </w:r>
    </w:p>
    <w:p>
      <w:pPr>
        <w:spacing w:line="520" w:lineRule="exact"/>
        <w:ind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6.9 因中标人工作人员工作失误或资金划缴制度上的缺位，导致非税收入数据（款项）出现串户、混库、错漏、缺乏审核痕迹等现象发生。扣1分。</w:t>
      </w:r>
    </w:p>
    <w:p>
      <w:pPr>
        <w:spacing w:line="520" w:lineRule="exact"/>
        <w:rPr>
          <w:rFonts w:asciiTheme="minorEastAsia" w:hAnsiTheme="minorEastAsia" w:eastAsiaTheme="minorEastAsia"/>
          <w:sz w:val="28"/>
          <w:szCs w:val="28"/>
        </w:rPr>
      </w:pPr>
      <w:r>
        <w:rPr>
          <w:rFonts w:hint="eastAsia" w:asciiTheme="minorEastAsia" w:hAnsiTheme="minorEastAsia" w:eastAsiaTheme="minorEastAsia"/>
          <w:b/>
          <w:sz w:val="28"/>
          <w:szCs w:val="28"/>
        </w:rPr>
        <w:t xml:space="preserve">  </w:t>
      </w:r>
      <w:r>
        <w:rPr>
          <w:rFonts w:hint="eastAsia" w:asciiTheme="minorEastAsia" w:hAnsiTheme="minorEastAsia" w:eastAsiaTheme="minorEastAsia"/>
          <w:sz w:val="28"/>
          <w:szCs w:val="28"/>
        </w:rPr>
        <w:t xml:space="preserve"> 7.10 缴款人以书面材料、电话、电子邮件、传真及当面陈述等方式或通过人大、政协及12345服务热线等监督机构向财政部门投诉中标人拒收等行为，经财政部门查证核实,并定为有效投诉，每次扣1分。</w:t>
      </w:r>
    </w:p>
    <w:p>
      <w:pPr>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7.11 其他不遵守协议条款的规定、借故拒收而又不能作出合理解释等情况。扣1-2分。</w:t>
      </w:r>
    </w:p>
    <w:p>
      <w:pPr>
        <w:adjustRightInd w:val="0"/>
        <w:snapToGrid w:val="0"/>
        <w:spacing w:line="520" w:lineRule="exact"/>
        <w:ind w:firstLine="550"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7.投标方案要求</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投标人的服务方案应包括但不限于以下内容：</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7.1业务的组织（包括业务组织架构，参与业务的人员配备和素质、管理体系等）；</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7.2对广东非税收入管理一体化平台接口银行端基本功能的描述；</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7.3业务处理流程；</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7.4明确税收入岗位职责，建立健全内部操作规程，加强网络和设备的维护，并指定专人负责“江门市非税收入汇缴户”的对帐等工作措施；</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7.5 做好业务培训工作，保证市内所有营业网点的相关工作人员均能熟练掌握非税收入收缴业务措施。</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7.6保证按招标人要求的办理资金及时、安全、准确汇划的措施；</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7.7划拨资金、汇总、报表处理措施；</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7.8信息反馈的措施、手段；</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7.9配合江门市财政局开展支付电子化措施；</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7.10在本项目使用的计算机软、硬件及相关设备；</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7.11紧急业务处理程序和时间限定；</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7.12保密措施；</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7.13对财政部门的其他服务承诺和优惠措施；</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7.14纠错处理措施；</w:t>
      </w:r>
    </w:p>
    <w:p>
      <w:pPr>
        <w:adjustRightInd w:val="0"/>
        <w:snapToGrid w:val="0"/>
        <w:spacing w:line="520" w:lineRule="exact"/>
        <w:ind w:firstLine="548" w:firstLineChars="196"/>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7.15 若中标人之间发生两个或两个以上法人重组合并的，且条件不低于原中标人投标条件的，按照合并后法人履约。若中标人发生法人机构拆分为两个或两个以上的法人机构，或者撤销在江门市辖区（蓬江区、江海区、新会区）范围内依法设立总行、分行</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或支行</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的，则从发生之日起本项目有关合同自动解除。</w:t>
      </w:r>
    </w:p>
    <w:p>
      <w:pPr>
        <w:adjustRightInd w:val="0"/>
        <w:snapToGrid w:val="0"/>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7.16其他需要说明的问题。</w:t>
      </w:r>
    </w:p>
    <w:p>
      <w:pPr>
        <w:pStyle w:val="3"/>
        <w:spacing w:before="0" w:after="0" w:line="520" w:lineRule="exact"/>
        <w:ind w:firstLine="562" w:firstLineChars="200"/>
        <w:rPr>
          <w:rFonts w:cs="宋体" w:asciiTheme="minorEastAsia" w:hAnsiTheme="minorEastAsia" w:eastAsiaTheme="minorEastAsia"/>
          <w:sz w:val="28"/>
          <w:szCs w:val="28"/>
        </w:rPr>
      </w:pPr>
      <w:bookmarkStart w:id="41" w:name="_Toc21943"/>
      <w:r>
        <w:rPr>
          <w:rFonts w:hint="eastAsia" w:cs="宋体" w:asciiTheme="minorEastAsia" w:hAnsiTheme="minorEastAsia" w:eastAsiaTheme="minorEastAsia"/>
          <w:sz w:val="28"/>
          <w:szCs w:val="28"/>
        </w:rPr>
        <w:t>四、商务要求</w:t>
      </w:r>
      <w:bookmarkEnd w:id="41"/>
    </w:p>
    <w:p>
      <w:pPr>
        <w:adjustRightInd w:val="0"/>
        <w:snapToGrid w:val="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1.投标人所提交的服务应符合或优于国家现行相关政策。国家政策没有规定的，执行现行的行业标准</w:t>
      </w:r>
      <w:r>
        <w:rPr>
          <w:rFonts w:hint="eastAsia" w:cs="宋体" w:asciiTheme="minorEastAsia" w:hAnsiTheme="minorEastAsia" w:eastAsiaTheme="minorEastAsia"/>
          <w:sz w:val="28"/>
          <w:szCs w:val="28"/>
        </w:rPr>
        <w:t>，不符合</w:t>
      </w:r>
      <w:r>
        <w:rPr>
          <w:rFonts w:cs="宋体" w:asciiTheme="minorEastAsia" w:hAnsiTheme="minorEastAsia" w:eastAsiaTheme="minorEastAsia"/>
          <w:sz w:val="28"/>
          <w:szCs w:val="28"/>
        </w:rPr>
        <w:t>国家现行相关政策</w:t>
      </w:r>
      <w:r>
        <w:rPr>
          <w:rFonts w:hint="eastAsia" w:cs="宋体" w:asciiTheme="minorEastAsia" w:hAnsiTheme="minorEastAsia" w:eastAsiaTheme="minorEastAsia"/>
          <w:sz w:val="28"/>
          <w:szCs w:val="28"/>
        </w:rPr>
        <w:t>及</w:t>
      </w:r>
      <w:r>
        <w:rPr>
          <w:rFonts w:cs="宋体" w:asciiTheme="minorEastAsia" w:hAnsiTheme="minorEastAsia" w:eastAsiaTheme="minorEastAsia"/>
          <w:sz w:val="28"/>
          <w:szCs w:val="28"/>
        </w:rPr>
        <w:t>现行的行业标准</w:t>
      </w:r>
      <w:r>
        <w:rPr>
          <w:rFonts w:hint="eastAsia" w:cs="宋体" w:asciiTheme="minorEastAsia" w:hAnsiTheme="minorEastAsia" w:eastAsiaTheme="minorEastAsia"/>
          <w:sz w:val="28"/>
          <w:szCs w:val="28"/>
        </w:rPr>
        <w:t>视为无参与该项的投标</w:t>
      </w:r>
      <w:r>
        <w:rPr>
          <w:rFonts w:cs="宋体" w:asciiTheme="minorEastAsia" w:hAnsiTheme="minorEastAsia" w:eastAsiaTheme="minorEastAsia"/>
          <w:sz w:val="28"/>
          <w:szCs w:val="28"/>
        </w:rPr>
        <w:t>。</w:t>
      </w:r>
    </w:p>
    <w:p>
      <w:pPr>
        <w:pStyle w:val="35"/>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2.投标人参与江门市实体经济和社会建设融资以及支持社会管理事务各项改革。</w:t>
      </w:r>
    </w:p>
    <w:p>
      <w:pPr>
        <w:pStyle w:val="3"/>
        <w:spacing w:before="0" w:after="0" w:line="520" w:lineRule="exact"/>
        <w:ind w:firstLine="562" w:firstLineChars="200"/>
        <w:rPr>
          <w:rFonts w:asciiTheme="minorEastAsia" w:hAnsiTheme="minorEastAsia" w:eastAsiaTheme="minorEastAsia"/>
          <w:sz w:val="28"/>
          <w:szCs w:val="28"/>
        </w:rPr>
      </w:pPr>
      <w:bookmarkStart w:id="42" w:name="_Toc28946"/>
      <w:r>
        <w:rPr>
          <w:rFonts w:hint="eastAsia" w:cs="宋体" w:asciiTheme="minorEastAsia" w:hAnsiTheme="minorEastAsia" w:eastAsiaTheme="minorEastAsia"/>
          <w:sz w:val="28"/>
          <w:szCs w:val="28"/>
        </w:rPr>
        <w:t>五、数字财政电子化要求</w:t>
      </w:r>
      <w:bookmarkEnd w:id="42"/>
    </w:p>
    <w:p>
      <w:pPr>
        <w:pStyle w:val="35"/>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投标人需配合江门市财政局开展数字财政电子化措施。</w:t>
      </w:r>
    </w:p>
    <w:p>
      <w:pPr>
        <w:pStyle w:val="3"/>
        <w:spacing w:before="0" w:after="0" w:line="520" w:lineRule="exact"/>
        <w:ind w:firstLine="562" w:firstLineChars="200"/>
        <w:rPr>
          <w:rFonts w:cs="宋体" w:asciiTheme="minorEastAsia" w:hAnsiTheme="minorEastAsia" w:eastAsiaTheme="minorEastAsia"/>
          <w:bCs/>
          <w:sz w:val="28"/>
          <w:szCs w:val="28"/>
        </w:rPr>
      </w:pPr>
      <w:bookmarkStart w:id="43" w:name="_Toc10317"/>
      <w:r>
        <w:rPr>
          <w:rFonts w:hint="eastAsia" w:cs="宋体" w:asciiTheme="minorEastAsia" w:hAnsiTheme="minorEastAsia" w:eastAsiaTheme="minorEastAsia"/>
          <w:bCs/>
          <w:sz w:val="28"/>
          <w:szCs w:val="28"/>
        </w:rPr>
        <w:t>六、报价要求</w:t>
      </w:r>
      <w:bookmarkEnd w:id="43"/>
    </w:p>
    <w:p>
      <w:pPr>
        <w:pStyle w:val="4"/>
        <w:spacing w:line="52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本项目无需报价。</w:t>
      </w:r>
    </w:p>
    <w:p>
      <w:pPr>
        <w:pStyle w:val="3"/>
        <w:spacing w:before="0" w:after="0" w:line="520" w:lineRule="exact"/>
        <w:ind w:firstLine="562" w:firstLineChars="200"/>
        <w:rPr>
          <w:rFonts w:cs="宋体" w:asciiTheme="minorEastAsia" w:hAnsiTheme="minorEastAsia" w:eastAsiaTheme="minorEastAsia"/>
          <w:bCs/>
          <w:sz w:val="28"/>
          <w:szCs w:val="28"/>
        </w:rPr>
      </w:pPr>
      <w:bookmarkStart w:id="44" w:name="_Toc1127"/>
      <w:r>
        <w:rPr>
          <w:rFonts w:hint="eastAsia" w:cs="宋体" w:asciiTheme="minorEastAsia" w:hAnsiTheme="minorEastAsia" w:eastAsiaTheme="minorEastAsia"/>
          <w:bCs/>
          <w:sz w:val="28"/>
          <w:szCs w:val="28"/>
        </w:rPr>
        <w:t>七、服务期</w:t>
      </w:r>
      <w:bookmarkEnd w:id="44"/>
    </w:p>
    <w:p>
      <w:pPr>
        <w:pStyle w:val="20"/>
        <w:spacing w:line="520" w:lineRule="exact"/>
        <w:ind w:firstLine="42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合同签订之日起两年</w:t>
      </w:r>
      <w:r>
        <w:rPr>
          <w:rFonts w:cs="宋体" w:asciiTheme="minorEastAsia" w:hAnsiTheme="minorEastAsia" w:eastAsiaTheme="minorEastAsia"/>
          <w:b/>
          <w:sz w:val="28"/>
          <w:szCs w:val="28"/>
        </w:rPr>
        <w:t>。</w:t>
      </w:r>
    </w:p>
    <w:p>
      <w:pPr>
        <w:pStyle w:val="3"/>
        <w:spacing w:before="0" w:after="0" w:line="520" w:lineRule="exact"/>
        <w:ind w:firstLine="562" w:firstLineChars="200"/>
        <w:rPr>
          <w:rFonts w:cs="宋体" w:asciiTheme="minorEastAsia" w:hAnsiTheme="minorEastAsia" w:eastAsiaTheme="minorEastAsia"/>
          <w:bCs/>
          <w:sz w:val="28"/>
          <w:szCs w:val="28"/>
        </w:rPr>
      </w:pPr>
      <w:bookmarkStart w:id="45" w:name="_Toc20899"/>
      <w:r>
        <w:rPr>
          <w:rFonts w:hint="eastAsia" w:cs="宋体" w:asciiTheme="minorEastAsia" w:hAnsiTheme="minorEastAsia" w:eastAsiaTheme="minorEastAsia"/>
          <w:bCs/>
          <w:sz w:val="28"/>
          <w:szCs w:val="28"/>
        </w:rPr>
        <w:t>八、实质性内容</w:t>
      </w:r>
      <w:bookmarkEnd w:id="45"/>
    </w:p>
    <w:p>
      <w:pPr>
        <w:pStyle w:val="3"/>
        <w:spacing w:before="0" w:after="0" w:line="520" w:lineRule="exact"/>
        <w:ind w:firstLine="562"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本项目的标的（采购服务的类型）和服务期为实质性内容，供应商必须完全满足上述实质性内容的要求，如果有一项不满足，其响应将被拒绝。</w:t>
      </w:r>
    </w:p>
    <w:p>
      <w:pPr>
        <w:pStyle w:val="3"/>
        <w:spacing w:before="0" w:after="0" w:line="520" w:lineRule="exact"/>
        <w:ind w:firstLine="562" w:firstLineChars="200"/>
        <w:rPr>
          <w:rFonts w:cs="宋体" w:asciiTheme="minorEastAsia" w:hAnsiTheme="minorEastAsia" w:eastAsiaTheme="minorEastAsia"/>
          <w:bCs/>
          <w:sz w:val="28"/>
          <w:szCs w:val="28"/>
        </w:rPr>
      </w:pPr>
      <w:bookmarkStart w:id="46" w:name="_Toc20613"/>
      <w:r>
        <w:rPr>
          <w:rFonts w:hint="eastAsia" w:cs="宋体" w:asciiTheme="minorEastAsia" w:hAnsiTheme="minorEastAsia" w:eastAsiaTheme="minorEastAsia"/>
          <w:bCs/>
          <w:sz w:val="28"/>
          <w:szCs w:val="28"/>
        </w:rPr>
        <w:t>九、验收</w:t>
      </w:r>
      <w:bookmarkEnd w:id="46"/>
    </w:p>
    <w:p>
      <w:pPr>
        <w:snapToGrid w:val="0"/>
        <w:spacing w:line="520" w:lineRule="exact"/>
        <w:ind w:firstLine="544" w:firstLineChars="200"/>
        <w:rPr>
          <w:rFonts w:cs="宋体" w:asciiTheme="minorEastAsia" w:hAnsiTheme="minorEastAsia" w:eastAsiaTheme="minorEastAsia"/>
          <w:spacing w:val="-4"/>
          <w:kern w:val="0"/>
          <w:sz w:val="28"/>
          <w:szCs w:val="28"/>
        </w:rPr>
      </w:pPr>
      <w:r>
        <w:rPr>
          <w:rFonts w:cs="宋体" w:asciiTheme="minorEastAsia" w:hAnsiTheme="minorEastAsia" w:eastAsiaTheme="minorEastAsia"/>
          <w:spacing w:val="-4"/>
          <w:kern w:val="0"/>
          <w:sz w:val="28"/>
          <w:szCs w:val="28"/>
        </w:rPr>
        <w:t>1.验收标准：国家标准、招标文件和投标文件；</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2.验收合格后由中标人和招标人双方共同签字确认。</w:t>
      </w:r>
    </w:p>
    <w:p>
      <w:pPr>
        <w:pStyle w:val="3"/>
        <w:spacing w:before="0" w:after="0" w:line="520" w:lineRule="exact"/>
        <w:ind w:firstLine="562" w:firstLineChars="200"/>
        <w:rPr>
          <w:rFonts w:cs="宋体" w:asciiTheme="minorEastAsia" w:hAnsiTheme="minorEastAsia" w:eastAsiaTheme="minorEastAsia"/>
          <w:bCs/>
          <w:sz w:val="28"/>
          <w:szCs w:val="28"/>
        </w:rPr>
      </w:pPr>
      <w:bookmarkStart w:id="47" w:name="_Toc16016"/>
      <w:r>
        <w:rPr>
          <w:rFonts w:hint="eastAsia" w:cs="宋体" w:asciiTheme="minorEastAsia" w:hAnsiTheme="minorEastAsia" w:eastAsiaTheme="minorEastAsia"/>
          <w:bCs/>
          <w:sz w:val="28"/>
          <w:szCs w:val="28"/>
        </w:rPr>
        <w:t>十、合同</w:t>
      </w:r>
      <w:bookmarkEnd w:id="47"/>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1.招标人和中标人应当在确定中标后的30日内签订合同。</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2.合同经双方签字和盖章后生效。</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3.合同应当一式多份，其中一份送有关监督管理部门备案，二份由招标代理机构归档。</w:t>
      </w:r>
    </w:p>
    <w:p>
      <w:pPr>
        <w:pStyle w:val="3"/>
        <w:spacing w:before="0" w:after="0" w:line="520" w:lineRule="exact"/>
        <w:ind w:firstLine="562" w:firstLineChars="200"/>
        <w:rPr>
          <w:rFonts w:cs="宋体" w:asciiTheme="minorEastAsia" w:hAnsiTheme="minorEastAsia" w:eastAsiaTheme="minorEastAsia"/>
          <w:bCs/>
          <w:sz w:val="28"/>
          <w:szCs w:val="28"/>
        </w:rPr>
      </w:pPr>
      <w:bookmarkStart w:id="48" w:name="_Toc6412"/>
      <w:r>
        <w:rPr>
          <w:rFonts w:hint="eastAsia" w:cs="宋体" w:asciiTheme="minorEastAsia" w:hAnsiTheme="minorEastAsia" w:eastAsiaTheme="minorEastAsia"/>
          <w:bCs/>
          <w:sz w:val="28"/>
          <w:szCs w:val="28"/>
        </w:rPr>
        <w:t>十一、其他</w:t>
      </w:r>
      <w:bookmarkEnd w:id="48"/>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w:t>
      </w:r>
      <w:r>
        <w:rPr>
          <w:rFonts w:hint="eastAsia" w:cs="宋体" w:asciiTheme="minorEastAsia" w:hAnsiTheme="minorEastAsia" w:eastAsiaTheme="minorEastAsia"/>
          <w:bCs/>
          <w:sz w:val="28"/>
          <w:szCs w:val="28"/>
        </w:rPr>
        <w:t>投标人</w:t>
      </w:r>
      <w:r>
        <w:rPr>
          <w:rFonts w:hint="eastAsia" w:cs="宋体" w:asciiTheme="minorEastAsia" w:hAnsiTheme="minorEastAsia" w:eastAsiaTheme="minorEastAsia"/>
          <w:sz w:val="28"/>
          <w:szCs w:val="28"/>
        </w:rPr>
        <w:t>可以对本项目进行投标，但不得将项目中的内容拆散来投标。</w:t>
      </w:r>
    </w:p>
    <w:p>
      <w:pPr>
        <w:pStyle w:val="20"/>
        <w:spacing w:line="520" w:lineRule="exact"/>
        <w:ind w:firstLine="560" w:firstLineChars="200"/>
        <w:rPr>
          <w:rFonts w:cs="宋体" w:asciiTheme="minorEastAsia" w:hAnsiTheme="minorEastAsia" w:eastAsiaTheme="minorEastAsia"/>
          <w:b/>
          <w:sz w:val="28"/>
          <w:szCs w:val="28"/>
        </w:rPr>
      </w:pPr>
      <w:r>
        <w:rPr>
          <w:rFonts w:cs="宋体" w:asciiTheme="minorEastAsia" w:hAnsiTheme="minorEastAsia" w:eastAsiaTheme="minorEastAsia"/>
          <w:sz w:val="28"/>
          <w:szCs w:val="28"/>
        </w:rPr>
        <w:t>2.投标人可以由法定代表人/负责人/投资人或委托代理人参加开标仪式，随时接受评标委员会的询问，并就有关问题予以正式解答。</w:t>
      </w:r>
    </w:p>
    <w:p>
      <w:pPr>
        <w:pStyle w:val="20"/>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3.上述要求仅</w:t>
      </w:r>
      <w:r>
        <w:rPr>
          <w:rFonts w:hint="eastAsia" w:cs="宋体" w:asciiTheme="minorEastAsia" w:hAnsiTheme="minorEastAsia" w:eastAsiaTheme="minorEastAsia"/>
          <w:sz w:val="28"/>
          <w:szCs w:val="28"/>
        </w:rPr>
        <w:t>起说明作用，并没有任何限制性，而是作为共同报价的基础，以方便招标人和招标代理机构对供应商进行比较。但不得低于招标人和招标代理机构的要求，满足招标人的要求。</w:t>
      </w:r>
    </w:p>
    <w:p>
      <w:pPr>
        <w:pStyle w:val="3"/>
        <w:spacing w:before="0" w:after="0" w:line="520" w:lineRule="exact"/>
        <w:ind w:firstLine="562" w:firstLineChars="200"/>
        <w:rPr>
          <w:rFonts w:cs="宋体" w:asciiTheme="minorEastAsia" w:hAnsiTheme="minorEastAsia" w:eastAsiaTheme="minorEastAsia"/>
          <w:bCs/>
          <w:sz w:val="28"/>
          <w:szCs w:val="28"/>
        </w:rPr>
      </w:pPr>
      <w:bookmarkStart w:id="49" w:name="_Toc11701"/>
      <w:r>
        <w:rPr>
          <w:rFonts w:hint="eastAsia" w:cs="宋体" w:asciiTheme="minorEastAsia" w:hAnsiTheme="minorEastAsia" w:eastAsiaTheme="minorEastAsia"/>
          <w:bCs/>
          <w:sz w:val="28"/>
          <w:szCs w:val="28"/>
        </w:rPr>
        <w:t>十二、适用的法律法规</w:t>
      </w:r>
      <w:bookmarkEnd w:id="49"/>
    </w:p>
    <w:p>
      <w:pPr>
        <w:pStyle w:val="20"/>
        <w:spacing w:line="5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w:t>
      </w:r>
      <w:r>
        <w:rPr>
          <w:rFonts w:hint="eastAsia" w:cs="宋体" w:asciiTheme="minorEastAsia" w:hAnsiTheme="minorEastAsia" w:eastAsiaTheme="minorEastAsia"/>
          <w:kern w:val="0"/>
          <w:sz w:val="28"/>
          <w:szCs w:val="28"/>
          <w:lang w:val="zh-CN"/>
        </w:rPr>
        <w:t>财政部关于印发</w:t>
      </w:r>
      <w:r>
        <w:rPr>
          <w:rFonts w:hint="eastAsia" w:cs="宋体" w:asciiTheme="minorEastAsia" w:hAnsiTheme="minorEastAsia" w:eastAsiaTheme="minorEastAsia"/>
          <w:kern w:val="0"/>
          <w:sz w:val="28"/>
          <w:szCs w:val="28"/>
        </w:rPr>
        <w:t>&lt;</w:t>
      </w:r>
      <w:r>
        <w:rPr>
          <w:rFonts w:hint="eastAsia" w:cs="宋体" w:asciiTheme="minorEastAsia" w:hAnsiTheme="minorEastAsia" w:eastAsiaTheme="minorEastAsia"/>
          <w:kern w:val="0"/>
          <w:sz w:val="28"/>
          <w:szCs w:val="28"/>
          <w:lang w:val="zh-CN"/>
        </w:rPr>
        <w:t>财政专户管理办法</w:t>
      </w:r>
      <w:r>
        <w:rPr>
          <w:rFonts w:hint="eastAsia" w:cs="宋体" w:asciiTheme="minorEastAsia" w:hAnsiTheme="minorEastAsia" w:eastAsiaTheme="minorEastAsia"/>
          <w:kern w:val="0"/>
          <w:sz w:val="28"/>
          <w:szCs w:val="28"/>
        </w:rPr>
        <w:t>&gt;</w:t>
      </w:r>
      <w:r>
        <w:rPr>
          <w:rFonts w:hint="eastAsia" w:cs="宋体" w:asciiTheme="minorEastAsia" w:hAnsiTheme="minorEastAsia" w:eastAsiaTheme="minorEastAsia"/>
          <w:kern w:val="0"/>
          <w:sz w:val="28"/>
          <w:szCs w:val="28"/>
          <w:lang w:val="zh-CN"/>
        </w:rPr>
        <w:t>的通知</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kern w:val="0"/>
          <w:sz w:val="28"/>
          <w:szCs w:val="28"/>
          <w:lang w:val="zh-CN"/>
        </w:rPr>
        <w:t>财库〔2013〕46号</w:t>
      </w:r>
      <w:r>
        <w:rPr>
          <w:rFonts w:hint="eastAsia" w:cs="宋体" w:asciiTheme="minorEastAsia" w:hAnsiTheme="minorEastAsia" w:eastAsiaTheme="minorEastAsia"/>
          <w:sz w:val="28"/>
          <w:szCs w:val="28"/>
        </w:rPr>
        <w:t>）</w:t>
      </w:r>
    </w:p>
    <w:p>
      <w:pPr>
        <w:pStyle w:val="20"/>
        <w:spacing w:line="5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2.《关于进一步加强财政部门和预算单位资金存放管理的指导意见》（财库〔2017〕76号）</w:t>
      </w:r>
    </w:p>
    <w:p>
      <w:pPr>
        <w:pStyle w:val="20"/>
        <w:spacing w:line="5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3.《关于印发&lt;广东省财政专户开户银行选择办法&gt;的通知》（粤财库〔2013〕21号）</w:t>
      </w:r>
    </w:p>
    <w:p>
      <w:pPr>
        <w:pStyle w:val="20"/>
        <w:spacing w:line="5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4.《关于进一步加强财政部门和预算单位资金存放管理的实施意见》（粤财库〔2017〕59号）</w:t>
      </w:r>
    </w:p>
    <w:p>
      <w:pPr>
        <w:pStyle w:val="20"/>
        <w:spacing w:line="5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5.《印发关于深化收支两条线改革进一步加强和规范非税收入管理意见的通知》(粤府〔2004〕40号)</w:t>
      </w:r>
    </w:p>
    <w:p>
      <w:pPr>
        <w:pStyle w:val="20"/>
        <w:spacing w:line="5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6.《关于印发&lt;政府非税收入管理办法&gt;的通知》（财税〔2016〕33号）</w:t>
      </w:r>
    </w:p>
    <w:p>
      <w:pPr>
        <w:pStyle w:val="20"/>
        <w:spacing w:line="5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7.《广</w:t>
      </w:r>
      <w:r>
        <w:rPr>
          <w:rFonts w:cs="宋体" w:asciiTheme="minorEastAsia" w:hAnsiTheme="minorEastAsia" w:eastAsiaTheme="minorEastAsia"/>
          <w:sz w:val="28"/>
          <w:szCs w:val="28"/>
        </w:rPr>
        <w:t>东省财政厅关于做好全省非税系统一体化建设第二、三批地市启动工作的通知</w:t>
      </w:r>
      <w:r>
        <w:rPr>
          <w:rFonts w:hint="eastAsia" w:cs="宋体" w:asciiTheme="minorEastAsia" w:hAnsiTheme="minorEastAsia" w:eastAsiaTheme="minorEastAsia"/>
          <w:sz w:val="28"/>
          <w:szCs w:val="28"/>
        </w:rPr>
        <w:t>》</w:t>
      </w:r>
    </w:p>
    <w:p>
      <w:pPr>
        <w:pStyle w:val="20"/>
        <w:spacing w:line="52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8.《关</w:t>
      </w:r>
      <w:r>
        <w:rPr>
          <w:rFonts w:cs="宋体" w:asciiTheme="minorEastAsia" w:hAnsiTheme="minorEastAsia" w:eastAsiaTheme="minorEastAsia"/>
          <w:sz w:val="28"/>
          <w:szCs w:val="28"/>
        </w:rPr>
        <w:t>于印发</w:t>
      </w:r>
      <w:r>
        <w:rPr>
          <w:rFonts w:hint="eastAsia" w:cs="宋体" w:asciiTheme="minorEastAsia" w:hAnsiTheme="minorEastAsia" w:eastAsiaTheme="minorEastAsia"/>
          <w:sz w:val="28"/>
          <w:szCs w:val="28"/>
        </w:rPr>
        <w:t>&lt;</w:t>
      </w:r>
      <w:r>
        <w:rPr>
          <w:rFonts w:cs="宋体" w:asciiTheme="minorEastAsia" w:hAnsiTheme="minorEastAsia" w:eastAsiaTheme="minorEastAsia"/>
          <w:sz w:val="28"/>
          <w:szCs w:val="28"/>
        </w:rPr>
        <w:t>江门市实施全省非税系统一体化建设工作方案</w:t>
      </w:r>
      <w:r>
        <w:rPr>
          <w:rFonts w:hint="eastAsia" w:cs="宋体" w:asciiTheme="minorEastAsia" w:hAnsiTheme="minorEastAsia" w:eastAsiaTheme="minorEastAsia"/>
          <w:sz w:val="28"/>
          <w:szCs w:val="28"/>
        </w:rPr>
        <w:t>&gt;</w:t>
      </w:r>
      <w:r>
        <w:rPr>
          <w:rFonts w:cs="宋体" w:asciiTheme="minorEastAsia" w:hAnsiTheme="minorEastAsia" w:eastAsiaTheme="minorEastAsia"/>
          <w:sz w:val="28"/>
          <w:szCs w:val="28"/>
        </w:rPr>
        <w:t>的通知</w:t>
      </w:r>
      <w:r>
        <w:rPr>
          <w:rFonts w:hint="eastAsia" w:cs="宋体" w:asciiTheme="minorEastAsia" w:hAnsiTheme="minorEastAsia" w:eastAsiaTheme="minorEastAsia"/>
          <w:sz w:val="28"/>
          <w:szCs w:val="28"/>
        </w:rPr>
        <w:t>》（江财综〔2021〕26号）</w:t>
      </w:r>
    </w:p>
    <w:p>
      <w:pPr>
        <w:pStyle w:val="2"/>
        <w:spacing w:before="0" w:after="0" w:line="520" w:lineRule="exact"/>
        <w:jc w:val="center"/>
        <w:rPr>
          <w:rFonts w:cs="宋体" w:asciiTheme="minorEastAsia" w:hAnsiTheme="minorEastAsia" w:eastAsiaTheme="minorEastAsia"/>
          <w:b w:val="0"/>
          <w:sz w:val="28"/>
          <w:szCs w:val="28"/>
        </w:rPr>
      </w:pPr>
      <w:r>
        <w:rPr>
          <w:rFonts w:cs="宋体" w:asciiTheme="minorEastAsia" w:hAnsiTheme="minorEastAsia" w:eastAsiaTheme="minorEastAsia"/>
          <w:sz w:val="28"/>
          <w:szCs w:val="28"/>
        </w:rPr>
        <w:br w:type="page"/>
      </w:r>
      <w:bookmarkEnd w:id="27"/>
      <w:bookmarkEnd w:id="28"/>
      <w:bookmarkEnd w:id="29"/>
      <w:bookmarkEnd w:id="30"/>
      <w:bookmarkEnd w:id="31"/>
      <w:bookmarkEnd w:id="32"/>
      <w:bookmarkEnd w:id="33"/>
      <w:bookmarkEnd w:id="34"/>
      <w:bookmarkEnd w:id="35"/>
      <w:bookmarkStart w:id="50" w:name="_Toc23340"/>
      <w:bookmarkStart w:id="51" w:name="_Toc10015"/>
      <w:bookmarkStart w:id="52" w:name="_Toc6835"/>
      <w:bookmarkStart w:id="53" w:name="_Toc3475"/>
      <w:bookmarkStart w:id="54" w:name="_Toc467236724"/>
      <w:bookmarkStart w:id="55" w:name="_Toc479991566"/>
      <w:bookmarkStart w:id="56" w:name="_Toc48207756"/>
      <w:bookmarkStart w:id="57" w:name="_Toc480010692"/>
      <w:bookmarkStart w:id="58" w:name="_Toc480171863"/>
      <w:bookmarkStart w:id="59" w:name="_Toc467987807"/>
      <w:bookmarkStart w:id="60" w:name="_Toc480020241"/>
      <w:bookmarkStart w:id="61" w:name="_Toc468606013"/>
      <w:bookmarkStart w:id="62" w:name="_Toc468157520"/>
      <w:bookmarkStart w:id="63" w:name="_Toc480021037"/>
      <w:bookmarkStart w:id="64" w:name="_Toc458262599"/>
      <w:r>
        <w:rPr>
          <w:rFonts w:hint="eastAsia" w:cs="宋体" w:asciiTheme="minorEastAsia" w:hAnsiTheme="minorEastAsia" w:eastAsiaTheme="minorEastAsia"/>
          <w:sz w:val="28"/>
          <w:szCs w:val="28"/>
        </w:rPr>
        <w:t>第三部分</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投标人须知</w:t>
      </w:r>
      <w:bookmarkEnd w:id="50"/>
      <w:bookmarkEnd w:id="51"/>
      <w:bookmarkEnd w:id="52"/>
      <w:bookmarkEnd w:id="53"/>
    </w:p>
    <w:p>
      <w:pPr>
        <w:pStyle w:val="3"/>
        <w:spacing w:before="0" w:after="0" w:line="520" w:lineRule="exact"/>
        <w:jc w:val="center"/>
        <w:rPr>
          <w:rFonts w:cs="宋体" w:asciiTheme="minorEastAsia" w:hAnsiTheme="minorEastAsia" w:eastAsiaTheme="minorEastAsia"/>
          <w:sz w:val="28"/>
          <w:szCs w:val="28"/>
        </w:rPr>
      </w:pPr>
      <w:bookmarkStart w:id="65" w:name="_Toc22235"/>
      <w:bookmarkStart w:id="66" w:name="_Toc102277756"/>
      <w:bookmarkStart w:id="67" w:name="_Toc507407359"/>
      <w:bookmarkStart w:id="68" w:name="_Toc6968687"/>
      <w:bookmarkStart w:id="69" w:name="_Toc21833"/>
      <w:bookmarkStart w:id="70" w:name="_Toc466786434"/>
      <w:bookmarkStart w:id="71" w:name="_Toc6882675"/>
      <w:bookmarkStart w:id="72" w:name="_Toc13787"/>
      <w:r>
        <w:rPr>
          <w:rFonts w:hint="eastAsia" w:cs="宋体" w:asciiTheme="minorEastAsia" w:hAnsiTheme="minorEastAsia" w:eastAsiaTheme="minorEastAsia"/>
          <w:sz w:val="28"/>
          <w:szCs w:val="28"/>
        </w:rPr>
        <w:t>一、说明</w:t>
      </w:r>
      <w:bookmarkEnd w:id="65"/>
      <w:bookmarkEnd w:id="66"/>
      <w:bookmarkEnd w:id="67"/>
      <w:bookmarkEnd w:id="68"/>
      <w:bookmarkEnd w:id="69"/>
      <w:bookmarkEnd w:id="70"/>
      <w:bookmarkEnd w:id="71"/>
      <w:bookmarkEnd w:id="72"/>
    </w:p>
    <w:p>
      <w:pPr>
        <w:spacing w:line="520" w:lineRule="exact"/>
        <w:ind w:firstLine="562" w:firstLineChars="200"/>
        <w:rPr>
          <w:rFonts w:cs="宋体" w:asciiTheme="minorEastAsia" w:hAnsiTheme="minorEastAsia" w:eastAsiaTheme="minorEastAsia"/>
          <w:b/>
          <w:bCs/>
          <w:sz w:val="28"/>
          <w:szCs w:val="28"/>
        </w:rPr>
      </w:pPr>
      <w:bookmarkStart w:id="73" w:name="_Toc508093393"/>
      <w:bookmarkStart w:id="74" w:name="_Toc475249114"/>
      <w:r>
        <w:rPr>
          <w:rFonts w:cs="宋体" w:asciiTheme="minorEastAsia" w:hAnsiTheme="minorEastAsia" w:eastAsiaTheme="minorEastAsia"/>
          <w:b/>
          <w:bCs/>
          <w:sz w:val="28"/>
          <w:szCs w:val="28"/>
        </w:rPr>
        <w:t>1.适用范围</w:t>
      </w:r>
      <w:bookmarkEnd w:id="73"/>
      <w:bookmarkEnd w:id="74"/>
    </w:p>
    <w:p>
      <w:pPr>
        <w:autoSpaceDE w:val="0"/>
        <w:autoSpaceDN w:val="0"/>
        <w:spacing w:line="520" w:lineRule="exact"/>
        <w:ind w:firstLine="560" w:firstLineChars="200"/>
        <w:jc w:val="left"/>
        <w:textAlignment w:val="baseline"/>
        <w:rPr>
          <w:rFonts w:cs="宋体" w:asciiTheme="minorEastAsia" w:hAnsiTheme="minorEastAsia" w:eastAsiaTheme="minorEastAsia"/>
          <w:sz w:val="28"/>
          <w:szCs w:val="28"/>
        </w:rPr>
      </w:pPr>
      <w:r>
        <w:rPr>
          <w:rFonts w:cs="宋体" w:asciiTheme="minorEastAsia" w:hAnsiTheme="minorEastAsia" w:eastAsiaTheme="minorEastAsia"/>
          <w:sz w:val="28"/>
          <w:szCs w:val="28"/>
        </w:rPr>
        <w:t>1.1本招标文件仅适用于本次投标邀请中所叙述的项目。</w:t>
      </w:r>
    </w:p>
    <w:p>
      <w:pPr>
        <w:autoSpaceDE w:val="0"/>
        <w:autoSpaceDN w:val="0"/>
        <w:spacing w:line="520" w:lineRule="exact"/>
        <w:ind w:firstLine="560" w:firstLineChars="200"/>
        <w:jc w:val="left"/>
        <w:textAlignment w:val="baseline"/>
        <w:rPr>
          <w:rFonts w:cs="宋体" w:asciiTheme="minorEastAsia" w:hAnsiTheme="minorEastAsia" w:eastAsiaTheme="minorEastAsia"/>
          <w:sz w:val="28"/>
          <w:szCs w:val="28"/>
        </w:rPr>
      </w:pPr>
      <w:r>
        <w:rPr>
          <w:rFonts w:cs="宋体" w:asciiTheme="minorEastAsia" w:hAnsiTheme="minorEastAsia" w:eastAsiaTheme="minorEastAsia"/>
          <w:sz w:val="28"/>
          <w:szCs w:val="28"/>
        </w:rPr>
        <w:t>1.2本招标文件的解释权在招标代理机构。</w:t>
      </w:r>
    </w:p>
    <w:p>
      <w:pPr>
        <w:spacing w:line="520" w:lineRule="exact"/>
        <w:ind w:firstLine="562" w:firstLineChars="200"/>
        <w:rPr>
          <w:rFonts w:cs="宋体" w:asciiTheme="minorEastAsia" w:hAnsiTheme="minorEastAsia" w:eastAsiaTheme="minorEastAsia"/>
          <w:b/>
          <w:bCs/>
          <w:sz w:val="28"/>
          <w:szCs w:val="28"/>
        </w:rPr>
      </w:pPr>
      <w:bookmarkStart w:id="75" w:name="_Toc475249115"/>
      <w:bookmarkStart w:id="76" w:name="_Toc508093394"/>
      <w:r>
        <w:rPr>
          <w:rFonts w:cs="宋体" w:asciiTheme="minorEastAsia" w:hAnsiTheme="minorEastAsia" w:eastAsiaTheme="minorEastAsia"/>
          <w:b/>
          <w:bCs/>
          <w:sz w:val="28"/>
          <w:szCs w:val="28"/>
        </w:rPr>
        <w:t>2.定义</w:t>
      </w:r>
      <w:bookmarkEnd w:id="75"/>
      <w:bookmarkEnd w:id="76"/>
    </w:p>
    <w:p>
      <w:pPr>
        <w:spacing w:line="520" w:lineRule="exact"/>
        <w:ind w:firstLine="560" w:firstLineChars="200"/>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sz w:val="28"/>
          <w:szCs w:val="28"/>
        </w:rPr>
        <w:t>2.1“招标人”是指江门市财政局。招标文件有另外规定的，从其规定。</w:t>
      </w:r>
    </w:p>
    <w:p>
      <w:pPr>
        <w:spacing w:line="520" w:lineRule="exact"/>
        <w:ind w:firstLine="560" w:firstLineChars="200"/>
        <w:rPr>
          <w:rFonts w:cs="宋体" w:asciiTheme="minorEastAsia" w:hAnsiTheme="minorEastAsia" w:eastAsiaTheme="minorEastAsia"/>
          <w:b/>
          <w:sz w:val="28"/>
          <w:szCs w:val="28"/>
        </w:rPr>
      </w:pPr>
      <w:r>
        <w:rPr>
          <w:rFonts w:cs="宋体" w:asciiTheme="minorEastAsia" w:hAnsiTheme="minorEastAsia" w:eastAsiaTheme="minorEastAsia"/>
          <w:sz w:val="28"/>
          <w:szCs w:val="28"/>
        </w:rPr>
        <w:t>2.2“招标代理”、“招标代理机构”是指江门市政府</w:t>
      </w:r>
      <w:r>
        <w:rPr>
          <w:rFonts w:cs="宋体" w:asciiTheme="minorEastAsia" w:hAnsiTheme="minorEastAsia" w:eastAsiaTheme="minorEastAsia"/>
          <w:color w:val="000000" w:themeColor="text1"/>
          <w:sz w:val="28"/>
          <w:szCs w:val="28"/>
          <w14:textFill>
            <w14:solidFill>
              <w14:schemeClr w14:val="tx1"/>
            </w14:solidFill>
          </w14:textFill>
        </w:rPr>
        <w:t>采购</w:t>
      </w:r>
      <w:r>
        <w:rPr>
          <w:rFonts w:cs="宋体" w:asciiTheme="minorEastAsia" w:hAnsiTheme="minorEastAsia" w:eastAsiaTheme="minorEastAsia"/>
          <w:sz w:val="28"/>
          <w:szCs w:val="28"/>
        </w:rPr>
        <w:t>中心。</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2.3“投标人”是指向招标代理机构提交投标文件的法人，自然人或非法人组织。</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2.4货物：卖方按招标文件规定向买方提供的与本项目服务有关的手册及其它相关资料等。</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2.5服务：招标文件规定卖方必须承担的金融服务及其它相关义务。</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2.6语言：招标文件的语言为简体中文。</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2.7日期：指公历日。</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2.8时间：指北京时间。</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2.9江门市</w:t>
      </w:r>
      <w:r>
        <w:rPr>
          <w:rFonts w:hint="eastAsia" w:cs="宋体" w:asciiTheme="minorEastAsia" w:hAnsiTheme="minorEastAsia" w:eastAsiaTheme="minorEastAsia"/>
          <w:sz w:val="28"/>
          <w:szCs w:val="28"/>
        </w:rPr>
        <w:t>辖</w:t>
      </w:r>
      <w:r>
        <w:rPr>
          <w:rFonts w:cs="宋体" w:asciiTheme="minorEastAsia" w:hAnsiTheme="minorEastAsia" w:eastAsiaTheme="minorEastAsia"/>
          <w:sz w:val="28"/>
          <w:szCs w:val="28"/>
        </w:rPr>
        <w:t>区：是指江门市蓬江区、江海区、新会区。</w:t>
      </w:r>
    </w:p>
    <w:p>
      <w:pPr>
        <w:spacing w:line="520" w:lineRule="exact"/>
        <w:ind w:firstLine="562" w:firstLineChars="200"/>
        <w:rPr>
          <w:rFonts w:cs="宋体" w:asciiTheme="minorEastAsia" w:hAnsiTheme="minorEastAsia" w:eastAsiaTheme="minorEastAsia"/>
          <w:b/>
          <w:bCs/>
          <w:sz w:val="28"/>
          <w:szCs w:val="28"/>
        </w:rPr>
      </w:pPr>
      <w:bookmarkStart w:id="77" w:name="_Toc110953831"/>
      <w:bookmarkStart w:id="78" w:name="_Toc508093395"/>
      <w:bookmarkStart w:id="79" w:name="_Toc507407360"/>
      <w:bookmarkStart w:id="80" w:name="_Toc102277757"/>
      <w:bookmarkStart w:id="81" w:name="_Toc6968688"/>
      <w:bookmarkStart w:id="82" w:name="_Toc466786435"/>
      <w:bookmarkStart w:id="83" w:name="_Toc6882676"/>
      <w:r>
        <w:rPr>
          <w:rFonts w:cs="宋体" w:asciiTheme="minorEastAsia" w:hAnsiTheme="minorEastAsia" w:eastAsiaTheme="minorEastAsia"/>
          <w:b/>
          <w:bCs/>
          <w:sz w:val="28"/>
          <w:szCs w:val="28"/>
        </w:rPr>
        <w:t>3.适用法律</w:t>
      </w:r>
      <w:bookmarkEnd w:id="77"/>
      <w:bookmarkEnd w:id="78"/>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招标人、投标人和招标代理机构均应当遵守《中华人民共和国招标投标法》及相关法律法规。</w:t>
      </w:r>
    </w:p>
    <w:p>
      <w:pPr>
        <w:spacing w:line="520" w:lineRule="exact"/>
        <w:ind w:firstLine="562" w:firstLineChars="200"/>
        <w:rPr>
          <w:rFonts w:cs="宋体" w:asciiTheme="minorEastAsia" w:hAnsiTheme="minorEastAsia" w:eastAsiaTheme="minorEastAsia"/>
          <w:b/>
          <w:bCs/>
          <w:sz w:val="28"/>
          <w:szCs w:val="28"/>
        </w:rPr>
      </w:pPr>
      <w:bookmarkStart w:id="84" w:name="_Toc508093396"/>
      <w:bookmarkStart w:id="85" w:name="_Toc110953832"/>
      <w:r>
        <w:rPr>
          <w:rFonts w:cs="宋体" w:asciiTheme="minorEastAsia" w:hAnsiTheme="minorEastAsia" w:eastAsiaTheme="minorEastAsia"/>
          <w:b/>
          <w:bCs/>
          <w:sz w:val="28"/>
          <w:szCs w:val="28"/>
        </w:rPr>
        <w:t>4.知识产权</w:t>
      </w:r>
      <w:bookmarkEnd w:id="84"/>
      <w:bookmarkEnd w:id="85"/>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4.1投标人应当保证，招标人在中华人民共和国境内使用货物或货物的任何一部分时，招标人和招标代理机构免受第三方提出侵犯其专利权、商标权或其它知识产权的起诉。</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4.2最终确定的合同价格包括所有应支付的对专利权和版权、设计或其他知识产权而须要向其他方支付的相关费用。</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4.3投标人不拥有相应的知识产权的，则在投标报价中必须包括有合法获取该知识产权的相关费用，否则，由此而产生的一切法律和经济纠纷由投标人承担责任。</w:t>
      </w:r>
    </w:p>
    <w:p>
      <w:pPr>
        <w:spacing w:line="520" w:lineRule="exact"/>
        <w:ind w:firstLine="562" w:firstLineChars="200"/>
        <w:rPr>
          <w:rFonts w:cs="宋体" w:asciiTheme="minorEastAsia" w:hAnsiTheme="minorEastAsia" w:eastAsiaTheme="minorEastAsia"/>
          <w:b/>
          <w:bCs/>
          <w:sz w:val="28"/>
          <w:szCs w:val="28"/>
        </w:rPr>
      </w:pPr>
      <w:bookmarkStart w:id="86" w:name="_Toc508093397"/>
      <w:bookmarkStart w:id="87" w:name="_Toc110953833"/>
      <w:r>
        <w:rPr>
          <w:rFonts w:cs="宋体" w:asciiTheme="minorEastAsia" w:hAnsiTheme="minorEastAsia" w:eastAsiaTheme="minorEastAsia"/>
          <w:b/>
          <w:bCs/>
          <w:sz w:val="28"/>
          <w:szCs w:val="28"/>
        </w:rPr>
        <w:t>5.禁止事项</w:t>
      </w:r>
      <w:bookmarkEnd w:id="86"/>
      <w:bookmarkEnd w:id="87"/>
    </w:p>
    <w:p>
      <w:pPr>
        <w:spacing w:line="520" w:lineRule="exact"/>
        <w:ind w:firstLine="560" w:firstLineChars="200"/>
        <w:rPr>
          <w:rFonts w:cs="宋体" w:asciiTheme="minorEastAsia" w:hAnsiTheme="minorEastAsia" w:eastAsiaTheme="minorEastAsia"/>
          <w:sz w:val="28"/>
          <w:szCs w:val="28"/>
        </w:rPr>
      </w:pPr>
      <w:bookmarkStart w:id="88" w:name="_Toc98126293"/>
      <w:bookmarkStart w:id="89" w:name="_Toc98126218"/>
      <w:r>
        <w:rPr>
          <w:rFonts w:cs="宋体" w:asciiTheme="minorEastAsia" w:hAnsiTheme="minorEastAsia" w:eastAsiaTheme="minorEastAsia"/>
          <w:sz w:val="28"/>
          <w:szCs w:val="28"/>
        </w:rPr>
        <w:t>5.1招标人、投标人和招标代理机构不得相互串通损害国家利益、社会公共利益和其他当事人的合法权益；不得以任何手段排斥其他供应商参与竞争。</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5.2投标人不得向招标人、招标代理机构、评标委员会的组成人员行贿或者采取其他不正当手段谋取成交。</w:t>
      </w:r>
      <w:bookmarkEnd w:id="88"/>
      <w:bookmarkEnd w:id="89"/>
    </w:p>
    <w:p>
      <w:pPr>
        <w:spacing w:line="520" w:lineRule="exact"/>
        <w:ind w:firstLine="560" w:firstLineChars="200"/>
        <w:rPr>
          <w:rFonts w:cs="宋体" w:asciiTheme="minorEastAsia" w:hAnsiTheme="minorEastAsia" w:eastAsiaTheme="minorEastAsia"/>
          <w:sz w:val="28"/>
          <w:szCs w:val="28"/>
        </w:rPr>
      </w:pPr>
      <w:bookmarkStart w:id="90" w:name="_Toc98126294"/>
      <w:bookmarkStart w:id="91" w:name="_Toc98126219"/>
      <w:r>
        <w:rPr>
          <w:rFonts w:cs="宋体" w:asciiTheme="minorEastAsia" w:hAnsiTheme="minorEastAsia" w:eastAsiaTheme="minorEastAsia"/>
          <w:sz w:val="28"/>
          <w:szCs w:val="28"/>
        </w:rPr>
        <w:t>5.3招标代理机构不得向招标人行贿或者采取其他不正当手段谋取非法利益。</w:t>
      </w:r>
      <w:bookmarkEnd w:id="90"/>
      <w:bookmarkEnd w:id="91"/>
    </w:p>
    <w:p>
      <w:pPr>
        <w:spacing w:line="520" w:lineRule="exact"/>
        <w:ind w:firstLine="560" w:firstLineChars="200"/>
        <w:rPr>
          <w:rFonts w:cs="宋体" w:asciiTheme="minorEastAsia" w:hAnsiTheme="minorEastAsia" w:eastAsiaTheme="minorEastAsia"/>
          <w:sz w:val="28"/>
          <w:szCs w:val="28"/>
        </w:rPr>
      </w:pPr>
      <w:bookmarkStart w:id="92" w:name="_Toc98126220"/>
      <w:bookmarkStart w:id="93" w:name="_Toc98126295"/>
      <w:r>
        <w:rPr>
          <w:rFonts w:cs="宋体" w:asciiTheme="minorEastAsia" w:hAnsiTheme="minorEastAsia" w:eastAsiaTheme="minorEastAsia"/>
          <w:sz w:val="28"/>
          <w:szCs w:val="28"/>
        </w:rPr>
        <w:t>5.4除投标人被要求对投标文件进行质疑澄清外，从开标之时起至授予合同止，投标人不得就与其投标文件有关的事项主动与评标委员会、招标人以及招标代理机构接触。</w:t>
      </w:r>
      <w:bookmarkEnd w:id="92"/>
      <w:bookmarkEnd w:id="93"/>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5.5评标委员会及其成员不得有下列行为： </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(1) </w:t>
      </w:r>
      <w:r>
        <w:rPr>
          <w:rFonts w:hint="eastAsia" w:cs="宋体" w:asciiTheme="minorEastAsia" w:hAnsiTheme="minorEastAsia" w:eastAsiaTheme="minorEastAsia"/>
          <w:sz w:val="28"/>
          <w:szCs w:val="28"/>
        </w:rPr>
        <w:t>确定参与评标至评标结束前私自接触投标人；</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(2) </w:t>
      </w:r>
      <w:r>
        <w:rPr>
          <w:rFonts w:hint="eastAsia" w:cs="宋体" w:asciiTheme="minorEastAsia" w:hAnsiTheme="minorEastAsia" w:eastAsiaTheme="minorEastAsia"/>
          <w:sz w:val="28"/>
          <w:szCs w:val="28"/>
        </w:rPr>
        <w:t>接受投标人提出的与投标文件不一致的澄清或者说明，文件规定的情形除外；</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(3) </w:t>
      </w:r>
      <w:r>
        <w:rPr>
          <w:rFonts w:hint="eastAsia" w:cs="宋体" w:asciiTheme="minorEastAsia" w:hAnsiTheme="minorEastAsia" w:eastAsiaTheme="minorEastAsia"/>
          <w:sz w:val="28"/>
          <w:szCs w:val="28"/>
        </w:rPr>
        <w:t>违反评标纪律发表倾向性意见或者征询招标人的倾向性意见；</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(4) </w:t>
      </w:r>
      <w:r>
        <w:rPr>
          <w:rFonts w:hint="eastAsia" w:cs="宋体" w:asciiTheme="minorEastAsia" w:hAnsiTheme="minorEastAsia" w:eastAsiaTheme="minorEastAsia"/>
          <w:sz w:val="28"/>
          <w:szCs w:val="28"/>
        </w:rPr>
        <w:t>对需要专业判断的主观评审因素协商评分；</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(5) </w:t>
      </w:r>
      <w:r>
        <w:rPr>
          <w:rFonts w:hint="eastAsia" w:cs="宋体" w:asciiTheme="minorEastAsia" w:hAnsiTheme="minorEastAsia" w:eastAsiaTheme="minorEastAsia"/>
          <w:sz w:val="28"/>
          <w:szCs w:val="28"/>
        </w:rPr>
        <w:t>在评标过程中擅离职守，影响评标程序正常进行的；</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(6) </w:t>
      </w:r>
      <w:r>
        <w:rPr>
          <w:rFonts w:hint="eastAsia" w:cs="宋体" w:asciiTheme="minorEastAsia" w:hAnsiTheme="minorEastAsia" w:eastAsiaTheme="minorEastAsia"/>
          <w:sz w:val="28"/>
          <w:szCs w:val="28"/>
        </w:rPr>
        <w:t>记录、复制或者带走任何评标资料；</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(7) </w:t>
      </w:r>
      <w:r>
        <w:rPr>
          <w:rFonts w:hint="eastAsia" w:cs="宋体" w:asciiTheme="minorEastAsia" w:hAnsiTheme="minorEastAsia" w:eastAsiaTheme="minorEastAsia"/>
          <w:sz w:val="28"/>
          <w:szCs w:val="28"/>
        </w:rPr>
        <w:t>其他不遵守评标纪律的行为。</w:t>
      </w:r>
    </w:p>
    <w:p>
      <w:pPr>
        <w:spacing w:line="520" w:lineRule="exact"/>
        <w:ind w:firstLine="562" w:firstLineChars="200"/>
        <w:rPr>
          <w:rFonts w:cs="宋体" w:asciiTheme="minorEastAsia" w:hAnsiTheme="minorEastAsia" w:eastAsiaTheme="minorEastAsia"/>
          <w:b/>
          <w:bCs/>
          <w:sz w:val="28"/>
          <w:szCs w:val="28"/>
        </w:rPr>
      </w:pPr>
      <w:bookmarkStart w:id="94" w:name="_Toc508093398"/>
      <w:bookmarkStart w:id="95" w:name="_Toc110953834"/>
      <w:r>
        <w:rPr>
          <w:rFonts w:cs="宋体" w:asciiTheme="minorEastAsia" w:hAnsiTheme="minorEastAsia" w:eastAsiaTheme="minorEastAsia"/>
          <w:b/>
          <w:bCs/>
          <w:sz w:val="28"/>
          <w:szCs w:val="28"/>
        </w:rPr>
        <w:t>6.保密及其它注意事项</w:t>
      </w:r>
      <w:bookmarkEnd w:id="94"/>
      <w:bookmarkEnd w:id="95"/>
    </w:p>
    <w:p>
      <w:pPr>
        <w:spacing w:line="520" w:lineRule="exact"/>
        <w:ind w:firstLine="560" w:firstLineChars="200"/>
        <w:rPr>
          <w:rFonts w:cs="宋体" w:asciiTheme="minorEastAsia" w:hAnsiTheme="minorEastAsia" w:eastAsiaTheme="minorEastAsia"/>
          <w:sz w:val="28"/>
          <w:szCs w:val="28"/>
        </w:rPr>
      </w:pPr>
      <w:bookmarkStart w:id="96" w:name="_Toc98126222"/>
      <w:bookmarkStart w:id="97" w:name="_Toc98126297"/>
      <w:r>
        <w:rPr>
          <w:rFonts w:cs="宋体" w:asciiTheme="minorEastAsia" w:hAnsiTheme="minorEastAsia" w:eastAsiaTheme="minorEastAsia"/>
          <w:sz w:val="28"/>
          <w:szCs w:val="28"/>
        </w:rPr>
        <w:t>6.1凡参与</w:t>
      </w:r>
      <w:r>
        <w:rPr>
          <w:rFonts w:hint="eastAsia" w:cs="宋体" w:asciiTheme="minorEastAsia" w:hAnsiTheme="minorEastAsia" w:eastAsiaTheme="minorEastAsia"/>
          <w:sz w:val="28"/>
          <w:szCs w:val="28"/>
        </w:rPr>
        <w:t>招标</w:t>
      </w:r>
      <w:r>
        <w:rPr>
          <w:rFonts w:cs="宋体" w:asciiTheme="minorEastAsia" w:hAnsiTheme="minorEastAsia" w:eastAsiaTheme="minorEastAsia"/>
          <w:sz w:val="28"/>
          <w:szCs w:val="28"/>
        </w:rPr>
        <w:t>工作的有关人员均应自觉接受有关主管部门的监督，不得向他人透露可能影响公平竞争的有关情况。</w:t>
      </w:r>
      <w:bookmarkEnd w:id="96"/>
      <w:bookmarkEnd w:id="97"/>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6.2开标后，直至向成交投标人发出《中标通知书》止，凡与审查、澄清、评估和比较有关资料以及评审意见等，均不得向供应商及与评审无关的其他人透露。在</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cs="宋体" w:asciiTheme="minorEastAsia" w:hAnsiTheme="minorEastAsia" w:eastAsiaTheme="minorEastAsia"/>
          <w:sz w:val="28"/>
          <w:szCs w:val="28"/>
        </w:rPr>
        <w:t>工作结束后，与评审情况有接触的任何人，不得将评审情况扩散出评标委员会人员之外。</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6.3在评审期间，投标人不得向评标委员会成员询问评审情况，不得进行旨在影响评审结果的活动。</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6.4评标委员会不向未成交投标人解释落选原因，不退还投标文件。</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6.5所有投标人自行承担与投标有关的全部费用。招标人和招标代理机构在任何情况下均不承担该费用。</w:t>
      </w:r>
    </w:p>
    <w:p>
      <w:pPr>
        <w:spacing w:line="520" w:lineRule="exact"/>
        <w:ind w:firstLine="562" w:firstLineChars="200"/>
        <w:rPr>
          <w:rFonts w:cs="宋体" w:asciiTheme="minorEastAsia" w:hAnsiTheme="minorEastAsia" w:eastAsiaTheme="minorEastAsia"/>
          <w:b/>
          <w:bCs/>
          <w:sz w:val="28"/>
          <w:szCs w:val="28"/>
        </w:rPr>
      </w:pPr>
      <w:bookmarkStart w:id="98" w:name="_Toc508093399"/>
      <w:bookmarkStart w:id="99" w:name="_Toc497016085"/>
      <w:r>
        <w:rPr>
          <w:rFonts w:cs="宋体" w:asciiTheme="minorEastAsia" w:hAnsiTheme="minorEastAsia" w:eastAsiaTheme="minorEastAsia"/>
          <w:b/>
          <w:bCs/>
          <w:sz w:val="28"/>
          <w:szCs w:val="28"/>
        </w:rPr>
        <w:t>7.供应商诚信管理</w:t>
      </w:r>
      <w:bookmarkEnd w:id="98"/>
      <w:bookmarkEnd w:id="99"/>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7.1 </w:t>
      </w:r>
      <w:r>
        <w:rPr>
          <w:rFonts w:hint="eastAsia" w:cs="宋体" w:asciiTheme="minorEastAsia" w:hAnsiTheme="minorEastAsia" w:eastAsiaTheme="minorEastAsia"/>
          <w:sz w:val="28"/>
          <w:szCs w:val="28"/>
        </w:rPr>
        <w:t>投标人在本招标项目的竞争中应自觉遵循诚实信用原则，不得存在腐败、欺诈或其他严重违背诚信原则的行为。“腐败行为”是指提供、给予任何有价值的东西来影响招标人员在</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过程或合同实施过程中的行为；“欺诈行为”是指为了影响</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过程或合同实施过程而谎报、隐瞒事实，损害招标人的利益，包括投标人之间串通投标（递交投标书之前或之后），人为地使投标丧失竞争性，损害招标人从公开竞争中所能获得的权益。</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7.2 </w:t>
      </w:r>
      <w:r>
        <w:rPr>
          <w:rFonts w:hint="eastAsia" w:cs="宋体" w:asciiTheme="minorEastAsia" w:hAnsiTheme="minorEastAsia" w:eastAsiaTheme="minorEastAsia"/>
          <w:sz w:val="28"/>
          <w:szCs w:val="28"/>
        </w:rPr>
        <w:t>如果招标人或招标代理机构有证据表明投标人在本招标项目的竞争中存在腐败、欺诈或其他严重违背诚信原则的行为，则将拒绝其投标。</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7.3投标人有下列情形之一，将报有关监督管理部门处理，并作不良诚信记录：</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1）提供虚假材料参加</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cs="宋体" w:asciiTheme="minorEastAsia" w:hAnsiTheme="minorEastAsia" w:eastAsiaTheme="minorEastAsia"/>
          <w:sz w:val="28"/>
          <w:szCs w:val="28"/>
        </w:rPr>
        <w:t>活动谋取中标、成交的；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2）开标后擅自撤销投标，影响招标继续进行的；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3）采取不正当手段诋毁、排挤其他供应商的；</w:t>
      </w:r>
    </w:p>
    <w:p>
      <w:pPr>
        <w:spacing w:line="520" w:lineRule="exact"/>
        <w:ind w:right="42" w:rightChars="20"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4）与招标人、其他供应商或者招标代理机构恶意串通的；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5）在招标</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cs="宋体" w:asciiTheme="minorEastAsia" w:hAnsiTheme="minorEastAsia" w:eastAsiaTheme="minorEastAsia"/>
          <w:sz w:val="28"/>
          <w:szCs w:val="28"/>
        </w:rPr>
        <w:t>过程中与招标人进行协商谈判的；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6）中标、成交后无正当理由拒绝签订合同的；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7）无正当理由拒绝履行合同的；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8）故意提供假冒伪劣产品或走私物品的；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9）拒绝提供售后服务，给招标人造成损害的；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10）恶意投诉，给招标人或招标代理机构造成损害的；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11）拒绝有关部门监督检查或者提供虚假情况的；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12）经认定的其他有违诚实信用的行为。</w:t>
      </w:r>
    </w:p>
    <w:p>
      <w:pPr>
        <w:pStyle w:val="3"/>
        <w:spacing w:before="0" w:after="0" w:line="520" w:lineRule="exact"/>
        <w:ind w:firstLine="562" w:firstLineChars="200"/>
        <w:jc w:val="center"/>
        <w:rPr>
          <w:rFonts w:cs="宋体" w:asciiTheme="minorEastAsia" w:hAnsiTheme="minorEastAsia" w:eastAsiaTheme="minorEastAsia"/>
          <w:sz w:val="28"/>
          <w:szCs w:val="28"/>
        </w:rPr>
      </w:pPr>
      <w:bookmarkStart w:id="100" w:name="_Toc3753"/>
      <w:bookmarkStart w:id="101" w:name="_Toc18019"/>
      <w:bookmarkStart w:id="102" w:name="_Toc16650"/>
      <w:r>
        <w:rPr>
          <w:rFonts w:hint="eastAsia" w:cs="宋体" w:asciiTheme="minorEastAsia" w:hAnsiTheme="minorEastAsia" w:eastAsiaTheme="minorEastAsia"/>
          <w:sz w:val="28"/>
          <w:szCs w:val="28"/>
        </w:rPr>
        <w:t>二、招标文件说明</w:t>
      </w:r>
      <w:bookmarkEnd w:id="79"/>
      <w:bookmarkEnd w:id="80"/>
      <w:bookmarkEnd w:id="81"/>
      <w:bookmarkEnd w:id="82"/>
      <w:bookmarkEnd w:id="83"/>
      <w:bookmarkEnd w:id="100"/>
      <w:bookmarkEnd w:id="101"/>
      <w:bookmarkEnd w:id="102"/>
    </w:p>
    <w:p>
      <w:pPr>
        <w:spacing w:line="520" w:lineRule="exact"/>
        <w:ind w:firstLine="562" w:firstLineChars="200"/>
        <w:rPr>
          <w:rFonts w:cs="宋体" w:asciiTheme="minorEastAsia" w:hAnsiTheme="minorEastAsia" w:eastAsiaTheme="minorEastAsia"/>
          <w:b/>
          <w:bCs/>
          <w:sz w:val="28"/>
          <w:szCs w:val="28"/>
        </w:rPr>
      </w:pPr>
      <w:bookmarkStart w:id="103" w:name="_Toc508093401"/>
      <w:bookmarkStart w:id="104" w:name="_Toc110953836"/>
      <w:bookmarkStart w:id="105" w:name="_Toc466786436"/>
      <w:bookmarkStart w:id="106" w:name="_Toc6968689"/>
      <w:bookmarkStart w:id="107" w:name="_Toc102277758"/>
      <w:bookmarkStart w:id="108" w:name="_Toc507407361"/>
      <w:bookmarkStart w:id="109" w:name="_Toc6882677"/>
      <w:r>
        <w:rPr>
          <w:rFonts w:cs="宋体" w:asciiTheme="minorEastAsia" w:hAnsiTheme="minorEastAsia" w:eastAsiaTheme="minorEastAsia"/>
          <w:b/>
          <w:bCs/>
          <w:sz w:val="28"/>
          <w:szCs w:val="28"/>
        </w:rPr>
        <w:t>8.招标文件构成</w:t>
      </w:r>
      <w:bookmarkEnd w:id="103"/>
      <w:bookmarkEnd w:id="104"/>
    </w:p>
    <w:p>
      <w:pPr>
        <w:spacing w:line="520" w:lineRule="exact"/>
        <w:ind w:right="-239" w:rightChars="-114"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招标文件用以阐明项目情况、评标程序、评审办法、定标标准和合同条款参考范本和投标文件的制作等，由投标邀请函、</w:t>
      </w:r>
      <w:r>
        <w:rPr>
          <w:rFonts w:hint="eastAsia" w:cs="宋体" w:asciiTheme="minorEastAsia" w:hAnsiTheme="minorEastAsia" w:eastAsiaTheme="minorEastAsia"/>
          <w:color w:val="000000" w:themeColor="text1"/>
          <w:sz w:val="28"/>
          <w:szCs w:val="28"/>
          <w14:textFill>
            <w14:solidFill>
              <w14:schemeClr w14:val="tx1"/>
            </w14:solidFill>
          </w14:textFill>
        </w:rPr>
        <w:t>采购</w:t>
      </w:r>
      <w:r>
        <w:rPr>
          <w:rFonts w:hint="eastAsia" w:cs="宋体" w:asciiTheme="minorEastAsia" w:hAnsiTheme="minorEastAsia" w:eastAsiaTheme="minorEastAsia"/>
          <w:sz w:val="28"/>
          <w:szCs w:val="28"/>
        </w:rPr>
        <w:t>需求、投标人须知、评标办法、合同范本和投标文件格式等构成。</w:t>
      </w:r>
    </w:p>
    <w:p>
      <w:pPr>
        <w:spacing w:line="520" w:lineRule="exact"/>
        <w:ind w:firstLine="562" w:firstLineChars="200"/>
        <w:rPr>
          <w:rFonts w:cs="宋体" w:asciiTheme="minorEastAsia" w:hAnsiTheme="minorEastAsia" w:eastAsiaTheme="minorEastAsia"/>
          <w:b/>
          <w:bCs/>
          <w:sz w:val="28"/>
          <w:szCs w:val="28"/>
        </w:rPr>
      </w:pPr>
      <w:bookmarkStart w:id="110" w:name="_Toc110953837"/>
      <w:bookmarkStart w:id="111" w:name="_Toc508093402"/>
      <w:r>
        <w:rPr>
          <w:rFonts w:cs="宋体" w:asciiTheme="minorEastAsia" w:hAnsiTheme="minorEastAsia" w:eastAsiaTheme="minorEastAsia"/>
          <w:b/>
          <w:bCs/>
          <w:sz w:val="28"/>
          <w:szCs w:val="28"/>
        </w:rPr>
        <w:t>9.招标文件的修改</w:t>
      </w:r>
      <w:bookmarkEnd w:id="110"/>
      <w:bookmarkEnd w:id="111"/>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9.1招标文件的澄清或者修改将在江门市财政局网站发布更正公告。该澄清或者修改为招标文件组成部分。</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9.2为使投标人编写投标文件时，有充分时间对招标文件的修改部分进行研究，招标代理机构可以决定酌情推迟投标截止时间。</w:t>
      </w:r>
    </w:p>
    <w:bookmarkEnd w:id="105"/>
    <w:bookmarkEnd w:id="106"/>
    <w:bookmarkEnd w:id="107"/>
    <w:bookmarkEnd w:id="108"/>
    <w:bookmarkEnd w:id="109"/>
    <w:p>
      <w:pPr>
        <w:pStyle w:val="3"/>
        <w:spacing w:before="0" w:after="0" w:line="520" w:lineRule="exact"/>
        <w:ind w:firstLine="562" w:firstLineChars="200"/>
        <w:jc w:val="center"/>
        <w:rPr>
          <w:rFonts w:cs="宋体" w:asciiTheme="minorEastAsia" w:hAnsiTheme="minorEastAsia" w:eastAsiaTheme="minorEastAsia"/>
          <w:sz w:val="28"/>
          <w:szCs w:val="28"/>
        </w:rPr>
      </w:pPr>
      <w:bookmarkStart w:id="112" w:name="_Toc110953838"/>
      <w:bookmarkStart w:id="113" w:name="_Toc9104"/>
      <w:bookmarkStart w:id="114" w:name="_Toc7475"/>
      <w:bookmarkStart w:id="115" w:name="_Toc16474"/>
      <w:bookmarkStart w:id="116" w:name="_Toc6882678"/>
      <w:bookmarkStart w:id="117" w:name="_Toc466786437"/>
      <w:bookmarkStart w:id="118" w:name="_Toc102277759"/>
      <w:bookmarkStart w:id="119" w:name="_Toc507407362"/>
      <w:bookmarkStart w:id="120" w:name="_Toc6968690"/>
      <w:r>
        <w:rPr>
          <w:rFonts w:hint="eastAsia" w:cs="宋体" w:asciiTheme="minorEastAsia" w:hAnsiTheme="minorEastAsia" w:eastAsiaTheme="minorEastAsia"/>
          <w:sz w:val="28"/>
          <w:szCs w:val="28"/>
        </w:rPr>
        <w:t>三、投标文件的制作</w:t>
      </w:r>
      <w:bookmarkEnd w:id="112"/>
      <w:bookmarkEnd w:id="113"/>
      <w:bookmarkEnd w:id="114"/>
      <w:bookmarkEnd w:id="115"/>
    </w:p>
    <w:p>
      <w:pPr>
        <w:spacing w:line="520" w:lineRule="exact"/>
        <w:ind w:firstLine="562" w:firstLineChars="200"/>
        <w:rPr>
          <w:rFonts w:cs="宋体" w:asciiTheme="minorEastAsia" w:hAnsiTheme="minorEastAsia" w:eastAsiaTheme="minorEastAsia"/>
          <w:b/>
          <w:bCs/>
          <w:sz w:val="28"/>
          <w:szCs w:val="28"/>
        </w:rPr>
      </w:pPr>
      <w:bookmarkStart w:id="121" w:name="_Toc508093404"/>
      <w:bookmarkStart w:id="122" w:name="_Toc110953839"/>
      <w:r>
        <w:rPr>
          <w:rFonts w:cs="宋体" w:asciiTheme="minorEastAsia" w:hAnsiTheme="minorEastAsia" w:eastAsiaTheme="minorEastAsia"/>
          <w:b/>
          <w:bCs/>
          <w:sz w:val="28"/>
          <w:szCs w:val="28"/>
        </w:rPr>
        <w:t>10.制作要求</w:t>
      </w:r>
      <w:bookmarkEnd w:id="121"/>
      <w:bookmarkEnd w:id="122"/>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10.1投标人应当仔细阅读招标文件的所有内容，按招标文件的要求提供投标文件，并保证所提供的全部资料的真实性及对招标文件</w:t>
      </w:r>
      <w:r>
        <w:rPr>
          <w:rFonts w:hint="eastAsia" w:cs="宋体" w:asciiTheme="minorEastAsia" w:hAnsiTheme="minorEastAsia" w:eastAsiaTheme="minorEastAsia"/>
          <w:sz w:val="28"/>
          <w:szCs w:val="28"/>
        </w:rPr>
        <w:t>作出实质性响应。</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10.2投标人应按招标文件中提供的投标文件格式制作投标文件。如有关表格不能满足填报需要，可以对表格格式</w:t>
      </w:r>
      <w:r>
        <w:rPr>
          <w:rFonts w:hint="eastAsia" w:cs="宋体" w:asciiTheme="minorEastAsia" w:hAnsiTheme="minorEastAsia" w:eastAsiaTheme="minorEastAsia"/>
          <w:sz w:val="28"/>
          <w:szCs w:val="28"/>
        </w:rPr>
        <w:t>作出相应调整，但不得更改表格的实质性内容。</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10.3</w:t>
      </w:r>
      <w:r>
        <w:rPr>
          <w:rFonts w:hint="eastAsia" w:cs="宋体" w:asciiTheme="minorEastAsia" w:hAnsiTheme="minorEastAsia" w:eastAsiaTheme="minorEastAsia"/>
          <w:b/>
          <w:sz w:val="28"/>
          <w:szCs w:val="28"/>
        </w:rPr>
        <w:t>投标人应提供正本</w:t>
      </w:r>
      <w:r>
        <w:rPr>
          <w:rFonts w:cs="宋体" w:asciiTheme="minorEastAsia" w:hAnsiTheme="minorEastAsia" w:eastAsiaTheme="minorEastAsia"/>
          <w:b/>
          <w:sz w:val="28"/>
          <w:szCs w:val="28"/>
        </w:rPr>
        <w:t>1份和副本6份。</w:t>
      </w:r>
      <w:r>
        <w:rPr>
          <w:rFonts w:hint="eastAsia" w:cs="宋体" w:asciiTheme="minorEastAsia" w:hAnsiTheme="minorEastAsia" w:eastAsiaTheme="minorEastAsia"/>
          <w:sz w:val="28"/>
          <w:szCs w:val="28"/>
        </w:rPr>
        <w:t>在每一份投标文件上要明确注明“正本”或“副本”字样，一旦正本和副本有差异，以正本为准。</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10.4投标文件的正本必须打印，并由投标人的法定代表人/负责人/投资人或经正式授权对投标人有约束力的委托代理人在投标文件上签字（或盖私章）并加盖投标人公章。委托代理人必须出具书面形式的《授权委托书》并附在投标文件中。投标文件的副本可采用正本的复印件。</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10.5除投标人对错处作必要修改外，投标文件中不许有加行、涂改或改写。任何行间插字、涂改和增删，必须由投标人的法定代表人/负责人/投资人或委托代理人在修改处签字（或盖私章）或加盖公章才有效。</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10.6电报、电话、传真、电子邮件形式的投标概不接受。</w:t>
      </w:r>
    </w:p>
    <w:p>
      <w:pPr>
        <w:spacing w:line="520" w:lineRule="exact"/>
        <w:ind w:firstLine="562" w:firstLineChars="200"/>
        <w:rPr>
          <w:rFonts w:cs="宋体" w:asciiTheme="minorEastAsia" w:hAnsiTheme="minorEastAsia" w:eastAsiaTheme="minorEastAsia"/>
          <w:b/>
          <w:bCs/>
          <w:sz w:val="28"/>
          <w:szCs w:val="28"/>
        </w:rPr>
      </w:pPr>
      <w:bookmarkStart w:id="123" w:name="_Toc508093405"/>
      <w:bookmarkStart w:id="124" w:name="_Toc110953840"/>
      <w:r>
        <w:rPr>
          <w:rFonts w:cs="宋体" w:asciiTheme="minorEastAsia" w:hAnsiTheme="minorEastAsia" w:eastAsiaTheme="minorEastAsia"/>
          <w:b/>
          <w:bCs/>
          <w:sz w:val="28"/>
          <w:szCs w:val="28"/>
        </w:rPr>
        <w:t>11.投标文件的内容</w:t>
      </w:r>
      <w:bookmarkEnd w:id="123"/>
      <w:bookmarkEnd w:id="124"/>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11.1投标文件内容包括：封面，目录，投标书，开标一览表，授权委托书，资格证明书及其他内容等构成。</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11.2投标报价</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11.3证明投标人合格和资格的文件。</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11.4投标人应当提交具备履行合同的证明文件。</w:t>
      </w:r>
    </w:p>
    <w:p>
      <w:pPr>
        <w:spacing w:line="520" w:lineRule="exact"/>
        <w:ind w:firstLine="562" w:firstLineChars="200"/>
        <w:rPr>
          <w:rFonts w:cs="宋体" w:asciiTheme="minorEastAsia" w:hAnsiTheme="minorEastAsia" w:eastAsiaTheme="minorEastAsia"/>
          <w:b/>
          <w:bCs/>
          <w:sz w:val="28"/>
          <w:szCs w:val="28"/>
        </w:rPr>
      </w:pPr>
      <w:bookmarkStart w:id="125" w:name="_Toc508093406"/>
      <w:bookmarkStart w:id="126" w:name="_Toc110953841"/>
      <w:r>
        <w:rPr>
          <w:rFonts w:cs="宋体" w:asciiTheme="minorEastAsia" w:hAnsiTheme="minorEastAsia" w:eastAsiaTheme="minorEastAsia"/>
          <w:b/>
          <w:bCs/>
          <w:sz w:val="28"/>
          <w:szCs w:val="28"/>
        </w:rPr>
        <w:t>12.投标文件格式</w:t>
      </w:r>
      <w:bookmarkEnd w:id="125"/>
      <w:bookmarkEnd w:id="126"/>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投标人应将投标文件装订成册，并填写“投标文件目录”。上述文件及表格为投标人必须提交的文件，各投标人可以根据实际情况增加内容，但不得擅自减少有关内容。投标文件的完整性是评标的内容之一。</w:t>
      </w:r>
    </w:p>
    <w:p>
      <w:pPr>
        <w:spacing w:line="520" w:lineRule="exact"/>
        <w:ind w:firstLine="562" w:firstLineChars="200"/>
        <w:rPr>
          <w:rFonts w:cs="宋体" w:asciiTheme="minorEastAsia" w:hAnsiTheme="minorEastAsia" w:eastAsiaTheme="minorEastAsia"/>
          <w:b/>
          <w:bCs/>
          <w:sz w:val="28"/>
          <w:szCs w:val="28"/>
        </w:rPr>
      </w:pPr>
      <w:bookmarkStart w:id="127" w:name="_Toc508093407"/>
      <w:bookmarkStart w:id="128" w:name="_Toc185150707"/>
      <w:r>
        <w:rPr>
          <w:rFonts w:cs="宋体" w:asciiTheme="minorEastAsia" w:hAnsiTheme="minorEastAsia" w:eastAsiaTheme="minorEastAsia"/>
          <w:b/>
          <w:bCs/>
          <w:sz w:val="28"/>
          <w:szCs w:val="28"/>
        </w:rPr>
        <w:t>13.投标保证金</w:t>
      </w:r>
      <w:bookmarkEnd w:id="127"/>
      <w:bookmarkEnd w:id="128"/>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本项目不收取投标保证金。</w:t>
      </w:r>
    </w:p>
    <w:p>
      <w:pPr>
        <w:spacing w:line="520" w:lineRule="exact"/>
        <w:ind w:firstLine="562" w:firstLineChars="200"/>
        <w:rPr>
          <w:rFonts w:cs="宋体" w:asciiTheme="minorEastAsia" w:hAnsiTheme="minorEastAsia" w:eastAsiaTheme="minorEastAsia"/>
          <w:b/>
          <w:bCs/>
          <w:sz w:val="28"/>
          <w:szCs w:val="28"/>
        </w:rPr>
      </w:pPr>
      <w:bookmarkStart w:id="129" w:name="_Toc468606030"/>
      <w:bookmarkStart w:id="130" w:name="_Toc480010709"/>
      <w:bookmarkStart w:id="131" w:name="_Toc480171880"/>
      <w:bookmarkStart w:id="132" w:name="_Toc508093408"/>
      <w:bookmarkStart w:id="133" w:name="_Toc458262615"/>
      <w:bookmarkStart w:id="134" w:name="_Toc467236741"/>
      <w:bookmarkStart w:id="135" w:name="_Toc468157537"/>
      <w:bookmarkStart w:id="136" w:name="_Toc454701382"/>
      <w:bookmarkStart w:id="137" w:name="_Toc480021054"/>
      <w:bookmarkStart w:id="138" w:name="_Toc110953842"/>
      <w:bookmarkStart w:id="139" w:name="_Toc480020258"/>
      <w:bookmarkStart w:id="140" w:name="_Toc467987824"/>
      <w:bookmarkStart w:id="141" w:name="_Toc503758471"/>
      <w:bookmarkStart w:id="142" w:name="_Toc479991583"/>
      <w:r>
        <w:rPr>
          <w:rFonts w:cs="宋体" w:asciiTheme="minorEastAsia" w:hAnsiTheme="minorEastAsia" w:eastAsiaTheme="minorEastAsia"/>
          <w:b/>
          <w:bCs/>
          <w:sz w:val="28"/>
          <w:szCs w:val="28"/>
        </w:rPr>
        <w:t>14.投标有效期</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14.1投标文件从开启投标文件之日起，投标有效期为90个日历日。如投标文件没有说明具体投标有效期的，视为投标有效期为90个日历日。</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14.2特殊情况下，招标代理机构可于投标有效期期满之前，要求投标人同意延长投标有效期，要求与答复均应为书面形式。对于同意该要求的投标人，既不要求也不允许其修改投标文件。</w:t>
      </w:r>
    </w:p>
    <w:bookmarkEnd w:id="116"/>
    <w:bookmarkEnd w:id="117"/>
    <w:bookmarkEnd w:id="118"/>
    <w:bookmarkEnd w:id="119"/>
    <w:bookmarkEnd w:id="120"/>
    <w:p>
      <w:pPr>
        <w:pStyle w:val="3"/>
        <w:spacing w:before="0" w:after="0" w:line="520" w:lineRule="exact"/>
        <w:ind w:firstLine="562" w:firstLineChars="200"/>
        <w:jc w:val="center"/>
        <w:rPr>
          <w:rFonts w:cs="宋体" w:asciiTheme="minorEastAsia" w:hAnsiTheme="minorEastAsia" w:eastAsiaTheme="minorEastAsia"/>
          <w:sz w:val="28"/>
          <w:szCs w:val="28"/>
        </w:rPr>
      </w:pPr>
      <w:bookmarkStart w:id="143" w:name="_Toc6402"/>
      <w:bookmarkStart w:id="144" w:name="_Toc13403"/>
      <w:bookmarkStart w:id="145" w:name="_Toc110953843"/>
      <w:bookmarkStart w:id="146" w:name="_Toc12631"/>
      <w:bookmarkStart w:id="147" w:name="_Toc507407363"/>
      <w:bookmarkStart w:id="148" w:name="_Toc6882679"/>
      <w:bookmarkStart w:id="149" w:name="_Toc102277760"/>
      <w:bookmarkStart w:id="150" w:name="_Toc466786438"/>
      <w:bookmarkStart w:id="151" w:name="_Toc6968691"/>
      <w:r>
        <w:rPr>
          <w:rFonts w:hint="eastAsia" w:cs="宋体" w:asciiTheme="minorEastAsia" w:hAnsiTheme="minorEastAsia" w:eastAsiaTheme="minorEastAsia"/>
          <w:sz w:val="28"/>
          <w:szCs w:val="28"/>
        </w:rPr>
        <w:t>四、投标文件的递交</w:t>
      </w:r>
      <w:bookmarkEnd w:id="143"/>
      <w:bookmarkEnd w:id="144"/>
      <w:bookmarkEnd w:id="145"/>
      <w:bookmarkEnd w:id="146"/>
    </w:p>
    <w:p>
      <w:pPr>
        <w:spacing w:line="520" w:lineRule="exact"/>
        <w:ind w:firstLine="562" w:firstLineChars="200"/>
        <w:rPr>
          <w:rFonts w:cs="宋体" w:asciiTheme="minorEastAsia" w:hAnsiTheme="minorEastAsia" w:eastAsiaTheme="minorEastAsia"/>
          <w:b/>
          <w:bCs/>
          <w:sz w:val="28"/>
          <w:szCs w:val="28"/>
        </w:rPr>
      </w:pPr>
      <w:bookmarkStart w:id="152" w:name="_Toc110953844"/>
      <w:bookmarkStart w:id="153" w:name="_Toc508093410"/>
      <w:r>
        <w:rPr>
          <w:rFonts w:cs="宋体" w:asciiTheme="minorEastAsia" w:hAnsiTheme="minorEastAsia" w:eastAsiaTheme="minorEastAsia"/>
          <w:b/>
          <w:bCs/>
          <w:sz w:val="28"/>
          <w:szCs w:val="28"/>
        </w:rPr>
        <w:t>15.投标文件的密封和标记</w:t>
      </w:r>
      <w:bookmarkEnd w:id="152"/>
      <w:bookmarkEnd w:id="153"/>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15.1投标人应将投标文件正本和副本用信封分别密封，并标明投标人的名称、</w:t>
      </w:r>
      <w:r>
        <w:rPr>
          <w:rFonts w:cs="宋体" w:asciiTheme="minorEastAsia" w:hAnsiTheme="minorEastAsia" w:eastAsiaTheme="minorEastAsia"/>
          <w:color w:val="000000" w:themeColor="text1"/>
          <w:sz w:val="28"/>
          <w:szCs w:val="28"/>
          <w14:textFill>
            <w14:solidFill>
              <w14:schemeClr w14:val="tx1"/>
            </w14:solidFill>
          </w14:textFill>
        </w:rPr>
        <w:t>采购</w:t>
      </w:r>
      <w:r>
        <w:rPr>
          <w:rFonts w:cs="宋体" w:asciiTheme="minorEastAsia" w:hAnsiTheme="minorEastAsia" w:eastAsiaTheme="minorEastAsia"/>
          <w:sz w:val="28"/>
          <w:szCs w:val="28"/>
        </w:rPr>
        <w:t>编号及“正本”或“副本”字样。</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15.2为</w:t>
      </w:r>
      <w:r>
        <w:rPr>
          <w:rFonts w:hint="eastAsia" w:cs="宋体" w:asciiTheme="minorEastAsia" w:hAnsiTheme="minorEastAsia" w:eastAsiaTheme="minorEastAsia"/>
          <w:sz w:val="28"/>
          <w:szCs w:val="28"/>
        </w:rPr>
        <w:t>方便唱标，投标人应将正本的《开标一览表》的复印件（加盖公章）单独密封，并在信封上标明“开标一览表”字样，然后再装入投标文件正本的密封袋中。</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15.3每一份投标文件的密封袋两头封口上均须贴封条，封条上应注明“</w:t>
      </w:r>
      <w:r>
        <w:rPr>
          <w:rFonts w:hint="eastAsia" w:cs="宋体" w:asciiTheme="minorEastAsia" w:hAnsiTheme="minorEastAsia" w:eastAsiaTheme="minorEastAsia"/>
          <w:b/>
          <w:sz w:val="28"/>
          <w:szCs w:val="28"/>
        </w:rPr>
        <w:t>于</w:t>
      </w:r>
      <w:r>
        <w:rPr>
          <w:rFonts w:cs="宋体" w:asciiTheme="minorEastAsia" w:hAnsiTheme="minorEastAsia" w:eastAsiaTheme="minorEastAsia"/>
          <w:b/>
          <w:sz w:val="28"/>
          <w:szCs w:val="28"/>
        </w:rPr>
        <w:t>202</w:t>
      </w:r>
      <w:r>
        <w:rPr>
          <w:rFonts w:hint="eastAsia" w:cs="宋体" w:asciiTheme="minorEastAsia" w:hAnsiTheme="minorEastAsia" w:eastAsiaTheme="minorEastAsia"/>
          <w:b/>
          <w:sz w:val="28"/>
          <w:szCs w:val="28"/>
        </w:rPr>
        <w:t>2</w:t>
      </w:r>
      <w:r>
        <w:rPr>
          <w:rFonts w:cs="宋体" w:asciiTheme="minorEastAsia" w:hAnsiTheme="minorEastAsia" w:eastAsiaTheme="minorEastAsia"/>
          <w:b/>
          <w:sz w:val="28"/>
          <w:szCs w:val="28"/>
        </w:rPr>
        <w:t>年</w:t>
      </w:r>
      <w:r>
        <w:rPr>
          <w:rFonts w:hint="eastAsia" w:cs="宋体" w:asciiTheme="minorEastAsia" w:hAnsiTheme="minorEastAsia" w:eastAsiaTheme="minorEastAsia"/>
          <w:b/>
          <w:sz w:val="28"/>
          <w:szCs w:val="28"/>
        </w:rPr>
        <w:t>5</w:t>
      </w:r>
      <w:r>
        <w:rPr>
          <w:rFonts w:cs="宋体" w:asciiTheme="minorEastAsia" w:hAnsiTheme="minorEastAsia" w:eastAsiaTheme="minorEastAsia"/>
          <w:b/>
          <w:sz w:val="28"/>
          <w:szCs w:val="28"/>
        </w:rPr>
        <w:t>月</w:t>
      </w:r>
      <w:r>
        <w:rPr>
          <w:rFonts w:hint="eastAsia" w:cs="宋体" w:asciiTheme="minorEastAsia" w:hAnsiTheme="minorEastAsia" w:eastAsiaTheme="minorEastAsia"/>
          <w:b/>
          <w:sz w:val="28"/>
          <w:szCs w:val="28"/>
        </w:rPr>
        <w:t>31</w:t>
      </w:r>
      <w:r>
        <w:rPr>
          <w:rFonts w:cs="宋体" w:asciiTheme="minorEastAsia" w:hAnsiTheme="minorEastAsia" w:eastAsiaTheme="minorEastAsia"/>
          <w:b/>
          <w:sz w:val="28"/>
          <w:szCs w:val="28"/>
        </w:rPr>
        <w:t>日9：30时之前不准启封”</w:t>
      </w:r>
      <w:r>
        <w:rPr>
          <w:rFonts w:hint="eastAsia" w:cs="宋体" w:asciiTheme="minorEastAsia" w:hAnsiTheme="minorEastAsia" w:eastAsiaTheme="minorEastAsia"/>
          <w:sz w:val="28"/>
          <w:szCs w:val="28"/>
        </w:rPr>
        <w:t>的字样，并在骑缝处加盖供应商公章。</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15.4投标人应按上述规定进行密封和标记后，将投标文件按照招标文件中规定的时间和地址由专人送至招标代理机构。</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15.5未按上述规定进行密封、标记和递交的，招标代理机构对投标文件的不依时间递交、误投、破损、封装不合格或提前拆封不负责。</w:t>
      </w:r>
    </w:p>
    <w:p>
      <w:pPr>
        <w:spacing w:line="520" w:lineRule="exact"/>
        <w:ind w:firstLine="562" w:firstLineChars="200"/>
        <w:rPr>
          <w:rFonts w:cs="宋体" w:asciiTheme="minorEastAsia" w:hAnsiTheme="minorEastAsia" w:eastAsiaTheme="minorEastAsia"/>
          <w:b/>
          <w:bCs/>
          <w:sz w:val="28"/>
          <w:szCs w:val="28"/>
        </w:rPr>
      </w:pPr>
      <w:bookmarkStart w:id="154" w:name="_Toc110953845"/>
      <w:bookmarkStart w:id="155" w:name="_Toc508093411"/>
      <w:r>
        <w:rPr>
          <w:rFonts w:cs="宋体" w:asciiTheme="minorEastAsia" w:hAnsiTheme="minorEastAsia" w:eastAsiaTheme="minorEastAsia"/>
          <w:b/>
          <w:bCs/>
          <w:sz w:val="28"/>
          <w:szCs w:val="28"/>
        </w:rPr>
        <w:t>16.递交投标文件的时间、地点以及截止时间</w:t>
      </w:r>
      <w:bookmarkEnd w:id="154"/>
      <w:bookmarkEnd w:id="155"/>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16.1投标文件递交地点：江门市公共资源交易中心开标室（地址：江门市蓬江区堤西路88号3楼）。</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16.2投标文件递交截止时间：202</w:t>
      </w:r>
      <w:r>
        <w:rPr>
          <w:rFonts w:hint="eastAsia" w:cs="宋体" w:asciiTheme="minorEastAsia" w:hAnsiTheme="minorEastAsia" w:eastAsiaTheme="minorEastAsia"/>
          <w:sz w:val="28"/>
          <w:szCs w:val="28"/>
        </w:rPr>
        <w:t>2</w:t>
      </w:r>
      <w:r>
        <w:rPr>
          <w:rFonts w:cs="宋体" w:asciiTheme="minorEastAsia" w:hAnsiTheme="minorEastAsia" w:eastAsiaTheme="minorEastAsia"/>
          <w:sz w:val="28"/>
          <w:szCs w:val="28"/>
        </w:rPr>
        <w:t>年</w:t>
      </w:r>
      <w:r>
        <w:rPr>
          <w:rFonts w:hint="eastAsia" w:cs="宋体" w:asciiTheme="minorEastAsia" w:hAnsiTheme="minorEastAsia" w:eastAsiaTheme="minorEastAsia"/>
          <w:sz w:val="28"/>
          <w:szCs w:val="28"/>
        </w:rPr>
        <w:t>5</w:t>
      </w:r>
      <w:r>
        <w:rPr>
          <w:rFonts w:cs="宋体" w:asciiTheme="minorEastAsia" w:hAnsiTheme="minorEastAsia" w:eastAsiaTheme="minorEastAsia"/>
          <w:sz w:val="28"/>
          <w:szCs w:val="28"/>
        </w:rPr>
        <w:t>月</w:t>
      </w:r>
      <w:r>
        <w:rPr>
          <w:rFonts w:hint="eastAsia" w:cs="宋体" w:asciiTheme="minorEastAsia" w:hAnsiTheme="minorEastAsia" w:eastAsiaTheme="minorEastAsia"/>
          <w:sz w:val="28"/>
          <w:szCs w:val="28"/>
        </w:rPr>
        <w:t>31</w:t>
      </w:r>
      <w:r>
        <w:rPr>
          <w:rFonts w:cs="宋体" w:asciiTheme="minorEastAsia" w:hAnsiTheme="minorEastAsia" w:eastAsiaTheme="minorEastAsia"/>
          <w:sz w:val="28"/>
          <w:szCs w:val="28"/>
        </w:rPr>
        <w:t>日9：30时。</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16.3招标代理机构将于202</w:t>
      </w:r>
      <w:r>
        <w:rPr>
          <w:rFonts w:hint="eastAsia" w:cs="宋体" w:asciiTheme="minorEastAsia" w:hAnsiTheme="minorEastAsia" w:eastAsiaTheme="minorEastAsia"/>
          <w:sz w:val="28"/>
          <w:szCs w:val="28"/>
        </w:rPr>
        <w:t>2</w:t>
      </w:r>
      <w:r>
        <w:rPr>
          <w:rFonts w:cs="宋体" w:asciiTheme="minorEastAsia" w:hAnsiTheme="minorEastAsia" w:eastAsiaTheme="minorEastAsia"/>
          <w:sz w:val="28"/>
          <w:szCs w:val="28"/>
        </w:rPr>
        <w:t>年</w:t>
      </w:r>
      <w:r>
        <w:rPr>
          <w:rFonts w:hint="eastAsia" w:cs="宋体" w:asciiTheme="minorEastAsia" w:hAnsiTheme="minorEastAsia" w:eastAsiaTheme="minorEastAsia"/>
          <w:sz w:val="28"/>
          <w:szCs w:val="28"/>
        </w:rPr>
        <w:t>5</w:t>
      </w:r>
      <w:r>
        <w:rPr>
          <w:rFonts w:cs="宋体" w:asciiTheme="minorEastAsia" w:hAnsiTheme="minorEastAsia" w:eastAsiaTheme="minorEastAsia"/>
          <w:sz w:val="28"/>
          <w:szCs w:val="28"/>
        </w:rPr>
        <w:t>月</w:t>
      </w:r>
      <w:r>
        <w:rPr>
          <w:rFonts w:hint="eastAsia" w:cs="宋体" w:asciiTheme="minorEastAsia" w:hAnsiTheme="minorEastAsia" w:eastAsiaTheme="minorEastAsia"/>
          <w:sz w:val="28"/>
          <w:szCs w:val="28"/>
        </w:rPr>
        <w:t>31</w:t>
      </w:r>
      <w:r>
        <w:rPr>
          <w:rFonts w:cs="宋体" w:asciiTheme="minorEastAsia" w:hAnsiTheme="minorEastAsia" w:eastAsiaTheme="minorEastAsia"/>
          <w:sz w:val="28"/>
          <w:szCs w:val="28"/>
        </w:rPr>
        <w:t>日9：00时至9：30时接收投标文件，9：30时在江门市公共资源交易中心开标室（地址：江门市蓬江区堤西路88号3楼）举行开标仪式。</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16.4所有投标文件都必须在投标截止时间之前送至招标代理机构。</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16.5招标代理机构拒绝接受以下文件：</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1）提前递交的文件，</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2）在投标截止时间后递交的投标文件，</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3）未按规定包装和密封的投标文件。</w:t>
      </w:r>
    </w:p>
    <w:p>
      <w:pPr>
        <w:spacing w:line="520" w:lineRule="exact"/>
        <w:ind w:firstLine="560" w:firstLineChars="200"/>
        <w:rPr>
          <w:rFonts w:cs="宋体" w:asciiTheme="minorEastAsia" w:hAnsiTheme="minorEastAsia" w:eastAsiaTheme="minorEastAsia"/>
          <w:b/>
          <w:bCs/>
          <w:sz w:val="28"/>
          <w:szCs w:val="28"/>
          <w:lang w:val="zh-CN"/>
        </w:rPr>
      </w:pPr>
      <w:r>
        <w:rPr>
          <w:rFonts w:cs="宋体" w:asciiTheme="minorEastAsia" w:hAnsiTheme="minorEastAsia" w:eastAsiaTheme="minorEastAsia"/>
          <w:sz w:val="28"/>
          <w:szCs w:val="28"/>
        </w:rPr>
        <w:t>16.6投标文件的修改与撤回</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1）投标人在递交投标文件后到投标截止时间之前，可以修改或撤回其投标文件，但投标人必须以书面形式通知招标代理机构。</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2）在投标截止时间之后至投标有效期之间的这段时间内，投标人不得对其投标文件做任何修改，亦不得撤回其投标。</w:t>
      </w:r>
    </w:p>
    <w:bookmarkEnd w:id="147"/>
    <w:bookmarkEnd w:id="148"/>
    <w:bookmarkEnd w:id="149"/>
    <w:bookmarkEnd w:id="150"/>
    <w:bookmarkEnd w:id="151"/>
    <w:p>
      <w:pPr>
        <w:pStyle w:val="3"/>
        <w:spacing w:before="0" w:after="0" w:line="520" w:lineRule="exact"/>
        <w:ind w:firstLine="562" w:firstLineChars="200"/>
        <w:jc w:val="center"/>
        <w:rPr>
          <w:rFonts w:cs="宋体" w:asciiTheme="minorEastAsia" w:hAnsiTheme="minorEastAsia" w:eastAsiaTheme="minorEastAsia"/>
          <w:sz w:val="28"/>
          <w:szCs w:val="28"/>
          <w:lang w:val="zh-CN"/>
        </w:rPr>
      </w:pPr>
      <w:bookmarkStart w:id="156" w:name="_Toc8107"/>
      <w:bookmarkStart w:id="157" w:name="_Toc491604077"/>
      <w:bookmarkStart w:id="158" w:name="_Toc24128"/>
      <w:bookmarkStart w:id="159" w:name="_Toc3662"/>
      <w:r>
        <w:rPr>
          <w:rFonts w:hint="eastAsia" w:cs="宋体" w:asciiTheme="minorEastAsia" w:hAnsiTheme="minorEastAsia" w:eastAsiaTheme="minorEastAsia"/>
          <w:sz w:val="28"/>
          <w:szCs w:val="28"/>
          <w:lang w:val="zh-CN"/>
        </w:rPr>
        <w:t>五、开标和评标</w:t>
      </w:r>
      <w:bookmarkEnd w:id="156"/>
      <w:bookmarkEnd w:id="157"/>
      <w:bookmarkEnd w:id="158"/>
      <w:bookmarkEnd w:id="159"/>
    </w:p>
    <w:p>
      <w:pPr>
        <w:spacing w:line="520" w:lineRule="exact"/>
        <w:ind w:firstLine="422"/>
        <w:rPr>
          <w:rFonts w:cs="宋体" w:asciiTheme="minorEastAsia" w:hAnsiTheme="minorEastAsia" w:eastAsiaTheme="minorEastAsia"/>
          <w:b/>
          <w:sz w:val="28"/>
          <w:szCs w:val="28"/>
        </w:rPr>
      </w:pPr>
      <w:bookmarkStart w:id="160" w:name="_Toc475249134"/>
      <w:bookmarkEnd w:id="160"/>
      <w:r>
        <w:rPr>
          <w:rFonts w:cs="宋体" w:asciiTheme="minorEastAsia" w:hAnsiTheme="minorEastAsia" w:eastAsiaTheme="minorEastAsia"/>
          <w:b/>
          <w:sz w:val="28"/>
          <w:szCs w:val="28"/>
        </w:rPr>
        <w:t>17.开标</w:t>
      </w:r>
    </w:p>
    <w:p>
      <w:pPr>
        <w:spacing w:line="520" w:lineRule="exact"/>
        <w:ind w:firstLine="560" w:firstLineChars="200"/>
        <w:rPr>
          <w:rFonts w:cs="宋体" w:asciiTheme="minorEastAsia" w:hAnsiTheme="minorEastAsia" w:eastAsiaTheme="minorEastAsia"/>
          <w:kern w:val="0"/>
          <w:sz w:val="28"/>
          <w:szCs w:val="28"/>
          <w:lang w:val="zh-CN"/>
        </w:rPr>
      </w:pPr>
      <w:r>
        <w:rPr>
          <w:rFonts w:cs="宋体" w:asciiTheme="minorEastAsia" w:hAnsiTheme="minorEastAsia" w:eastAsiaTheme="minorEastAsia"/>
          <w:sz w:val="28"/>
          <w:szCs w:val="28"/>
        </w:rPr>
        <w:t>17.1招标代理机构按照《投标邀请函》规定的时间和地点组织公开开标。投标人的法定代表人/负责人/投资人（或经授权的投标代表人）可以按时参加开标。</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17.2投标人应当在招标文件要求提交投标文件的截止时间前，将投标文件密封送达投标地点。招标人或者招标代理机构收到投标文件后，应当如实记载投标文件的送达时间和密封情况，签收保存，并向投标人出具签收回执。任何单位和个人不得在开标前开启投标文件。</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17.3开标时，投标人或者其推选的代表将检查投标文件密封情况，在确认无误后由招标人或者招标代理机构工作人员当众拆封唱标。唱</w:t>
      </w:r>
      <w:r>
        <w:rPr>
          <w:rFonts w:hint="eastAsia" w:cs="宋体" w:asciiTheme="minorEastAsia" w:hAnsiTheme="minorEastAsia" w:eastAsiaTheme="minorEastAsia"/>
          <w:sz w:val="28"/>
          <w:szCs w:val="28"/>
        </w:rPr>
        <w:t>标主要内容为投标文件正本中《开标一览表》的内容以及招标代理机构认为合适的其他内容，并做唱标记录。</w:t>
      </w:r>
      <w:bookmarkStart w:id="161" w:name="_Toc475249138"/>
      <w:bookmarkEnd w:id="161"/>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17.4开标过程应当由招标人或者招标代理机构负责记录，开标记录由参加开标的各投标人代表和相关工作人员签字（或盖私章）确认。</w:t>
      </w:r>
    </w:p>
    <w:p>
      <w:pPr>
        <w:spacing w:line="520" w:lineRule="exact"/>
        <w:ind w:firstLine="562" w:firstLineChars="200"/>
        <w:rPr>
          <w:rFonts w:cs="宋体" w:asciiTheme="minorEastAsia" w:hAnsiTheme="minorEastAsia" w:eastAsiaTheme="minorEastAsia"/>
          <w:b/>
          <w:sz w:val="28"/>
          <w:szCs w:val="28"/>
        </w:rPr>
      </w:pPr>
      <w:bookmarkStart w:id="162" w:name="_Toc475249135"/>
      <w:bookmarkEnd w:id="162"/>
      <w:r>
        <w:rPr>
          <w:rFonts w:cs="宋体" w:asciiTheme="minorEastAsia" w:hAnsiTheme="minorEastAsia" w:eastAsiaTheme="minorEastAsia"/>
          <w:b/>
          <w:sz w:val="28"/>
          <w:szCs w:val="28"/>
        </w:rPr>
        <w:t>18.评标委员会</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18.1招标代理机构将根据项目特点组建评标委员会，其成员由招标人代表和有关专家组成。</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18.2评标委员会负责具体评标事务，并独立履行下列职责：</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 xml:space="preserve">1）审查、评价投标文件是否符合招标文件的商务、技术等实质性要求； </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2）要求投标人对投标文件有关事项</w:t>
      </w:r>
      <w:r>
        <w:rPr>
          <w:rFonts w:hint="eastAsia" w:cs="宋体" w:asciiTheme="minorEastAsia" w:hAnsiTheme="minorEastAsia" w:eastAsiaTheme="minorEastAsia"/>
          <w:sz w:val="28"/>
          <w:szCs w:val="28"/>
        </w:rPr>
        <w:t>作出澄清或者说明；</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3）对投标文件进行比较和评价；</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4）确定中标候选人名单，以及根据招标人委托直接确定中标人；</w:t>
      </w:r>
    </w:p>
    <w:p>
      <w:pPr>
        <w:spacing w:line="520" w:lineRule="exact"/>
        <w:ind w:firstLine="420" w:firstLineChars="15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5）向招标人、招标代理机构或者有关部门报告评标中发现的违法行为。</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18.3招标人可以在评标前说明项目背景和</w:t>
      </w:r>
      <w:r>
        <w:rPr>
          <w:rFonts w:cs="宋体" w:asciiTheme="minorEastAsia" w:hAnsiTheme="minorEastAsia" w:eastAsiaTheme="minorEastAsia"/>
          <w:color w:val="000000" w:themeColor="text1"/>
          <w:sz w:val="28"/>
          <w:szCs w:val="28"/>
          <w14:textFill>
            <w14:solidFill>
              <w14:schemeClr w14:val="tx1"/>
            </w14:solidFill>
          </w14:textFill>
        </w:rPr>
        <w:t>采购</w:t>
      </w:r>
      <w:r>
        <w:rPr>
          <w:rFonts w:cs="宋体" w:asciiTheme="minorEastAsia" w:hAnsiTheme="minorEastAsia" w:eastAsiaTheme="minorEastAsia"/>
          <w:sz w:val="28"/>
          <w:szCs w:val="28"/>
        </w:rPr>
        <w:t>需求，说明内容不得含有歧视性、倾向性意见，不得超出招标文件所述范围。说明应当提交书面材料，并随</w:t>
      </w:r>
      <w:r>
        <w:rPr>
          <w:rFonts w:cs="宋体" w:asciiTheme="minorEastAsia" w:hAnsiTheme="minorEastAsia" w:eastAsiaTheme="minorEastAsia"/>
          <w:color w:val="000000" w:themeColor="text1"/>
          <w:sz w:val="28"/>
          <w:szCs w:val="28"/>
          <w14:textFill>
            <w14:solidFill>
              <w14:schemeClr w14:val="tx1"/>
            </w14:solidFill>
          </w14:textFill>
        </w:rPr>
        <w:t>采购</w:t>
      </w:r>
      <w:r>
        <w:rPr>
          <w:rFonts w:cs="宋体" w:asciiTheme="minorEastAsia" w:hAnsiTheme="minorEastAsia" w:eastAsiaTheme="minorEastAsia"/>
          <w:sz w:val="28"/>
          <w:szCs w:val="28"/>
        </w:rPr>
        <w:t>文件一并存档。</w:t>
      </w:r>
    </w:p>
    <w:p>
      <w:pPr>
        <w:spacing w:line="520" w:lineRule="exact"/>
        <w:ind w:firstLine="422"/>
        <w:rPr>
          <w:rFonts w:cs="宋体" w:asciiTheme="minorEastAsia" w:hAnsiTheme="minorEastAsia" w:eastAsiaTheme="minorEastAsia"/>
          <w:b/>
          <w:sz w:val="28"/>
          <w:szCs w:val="28"/>
        </w:rPr>
      </w:pPr>
      <w:bookmarkStart w:id="163" w:name="_Toc37121259"/>
      <w:bookmarkEnd w:id="163"/>
      <w:bookmarkStart w:id="164" w:name="_Toc535141844"/>
      <w:bookmarkEnd w:id="164"/>
      <w:r>
        <w:rPr>
          <w:rFonts w:cs="宋体" w:asciiTheme="minorEastAsia" w:hAnsiTheme="minorEastAsia" w:eastAsiaTheme="minorEastAsia"/>
          <w:b/>
          <w:sz w:val="28"/>
          <w:szCs w:val="28"/>
        </w:rPr>
        <w:t>19.对投标文件的初审</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19.1开标后，</w:t>
      </w:r>
      <w:r>
        <w:rPr>
          <w:rFonts w:hint="eastAsia" w:cs="宋体" w:asciiTheme="minorEastAsia" w:hAnsiTheme="minorEastAsia" w:eastAsiaTheme="minorEastAsia"/>
          <w:sz w:val="28"/>
          <w:szCs w:val="28"/>
        </w:rPr>
        <w:t>评标委员会</w:t>
      </w:r>
      <w:r>
        <w:rPr>
          <w:rFonts w:cs="宋体" w:asciiTheme="minorEastAsia" w:hAnsiTheme="minorEastAsia" w:eastAsiaTheme="minorEastAsia"/>
          <w:sz w:val="28"/>
          <w:szCs w:val="28"/>
        </w:rPr>
        <w:t>对投标文件进行资格审查。</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19.2资格审查是指依据法律规定和招标文件的规定，对投标文件中的资格证明等进行审查，确定投标人是否具备投标资格。</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19.3评标委员会将对通过资格审查的投标文件进行符合性审查。符合性审查是指依据招标文件的规定，从投标文件的有效性、完整性和对招标文件的响应程度进行审查，以确定是否对招标文件的实质性要求</w:t>
      </w:r>
      <w:r>
        <w:rPr>
          <w:rFonts w:hint="eastAsia" w:cs="宋体" w:asciiTheme="minorEastAsia" w:hAnsiTheme="minorEastAsia" w:eastAsiaTheme="minorEastAsia"/>
          <w:sz w:val="28"/>
          <w:szCs w:val="28"/>
        </w:rPr>
        <w:t>作出响应。</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19.4在对投标文件进行详细评估之前，评标委员会将审查每份投标文件是否实质上响应了招标文件的要求。实质性响应的投标应该是与招标文件要求的全部条款、条件和规格相符，没有重大偏离的投标。对关键条文的偏离、保留或反对，例如关于适用法律、税及关税等的偏离将被认为是实质上的偏离，而纠正这些偏离将影响到其他提交实质性响应投标的投标人的公平竞争地位。</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19.5评标委员会确定投标文件的响应性，只根据投标文件本身的内容，而不寻找外部的证据。</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19.6评标委员会成员对需要共同认定的事项存在争议的，应当按照少数服从多数的原则</w:t>
      </w:r>
      <w:r>
        <w:rPr>
          <w:rFonts w:hint="eastAsia" w:cs="宋体" w:asciiTheme="minorEastAsia" w:hAnsiTheme="minorEastAsia" w:eastAsiaTheme="minorEastAsia"/>
          <w:sz w:val="28"/>
          <w:szCs w:val="28"/>
        </w:rPr>
        <w:t>作出结论。持不同意见的评标委员会成员应当在评标报告上签署不同意见及理由，否则视为同意评标报告。</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19.7实质上没有响应招标文件要求的投标文件将被拒绝。投标人不得通过修正或撤销不合要求的偏离或保留从而使其投标成为实质上响应的投标。</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19.8发现下列情况之一的，其投标将被拒绝：</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1）投标人以他人名义投标、串通投标、以行贿手段谋取中标或以其他弄虚作假方式投标的；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2）投标文件未加盖投标人公章和未有法定代表人/负责人/投资人或者被授权人签名的；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3）投标文件签字人无有效委托的；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4）投标报价超出本项目预算金额或者最高限价的；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5）投标报价或分项报价超过对应的各分项最高限价的；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6）投标人不接受价格修正或修正报价后不确认，其投标无效；</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7）投标有效期不足的；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8）不具备招标文件中规定的资格和符合性要求的；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9）投标文件含有招标人不能接受的附加条件的；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11）投标人没有在投标文件提供投标文件要求的、完整的投标人信用记录的；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12）不满足招标文件关于项目的实质性内容的要求的；</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13）投标文件中附有招标代理机构不能接受的条件或不符合招标文件中规定的其他实质性要求的。</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 xml:space="preserve"> 19.9 有下列情形之一的，视为投标人串通投标，其投标无效：</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1）不同投标人的投标文件由同一单位或者个人编制；</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2）不同投标人委托同一单位或者个人办理投标事宜；</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3）不同投标人的投标文件载明的项目管理成员或者联系人员为同一人；</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4）不同投标人的投标文件异常一致或者投标报价呈规律性差异；</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5）不同投标人的投标文件相互混装。</w:t>
      </w:r>
    </w:p>
    <w:p>
      <w:pPr>
        <w:spacing w:line="520" w:lineRule="exact"/>
        <w:ind w:firstLine="422"/>
        <w:rPr>
          <w:rFonts w:cs="宋体" w:asciiTheme="minorEastAsia" w:hAnsiTheme="minorEastAsia" w:eastAsiaTheme="minorEastAsia"/>
          <w:b/>
          <w:sz w:val="28"/>
          <w:szCs w:val="28"/>
        </w:rPr>
      </w:pPr>
      <w:bookmarkStart w:id="165" w:name="_Toc475249136"/>
      <w:bookmarkEnd w:id="165"/>
      <w:r>
        <w:rPr>
          <w:rFonts w:cs="宋体" w:asciiTheme="minorEastAsia" w:hAnsiTheme="minorEastAsia" w:eastAsiaTheme="minorEastAsia"/>
          <w:b/>
          <w:sz w:val="28"/>
          <w:szCs w:val="28"/>
        </w:rPr>
        <w:t>20.对投标文件的澄清</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20.1评标委员会按照招标文件确定的评标标准和方法，对投标文件进行评审和比较，并可以书面形式要求投标人对投标文件中含义不明确、同类问题表述不一致或者有明显文字错误和计算错误的内容作必要的澄清、说明或者纠正。投标人的澄清、说明或者补正应当采用书面形式，由法定代表人/负责人/投资人或者其委托代理人签字（或盖私章），并不得超出投标文件的范围或者改变投标文件的实质性内容。</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20.2投标文件报价出现前后不一致的，除招标文件另有规定外，按照下列规定修正：</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1）投标文件中开标一览表内容与投标文件中相应内容不一致的，以开标一览表为准；</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2）大写金额和小写金额不一致的，以大写金额为准；</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3）单价金额小数点或者百分比有明显错位的，以开标一览表的总价为准，并修改单价；</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4）总价金额与按单价汇总金额不一致的，以单价金额计算结果为准。</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同时出现两种以上不一致的，按照前款规定的顺序修正。投标人的修正应当采用书面形式，并加盖公章，或者由法定代表人</w:t>
      </w:r>
      <w:r>
        <w:rPr>
          <w:rFonts w:cs="宋体" w:asciiTheme="minorEastAsia" w:hAnsiTheme="minorEastAsia" w:eastAsiaTheme="minorEastAsia"/>
          <w:sz w:val="28"/>
          <w:szCs w:val="28"/>
        </w:rPr>
        <w:t>/负责人/投资人或其授权的代表签字（或盖私章）。投标人的澄清、说明或者补正不得超出投标文件的范围或者改变投标文件的实质性内容。修正后的报价经投标人确认后产生约束力，投标人不确认的，其投标无效。</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20.3对于投标文件中含义不明确、同类问题表述不一致或者有明显文字和计算错误的内容，评标委员会应当以书面形式要求投标人</w:t>
      </w:r>
      <w:r>
        <w:rPr>
          <w:rFonts w:hint="eastAsia" w:cs="宋体" w:asciiTheme="minorEastAsia" w:hAnsiTheme="minorEastAsia" w:eastAsiaTheme="minorEastAsia"/>
          <w:sz w:val="28"/>
          <w:szCs w:val="28"/>
        </w:rPr>
        <w:t>作出必要的澄清、说明或者补正。</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20.4投标人的法定代表人/负责人/投资人或委托代理人应当按照招标代理机构通知的时间和地点接受询问，对投标文件中含义不明确的内容作必要的澄清、说明或者纠正。投标人的澄清、说明或者补正应当采用书面形式，或者由法定代表人/负责人/投资人或其授权的代表签字（或盖私章）。投标人的澄清、说明或者补正不得超出投标文件的范围或者改变投标文件的实质性内容。</w:t>
      </w:r>
    </w:p>
    <w:p>
      <w:pPr>
        <w:spacing w:line="520" w:lineRule="exact"/>
        <w:ind w:firstLine="422"/>
        <w:rPr>
          <w:rFonts w:cs="宋体" w:asciiTheme="minorEastAsia" w:hAnsiTheme="minorEastAsia" w:eastAsiaTheme="minorEastAsia"/>
          <w:b/>
          <w:sz w:val="28"/>
          <w:szCs w:val="28"/>
        </w:rPr>
      </w:pPr>
      <w:r>
        <w:rPr>
          <w:rFonts w:cs="宋体" w:asciiTheme="minorEastAsia" w:hAnsiTheme="minorEastAsia" w:eastAsiaTheme="minorEastAsia"/>
          <w:b/>
          <w:sz w:val="28"/>
          <w:szCs w:val="28"/>
        </w:rPr>
        <w:t>21.评标办法</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详见本文件第四部分</w:t>
      </w:r>
    </w:p>
    <w:p>
      <w:pPr>
        <w:pStyle w:val="3"/>
        <w:spacing w:before="0" w:after="0" w:line="520" w:lineRule="exact"/>
        <w:ind w:firstLine="562" w:firstLineChars="200"/>
        <w:jc w:val="center"/>
        <w:rPr>
          <w:rFonts w:cs="宋体" w:asciiTheme="minorEastAsia" w:hAnsiTheme="minorEastAsia" w:eastAsiaTheme="minorEastAsia"/>
          <w:sz w:val="28"/>
          <w:szCs w:val="28"/>
          <w:lang w:val="zh-CN"/>
        </w:rPr>
      </w:pPr>
      <w:bookmarkStart w:id="166" w:name="_Toc25017"/>
      <w:bookmarkStart w:id="167" w:name="_Toc491604078"/>
      <w:bookmarkStart w:id="168" w:name="_Toc2979"/>
      <w:bookmarkStart w:id="169" w:name="_Toc23678"/>
      <w:r>
        <w:rPr>
          <w:rFonts w:hint="eastAsia" w:cs="宋体" w:asciiTheme="minorEastAsia" w:hAnsiTheme="minorEastAsia" w:eastAsiaTheme="minorEastAsia"/>
          <w:sz w:val="28"/>
          <w:szCs w:val="28"/>
          <w:lang w:val="zh-CN"/>
        </w:rPr>
        <w:t>六、确定</w:t>
      </w:r>
      <w:bookmarkEnd w:id="166"/>
      <w:bookmarkEnd w:id="167"/>
      <w:r>
        <w:rPr>
          <w:rFonts w:hint="eastAsia" w:cs="宋体" w:asciiTheme="minorEastAsia" w:hAnsiTheme="minorEastAsia" w:eastAsiaTheme="minorEastAsia"/>
          <w:sz w:val="28"/>
          <w:szCs w:val="28"/>
          <w:lang w:val="zh-CN"/>
        </w:rPr>
        <w:t>中标人</w:t>
      </w:r>
      <w:bookmarkEnd w:id="168"/>
      <w:bookmarkEnd w:id="169"/>
    </w:p>
    <w:p>
      <w:pPr>
        <w:spacing w:line="520" w:lineRule="exact"/>
        <w:ind w:firstLine="422"/>
        <w:rPr>
          <w:rFonts w:cs="宋体" w:asciiTheme="minorEastAsia" w:hAnsiTheme="minorEastAsia" w:eastAsiaTheme="minorEastAsia"/>
          <w:b/>
          <w:sz w:val="28"/>
          <w:szCs w:val="28"/>
        </w:rPr>
      </w:pPr>
      <w:r>
        <w:rPr>
          <w:rFonts w:cs="宋体" w:asciiTheme="minorEastAsia" w:hAnsiTheme="minorEastAsia" w:eastAsiaTheme="minorEastAsia"/>
          <w:b/>
          <w:sz w:val="28"/>
          <w:szCs w:val="28"/>
        </w:rPr>
        <w:t>22.确定中标</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22.1评标委员会完成评标工作后，出具评标报告，推荐中标候选人。</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22.2招标人应当自收到评标报告之日起5个工作日内，在评标报告确定的中标候选人名单中按照综合得分排序确定中标人。招标人在收到评标报告5个工作日内未按评标报告推荐的中标候选人顺序确定中标人，又不能说明合法理由的，视同按评标报告推荐的顺序确定排名第一的中标候选人为第一中标人，以此类推。</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22.3根据投标或评审情况，招标代理机构保留在确定中标人之前任何时候接受或拒绝任何投标，以及宣布评审程序无效或拒绝所有投标的权力，对受影响的供应商不承担任何责任，也无义务向受影响的供应</w:t>
      </w:r>
      <w:r>
        <w:rPr>
          <w:rFonts w:hint="eastAsia" w:cs="宋体" w:asciiTheme="minorEastAsia" w:hAnsiTheme="minorEastAsia" w:eastAsiaTheme="minorEastAsia"/>
          <w:sz w:val="28"/>
          <w:szCs w:val="28"/>
        </w:rPr>
        <w:t>商解释这一行动的理由。</w:t>
      </w:r>
    </w:p>
    <w:p>
      <w:pPr>
        <w:spacing w:line="520" w:lineRule="exact"/>
        <w:ind w:firstLine="422"/>
        <w:rPr>
          <w:rFonts w:cs="宋体" w:asciiTheme="minorEastAsia" w:hAnsiTheme="minorEastAsia" w:eastAsiaTheme="minorEastAsia"/>
          <w:b/>
          <w:sz w:val="28"/>
          <w:szCs w:val="28"/>
        </w:rPr>
      </w:pPr>
      <w:bookmarkStart w:id="170" w:name="_Toc475249142"/>
      <w:bookmarkEnd w:id="170"/>
      <w:r>
        <w:rPr>
          <w:rFonts w:cs="宋体" w:asciiTheme="minorEastAsia" w:hAnsiTheme="minorEastAsia" w:eastAsiaTheme="minorEastAsia"/>
          <w:b/>
          <w:sz w:val="28"/>
          <w:szCs w:val="28"/>
        </w:rPr>
        <w:t>23.中标通知</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23.1招标代理机构将在招标人确认中标人后的2个工作日内签发《中标通知书》。</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23.2《中标通知书》是签订合同的依据和组成部分。</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23.3中标、成交结果公告内容应当包括招标人和招标代理机构的名称、地址、联系方式，项目名称和项目编号，中标或者成交供应商名称、地址和中标或者成交金额，主要中标或者成交标的</w:t>
      </w:r>
      <w:r>
        <w:rPr>
          <w:rFonts w:hint="eastAsia" w:cs="宋体" w:asciiTheme="minorEastAsia" w:hAnsiTheme="minorEastAsia" w:eastAsiaTheme="minorEastAsia"/>
          <w:sz w:val="28"/>
          <w:szCs w:val="28"/>
        </w:rPr>
        <w:t>的名称、规格型号、数量、单价、服务要求以及评审专家名单。</w:t>
      </w:r>
    </w:p>
    <w:p>
      <w:pPr>
        <w:pStyle w:val="3"/>
        <w:spacing w:before="0" w:after="0" w:line="520" w:lineRule="exact"/>
        <w:ind w:firstLine="562" w:firstLineChars="200"/>
        <w:jc w:val="center"/>
        <w:rPr>
          <w:rFonts w:cs="宋体" w:asciiTheme="minorEastAsia" w:hAnsiTheme="minorEastAsia" w:eastAsiaTheme="minorEastAsia"/>
          <w:sz w:val="28"/>
          <w:szCs w:val="28"/>
          <w:lang w:val="zh-CN"/>
        </w:rPr>
      </w:pPr>
      <w:bookmarkStart w:id="171" w:name="_Toc475249143"/>
      <w:bookmarkEnd w:id="171"/>
      <w:bookmarkStart w:id="172" w:name="_Toc110953852"/>
      <w:bookmarkEnd w:id="172"/>
      <w:bookmarkStart w:id="173" w:name="_Toc37756778"/>
      <w:bookmarkEnd w:id="173"/>
      <w:bookmarkStart w:id="174" w:name="_Toc30156"/>
      <w:bookmarkStart w:id="175" w:name="_Toc491604079"/>
      <w:bookmarkStart w:id="176" w:name="_Toc20959"/>
      <w:bookmarkStart w:id="177" w:name="_Toc27535"/>
      <w:r>
        <w:rPr>
          <w:rFonts w:hint="eastAsia" w:cs="宋体" w:asciiTheme="minorEastAsia" w:hAnsiTheme="minorEastAsia" w:eastAsiaTheme="minorEastAsia"/>
          <w:sz w:val="28"/>
          <w:szCs w:val="28"/>
          <w:lang w:val="zh-CN"/>
        </w:rPr>
        <w:t>七、签订合同</w:t>
      </w:r>
      <w:bookmarkEnd w:id="174"/>
      <w:bookmarkEnd w:id="175"/>
      <w:bookmarkEnd w:id="176"/>
      <w:bookmarkEnd w:id="177"/>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24.招标人与成交、中标人应当在成交通知书发出之日起30日内，按照招标文件确定的事项签订合同。</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25.合同内容不得与招标文件和投标文件内容有实质性偏离。</w:t>
      </w:r>
    </w:p>
    <w:p>
      <w:pPr>
        <w:spacing w:line="520" w:lineRule="exact"/>
        <w:ind w:firstLine="420"/>
        <w:rPr>
          <w:rFonts w:cs="宋体" w:asciiTheme="minorEastAsia" w:hAnsiTheme="minorEastAsia" w:eastAsiaTheme="minorEastAsia"/>
          <w:sz w:val="28"/>
          <w:szCs w:val="28"/>
        </w:rPr>
      </w:pPr>
      <w:r>
        <w:rPr>
          <w:rFonts w:cs="宋体" w:asciiTheme="minorEastAsia" w:hAnsiTheme="minorEastAsia" w:eastAsiaTheme="minorEastAsia"/>
          <w:sz w:val="28"/>
          <w:szCs w:val="28"/>
        </w:rPr>
        <w:t>26.合同自签订之日起7个工作日内，招标人应将合同</w:t>
      </w:r>
      <w:r>
        <w:rPr>
          <w:rFonts w:hint="eastAsia" w:cs="宋体" w:asciiTheme="minorEastAsia" w:hAnsiTheme="minorEastAsia" w:eastAsiaTheme="minorEastAsia"/>
          <w:sz w:val="28"/>
          <w:szCs w:val="28"/>
        </w:rPr>
        <w:t>副本报同级有关监督管理部门备案和招标代理机构归档。</w:t>
      </w:r>
    </w:p>
    <w:p>
      <w:pPr>
        <w:pStyle w:val="3"/>
        <w:spacing w:before="0" w:after="0" w:line="520" w:lineRule="exact"/>
        <w:ind w:firstLine="562" w:firstLineChars="200"/>
        <w:jc w:val="center"/>
        <w:rPr>
          <w:rFonts w:cs="宋体" w:asciiTheme="minorEastAsia" w:hAnsiTheme="minorEastAsia" w:eastAsiaTheme="minorEastAsia"/>
          <w:sz w:val="28"/>
          <w:szCs w:val="28"/>
          <w:lang w:val="zh-CN"/>
        </w:rPr>
      </w:pPr>
      <w:bookmarkStart w:id="178" w:name="_Toc1522"/>
      <w:bookmarkStart w:id="179" w:name="_Toc1574"/>
      <w:bookmarkStart w:id="180" w:name="_Toc17863"/>
      <w:r>
        <w:rPr>
          <w:rFonts w:hint="eastAsia" w:cs="宋体" w:asciiTheme="minorEastAsia" w:hAnsiTheme="minorEastAsia" w:eastAsiaTheme="minorEastAsia"/>
          <w:sz w:val="28"/>
          <w:szCs w:val="28"/>
          <w:lang w:val="zh-CN"/>
        </w:rPr>
        <w:t>八、中标服务费</w:t>
      </w:r>
      <w:bookmarkEnd w:id="178"/>
      <w:bookmarkEnd w:id="179"/>
      <w:bookmarkEnd w:id="180"/>
    </w:p>
    <w:p>
      <w:pPr>
        <w:spacing w:line="520" w:lineRule="exact"/>
        <w:ind w:firstLine="532" w:firstLineChars="190"/>
        <w:rPr>
          <w:rFonts w:cs="宋体" w:asciiTheme="minorEastAsia" w:hAnsiTheme="minorEastAsia" w:eastAsiaTheme="minorEastAsia"/>
          <w:sz w:val="28"/>
          <w:szCs w:val="28"/>
        </w:rPr>
      </w:pPr>
      <w:r>
        <w:rPr>
          <w:rFonts w:cs="宋体" w:asciiTheme="minorEastAsia" w:hAnsiTheme="minorEastAsia" w:eastAsiaTheme="minorEastAsia"/>
          <w:sz w:val="28"/>
          <w:szCs w:val="28"/>
        </w:rPr>
        <w:t>27.中标人无须在中标后向招标代理机构缴交中标服务费。</w:t>
      </w:r>
    </w:p>
    <w:p>
      <w:pPr>
        <w:pStyle w:val="2"/>
        <w:spacing w:before="0" w:after="0" w:line="520" w:lineRule="exact"/>
        <w:jc w:val="center"/>
        <w:rPr>
          <w:rFonts w:cs="宋体" w:asciiTheme="minorEastAsia" w:hAnsiTheme="minorEastAsia" w:eastAsiaTheme="minorEastAsia"/>
          <w:sz w:val="28"/>
          <w:szCs w:val="28"/>
        </w:rPr>
      </w:pPr>
      <w:bookmarkStart w:id="181" w:name="_Toc22388"/>
      <w:r>
        <w:rPr>
          <w:rFonts w:hint="eastAsia" w:cs="宋体" w:asciiTheme="minorEastAsia" w:hAnsiTheme="minorEastAsia" w:eastAsiaTheme="minorEastAsia"/>
          <w:sz w:val="28"/>
          <w:szCs w:val="28"/>
        </w:rPr>
        <w:t>第四部分</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评标办法</w:t>
      </w:r>
      <w:bookmarkEnd w:id="181"/>
    </w:p>
    <w:bookmarkEnd w:id="54"/>
    <w:bookmarkEnd w:id="55"/>
    <w:bookmarkEnd w:id="56"/>
    <w:bookmarkEnd w:id="57"/>
    <w:bookmarkEnd w:id="58"/>
    <w:bookmarkEnd w:id="59"/>
    <w:bookmarkEnd w:id="60"/>
    <w:bookmarkEnd w:id="61"/>
    <w:bookmarkEnd w:id="62"/>
    <w:bookmarkEnd w:id="63"/>
    <w:bookmarkEnd w:id="64"/>
    <w:p>
      <w:pPr>
        <w:pStyle w:val="3"/>
        <w:spacing w:before="0" w:after="0" w:line="520" w:lineRule="exact"/>
        <w:ind w:firstLine="562" w:firstLineChars="200"/>
        <w:rPr>
          <w:rFonts w:cs="宋体" w:asciiTheme="minorEastAsia" w:hAnsiTheme="minorEastAsia" w:eastAsiaTheme="minorEastAsia"/>
          <w:sz w:val="28"/>
          <w:szCs w:val="28"/>
        </w:rPr>
      </w:pPr>
      <w:bookmarkStart w:id="182" w:name="_Toc12256"/>
      <w:bookmarkStart w:id="183" w:name="_Toc12865"/>
      <w:bookmarkStart w:id="184" w:name="_Toc23198"/>
      <w:bookmarkStart w:id="185" w:name="_Toc56353011"/>
      <w:bookmarkStart w:id="186" w:name="_Toc52027926"/>
      <w:bookmarkStart w:id="187" w:name="_Toc51756491"/>
      <w:bookmarkStart w:id="188" w:name="_Toc52021538"/>
      <w:bookmarkStart w:id="189" w:name="_Toc51939456"/>
      <w:bookmarkStart w:id="190" w:name="_Toc467049706"/>
      <w:bookmarkStart w:id="191" w:name="_Toc486671570"/>
      <w:bookmarkStart w:id="192" w:name="_Toc467236766"/>
      <w:bookmarkStart w:id="193" w:name="_Toc476976198"/>
      <w:bookmarkStart w:id="194" w:name="_Toc467050236"/>
      <w:bookmarkStart w:id="195" w:name="_Toc457975339"/>
      <w:r>
        <w:rPr>
          <w:rFonts w:hint="eastAsia" w:cs="宋体" w:asciiTheme="minorEastAsia" w:hAnsiTheme="minorEastAsia" w:eastAsiaTheme="minorEastAsia"/>
          <w:sz w:val="28"/>
          <w:szCs w:val="28"/>
        </w:rPr>
        <w:t>一、资格审查和符合性审查</w:t>
      </w:r>
      <w:bookmarkEnd w:id="182"/>
      <w:bookmarkEnd w:id="183"/>
      <w:bookmarkEnd w:id="184"/>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评标委员会根据《资格审查表》内容逐条对投标文件的资格性进行评审，审查每份投标文件是否符合招标文件的资格性要求。</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评标委员会根据《符合性审查表》内容逐条对符合资格的投标人的投标文件的符合性进行评审，审查每份投标文件是否实质上响应了招标文件的要求。</w:t>
      </w:r>
    </w:p>
    <w:p>
      <w:pPr>
        <w:spacing w:line="52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只有全部满足《资格审查表》和《符合性审查表》所列各项要求的投标才是有效投标，只要不满足《资格审查表》和《符合性审查表》所列各项要求之一的，将被认定为无效投标。对投标有效性认定意见不一致的，评标委员会按简单多数原则表决决定。无效投标不能进入技术、商务及价格评审。</w:t>
      </w:r>
    </w:p>
    <w:tbl>
      <w:tblPr>
        <w:tblStyle w:val="37"/>
        <w:tblW w:w="0" w:type="auto"/>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3544"/>
        <w:gridCol w:w="3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3"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8"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审查项目</w:t>
            </w:r>
          </w:p>
        </w:tc>
        <w:tc>
          <w:tcPr>
            <w:tcW w:w="37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投标文件中须提供资料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Merge w:val="restart"/>
            <w:tcBorders>
              <w:top w:val="single" w:color="auto" w:sz="4" w:space="0"/>
              <w:left w:val="single" w:color="auto" w:sz="4" w:space="0"/>
              <w:bottom w:val="single" w:color="auto" w:sz="4" w:space="0"/>
              <w:right w:val="single" w:color="auto" w:sz="4" w:space="0"/>
            </w:tcBorders>
            <w:vAlign w:val="center"/>
          </w:tcPr>
          <w:p>
            <w:pPr>
              <w:pStyle w:val="20"/>
              <w:rPr>
                <w:rFonts w:cs="宋体" w:asciiTheme="minorEastAsia" w:hAnsiTheme="minorEastAsia" w:eastAsiaTheme="minorEastAsia"/>
                <w:sz w:val="24"/>
                <w:szCs w:val="24"/>
              </w:rPr>
            </w:pPr>
            <w:r>
              <w:rPr>
                <w:rFonts w:cs="宋体" w:asciiTheme="minorEastAsia" w:hAnsiTheme="minorEastAsia" w:eastAsiaTheme="minorEastAsia"/>
                <w:sz w:val="24"/>
                <w:szCs w:val="24"/>
              </w:rPr>
              <w:t>1.投标人应符合以下条件：</w:t>
            </w:r>
          </w:p>
        </w:tc>
        <w:tc>
          <w:tcPr>
            <w:tcW w:w="3544"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1）投标人应为独立承担民事责任的能力的法人，自然人或非法人组织；</w:t>
            </w:r>
          </w:p>
        </w:tc>
        <w:tc>
          <w:tcPr>
            <w:tcW w:w="3785"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营业执照正本或副本的复印件（盖投标人公章）。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2）具有良好的商业信誉和健全的财务会计制度。</w:t>
            </w:r>
          </w:p>
        </w:tc>
        <w:tc>
          <w:tcPr>
            <w:tcW w:w="3785"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投标人的2021年财务报表(新成立公司提供成立至今的月或季度财务报表）复印件，加盖投标人公章。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3）有依法缴纳税收和社会保障资金的良好记录。</w:t>
            </w:r>
          </w:p>
        </w:tc>
        <w:tc>
          <w:tcPr>
            <w:tcW w:w="3785" w:type="dxa"/>
            <w:tcBorders>
              <w:top w:val="single" w:color="auto" w:sz="4" w:space="0"/>
              <w:left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投标截止日前</w:t>
            </w:r>
            <w:r>
              <w:rPr>
                <w:rFonts w:cs="宋体" w:asciiTheme="minorEastAsia" w:hAnsiTheme="minorEastAsia" w:eastAsiaTheme="minorEastAsia"/>
                <w:sz w:val="24"/>
                <w:szCs w:val="24"/>
              </w:rPr>
              <w:t>6个月内任意1个月依法缴纳税收证明和缴纳社会保障资金证明。</w:t>
            </w:r>
          </w:p>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新成立的供应商提供成立至今的有关证明资料。</w:t>
            </w:r>
          </w:p>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如依法免税或不须要缴纳社会保障资金的，提供相应证明材料。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4）具备履行合同所必需的设备和专业技术能力。</w:t>
            </w:r>
          </w:p>
        </w:tc>
        <w:tc>
          <w:tcPr>
            <w:tcW w:w="3785" w:type="dxa"/>
            <w:tcBorders>
              <w:top w:val="single" w:color="auto" w:sz="4" w:space="0"/>
              <w:left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可参照招标文件第六部分《设备及专业技术能力情况表》格式填写。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5）参加本项目前三年内，在经营活动中没有重大违法记录。</w:t>
            </w:r>
          </w:p>
        </w:tc>
        <w:tc>
          <w:tcPr>
            <w:tcW w:w="3785" w:type="dxa"/>
            <w:tcBorders>
              <w:top w:val="single" w:color="auto" w:sz="4" w:space="0"/>
              <w:left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可参照招标文件第六部分《投标书》相关承诺格式内容。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4" w:type="dxa"/>
            <w:vMerge w:val="continue"/>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6）符合法律、行政法规规定的其他条件。</w:t>
            </w:r>
          </w:p>
        </w:tc>
        <w:tc>
          <w:tcPr>
            <w:tcW w:w="3785" w:type="dxa"/>
            <w:tcBorders>
              <w:top w:val="single" w:color="auto" w:sz="4" w:space="0"/>
              <w:left w:val="single" w:color="auto" w:sz="4" w:space="0"/>
              <w:right w:val="single" w:color="auto" w:sz="4" w:space="0"/>
            </w:tcBorders>
            <w:vAlign w:val="center"/>
          </w:tcPr>
          <w:p>
            <w:pPr>
              <w:pStyle w:val="20"/>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可参照招标文件第六部分《投标书》相关承诺格式内容。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8" w:type="dxa"/>
            <w:gridSpan w:val="2"/>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kern w:val="1"/>
                <w:sz w:val="24"/>
              </w:rPr>
            </w:pPr>
            <w:r>
              <w:rPr>
                <w:rFonts w:cs="宋体" w:asciiTheme="minorEastAsia" w:hAnsiTheme="minorEastAsia" w:eastAsiaTheme="minorEastAsia"/>
                <w:kern w:val="1"/>
                <w:sz w:val="24"/>
              </w:rPr>
              <w:t>2.</w:t>
            </w:r>
            <w:r>
              <w:rPr>
                <w:rFonts w:hint="eastAsia" w:cs="宋体" w:asciiTheme="minorEastAsia" w:hAnsiTheme="minorEastAsia" w:eastAsiaTheme="minorEastAsia"/>
                <w:kern w:val="1"/>
                <w:sz w:val="24"/>
              </w:rPr>
              <w:t>投标人</w:t>
            </w:r>
            <w:r>
              <w:rPr>
                <w:rFonts w:cs="宋体" w:asciiTheme="minorEastAsia" w:hAnsiTheme="minorEastAsia" w:eastAsiaTheme="minorEastAsia"/>
                <w:kern w:val="1"/>
                <w:sz w:val="24"/>
              </w:rPr>
              <w:t>未被列入“信用中国”网站(www.creditchina.gov.cn)“记录失信被执行人或重大税收违法案件当事人名单</w:t>
            </w:r>
            <w:r>
              <w:rPr>
                <w:rFonts w:hint="eastAsia" w:cs="宋体" w:asciiTheme="minorEastAsia" w:hAnsiTheme="minorEastAsia" w:eastAsiaTheme="minorEastAsia"/>
                <w:kern w:val="1"/>
                <w:sz w:val="24"/>
              </w:rPr>
              <w:t>”。</w:t>
            </w:r>
          </w:p>
        </w:tc>
        <w:tc>
          <w:tcPr>
            <w:tcW w:w="3785" w:type="dxa"/>
            <w:tcBorders>
              <w:top w:val="single" w:color="auto" w:sz="4" w:space="0"/>
              <w:left w:val="single" w:color="auto" w:sz="4" w:space="0"/>
              <w:right w:val="single" w:color="auto" w:sz="4" w:space="0"/>
            </w:tcBorders>
            <w:vAlign w:val="center"/>
          </w:tcPr>
          <w:p>
            <w:pPr>
              <w:ind w:firstLine="420"/>
              <w:rPr>
                <w:rFonts w:cs="宋体" w:asciiTheme="minorEastAsia" w:hAnsiTheme="minorEastAsia" w:eastAsiaTheme="minorEastAsia"/>
                <w:kern w:val="1"/>
                <w:sz w:val="24"/>
              </w:rPr>
            </w:pPr>
            <w:r>
              <w:rPr>
                <w:rFonts w:hint="eastAsia" w:cs="宋体" w:asciiTheme="minorEastAsia" w:hAnsiTheme="minorEastAsia" w:eastAsiaTheme="minorEastAsia"/>
                <w:kern w:val="1"/>
                <w:sz w:val="24"/>
              </w:rPr>
              <w:t>以评审当天评标小组在“信用中国”网站(www.creditchina.gov.cn)的查询结果（网页打印）为准。</w:t>
            </w:r>
            <w:r>
              <w:rPr>
                <w:rFonts w:cs="宋体" w:asciiTheme="minorEastAsia" w:hAnsiTheme="minorEastAsia" w:eastAsiaTheme="minorEastAsia"/>
                <w:kern w:val="1"/>
                <w:sz w:val="24"/>
              </w:rPr>
              <w:t>如相关失信记录已失效，</w:t>
            </w:r>
            <w:r>
              <w:rPr>
                <w:rFonts w:hint="eastAsia" w:cs="宋体" w:asciiTheme="minorEastAsia" w:hAnsiTheme="minorEastAsia" w:eastAsiaTheme="minorEastAsia"/>
                <w:kern w:val="1"/>
                <w:sz w:val="24"/>
              </w:rPr>
              <w:t>投标人</w:t>
            </w:r>
            <w:r>
              <w:rPr>
                <w:rFonts w:cs="宋体" w:asciiTheme="minorEastAsia" w:hAnsiTheme="minorEastAsia" w:eastAsiaTheme="minorEastAsia"/>
                <w:kern w:val="1"/>
                <w:sz w:val="24"/>
              </w:rPr>
              <w:t>须提供相关证明材料。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8" w:type="dxa"/>
            <w:gridSpan w:val="2"/>
            <w:tcBorders>
              <w:top w:val="single" w:color="auto" w:sz="4" w:space="0"/>
              <w:left w:val="single" w:color="auto" w:sz="4" w:space="0"/>
              <w:bottom w:val="single" w:color="auto" w:sz="4" w:space="0"/>
              <w:right w:val="single" w:color="auto" w:sz="4" w:space="0"/>
            </w:tcBorders>
            <w:vAlign w:val="center"/>
          </w:tcPr>
          <w:p>
            <w:pPr>
              <w:ind w:firstLine="420"/>
              <w:rPr>
                <w:rFonts w:cs="宋体" w:asciiTheme="minorEastAsia" w:hAnsiTheme="minorEastAsia" w:eastAsiaTheme="minorEastAsia"/>
                <w:sz w:val="24"/>
              </w:rPr>
            </w:pPr>
            <w:r>
              <w:rPr>
                <w:rFonts w:cs="宋体" w:asciiTheme="minorEastAsia" w:hAnsiTheme="minorEastAsia" w:eastAsiaTheme="minorEastAsia"/>
                <w:kern w:val="1"/>
                <w:sz w:val="24"/>
              </w:rPr>
              <w:t>3.前期为本项目提供整体设计、规范编制或者项目管理、监理、检测等服务的供应商，不得参加本项目投标。</w:t>
            </w:r>
          </w:p>
        </w:tc>
        <w:tc>
          <w:tcPr>
            <w:tcW w:w="3785" w:type="dxa"/>
            <w:tcBorders>
              <w:top w:val="single" w:color="auto" w:sz="4" w:space="0"/>
              <w:left w:val="single" w:color="auto" w:sz="4" w:space="0"/>
              <w:right w:val="single" w:color="auto" w:sz="4" w:space="0"/>
            </w:tcBorders>
            <w:vAlign w:val="center"/>
          </w:tcPr>
          <w:p>
            <w:pPr>
              <w:ind w:firstLine="420"/>
              <w:rPr>
                <w:rFonts w:cs="宋体" w:asciiTheme="minorEastAsia" w:hAnsiTheme="minorEastAsia" w:eastAsiaTheme="minorEastAsia"/>
                <w:kern w:val="1"/>
                <w:sz w:val="24"/>
              </w:rPr>
            </w:pPr>
            <w:r>
              <w:rPr>
                <w:rFonts w:hint="eastAsia" w:cs="宋体" w:asciiTheme="minorEastAsia" w:hAnsiTheme="minorEastAsia" w:eastAsiaTheme="minorEastAsia"/>
                <w:kern w:val="1"/>
                <w:sz w:val="24"/>
              </w:rPr>
              <w:t>可参照招标文件第六部分《投标书》相关承诺格式内容。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8" w:type="dxa"/>
            <w:gridSpan w:val="2"/>
            <w:tcBorders>
              <w:top w:val="single" w:color="auto" w:sz="4" w:space="0"/>
              <w:left w:val="single" w:color="auto" w:sz="4" w:space="0"/>
              <w:bottom w:val="single" w:color="auto" w:sz="4" w:space="0"/>
              <w:right w:val="single" w:color="auto" w:sz="4" w:space="0"/>
            </w:tcBorders>
            <w:vAlign w:val="center"/>
          </w:tcPr>
          <w:p>
            <w:pPr>
              <w:ind w:firstLine="420"/>
              <w:rPr>
                <w:rFonts w:cs="宋体" w:asciiTheme="minorEastAsia" w:hAnsiTheme="minorEastAsia" w:eastAsiaTheme="minorEastAsia"/>
                <w:sz w:val="24"/>
              </w:rPr>
            </w:pPr>
            <w:r>
              <w:rPr>
                <w:rFonts w:cs="宋体" w:asciiTheme="minorEastAsia" w:hAnsiTheme="minorEastAsia" w:eastAsiaTheme="minorEastAsia"/>
                <w:kern w:val="1"/>
                <w:sz w:val="24"/>
              </w:rPr>
              <w:t>4.</w:t>
            </w:r>
            <w:r>
              <w:rPr>
                <w:rFonts w:hint="eastAsia" w:cs="宋体" w:asciiTheme="minorEastAsia" w:hAnsiTheme="minorEastAsia" w:eastAsiaTheme="minorEastAsia"/>
                <w:kern w:val="1"/>
                <w:sz w:val="24"/>
              </w:rPr>
              <w:t>单位的法定代表人或负责人为同一人，或者存在直接控股、管理关系，或者隶属于同一总行、分行</w:t>
            </w:r>
            <w:r>
              <w:rPr>
                <w:rFonts w:cs="宋体" w:asciiTheme="minorEastAsia" w:hAnsiTheme="minorEastAsia" w:eastAsiaTheme="minorEastAsia"/>
                <w:kern w:val="1"/>
                <w:sz w:val="24"/>
              </w:rPr>
              <w:t>(</w:t>
            </w:r>
            <w:r>
              <w:rPr>
                <w:rFonts w:hint="eastAsia" w:cs="宋体" w:asciiTheme="minorEastAsia" w:hAnsiTheme="minorEastAsia" w:eastAsiaTheme="minorEastAsia"/>
                <w:kern w:val="1"/>
                <w:sz w:val="24"/>
              </w:rPr>
              <w:t>或支行</w:t>
            </w:r>
            <w:r>
              <w:rPr>
                <w:rFonts w:cs="宋体" w:asciiTheme="minorEastAsia" w:hAnsiTheme="minorEastAsia" w:eastAsiaTheme="minorEastAsia"/>
                <w:kern w:val="1"/>
                <w:sz w:val="24"/>
              </w:rPr>
              <w:t>)</w:t>
            </w:r>
            <w:r>
              <w:rPr>
                <w:rFonts w:hint="eastAsia" w:cs="宋体" w:asciiTheme="minorEastAsia" w:hAnsiTheme="minorEastAsia" w:eastAsiaTheme="minorEastAsia"/>
                <w:kern w:val="1"/>
                <w:sz w:val="24"/>
              </w:rPr>
              <w:t>的不同供应商，不得同时参加本项目投标，否则同时取消投标资格。</w:t>
            </w:r>
          </w:p>
        </w:tc>
        <w:tc>
          <w:tcPr>
            <w:tcW w:w="3785" w:type="dxa"/>
            <w:tcBorders>
              <w:top w:val="single" w:color="auto" w:sz="4" w:space="0"/>
              <w:left w:val="single" w:color="auto" w:sz="4" w:space="0"/>
              <w:right w:val="single" w:color="auto" w:sz="4" w:space="0"/>
            </w:tcBorders>
            <w:vAlign w:val="center"/>
          </w:tcPr>
          <w:p>
            <w:pPr>
              <w:ind w:firstLine="420"/>
              <w:rPr>
                <w:rFonts w:cs="宋体" w:asciiTheme="minorEastAsia" w:hAnsiTheme="minorEastAsia" w:eastAsiaTheme="minorEastAsia"/>
                <w:kern w:val="1"/>
                <w:sz w:val="24"/>
              </w:rPr>
            </w:pPr>
            <w:r>
              <w:rPr>
                <w:rFonts w:hint="eastAsia" w:cs="宋体" w:asciiTheme="minorEastAsia" w:hAnsiTheme="minorEastAsia" w:eastAsiaTheme="minorEastAsia"/>
                <w:kern w:val="1"/>
                <w:sz w:val="24"/>
              </w:rPr>
              <w:t>可参照招标文件第六部分《投标书》相关承诺格式内容。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8" w:type="dxa"/>
            <w:gridSpan w:val="2"/>
            <w:tcBorders>
              <w:top w:val="single" w:color="auto" w:sz="4" w:space="0"/>
              <w:left w:val="single" w:color="auto" w:sz="4" w:space="0"/>
              <w:bottom w:val="single" w:color="auto" w:sz="4" w:space="0"/>
              <w:right w:val="single" w:color="auto" w:sz="4" w:space="0"/>
            </w:tcBorders>
            <w:vAlign w:val="center"/>
          </w:tcPr>
          <w:p>
            <w:pPr>
              <w:pStyle w:val="20"/>
              <w:ind w:firstLine="480" w:firstLineChars="200"/>
              <w:rPr>
                <w:rFonts w:cs="宋体" w:asciiTheme="minorEastAsia" w:hAnsiTheme="minorEastAsia" w:eastAsiaTheme="minorEastAsia"/>
                <w:kern w:val="1"/>
                <w:sz w:val="24"/>
                <w:szCs w:val="24"/>
              </w:rPr>
            </w:pPr>
            <w:r>
              <w:rPr>
                <w:rFonts w:hint="eastAsia" w:cs="宋体" w:asciiTheme="minorEastAsia" w:hAnsiTheme="minorEastAsia" w:eastAsiaTheme="minorEastAsia"/>
                <w:kern w:val="1"/>
                <w:sz w:val="24"/>
                <w:szCs w:val="24"/>
              </w:rPr>
              <w:t>5.根据《财政部关于印发&lt;财政专户管理办法&gt;的通知》（财库〔2013〕46号），本项目是江门市本级非税收入代收银行资格服务项目，供应商应为经中国银行业监督管理委员会批准设立的，在江门市辖区（蓬江区、江海区、新会区）范围内取得营业执照并依法设立总行、分行</w:t>
            </w:r>
            <w:r>
              <w:rPr>
                <w:rFonts w:cs="宋体" w:asciiTheme="minorEastAsia" w:hAnsiTheme="minorEastAsia" w:eastAsiaTheme="minorEastAsia"/>
                <w:kern w:val="1"/>
                <w:sz w:val="24"/>
                <w:szCs w:val="24"/>
              </w:rPr>
              <w:t>(</w:t>
            </w:r>
            <w:r>
              <w:rPr>
                <w:rFonts w:hint="eastAsia" w:cs="宋体" w:asciiTheme="minorEastAsia" w:hAnsiTheme="minorEastAsia" w:eastAsiaTheme="minorEastAsia"/>
                <w:kern w:val="1"/>
                <w:sz w:val="24"/>
                <w:szCs w:val="24"/>
              </w:rPr>
              <w:t>或支行</w:t>
            </w:r>
            <w:r>
              <w:rPr>
                <w:rFonts w:cs="宋体" w:asciiTheme="minorEastAsia" w:hAnsiTheme="minorEastAsia" w:eastAsiaTheme="minorEastAsia"/>
                <w:kern w:val="1"/>
                <w:sz w:val="24"/>
                <w:szCs w:val="24"/>
              </w:rPr>
              <w:t>)</w:t>
            </w:r>
            <w:r>
              <w:rPr>
                <w:rFonts w:hint="eastAsia" w:cs="宋体" w:asciiTheme="minorEastAsia" w:hAnsiTheme="minorEastAsia" w:eastAsiaTheme="minorEastAsia"/>
                <w:kern w:val="1"/>
                <w:sz w:val="24"/>
                <w:szCs w:val="24"/>
              </w:rPr>
              <w:t>的商业银行、城市信用合作社、农村信用合作社等金融机构。</w:t>
            </w:r>
          </w:p>
        </w:tc>
        <w:tc>
          <w:tcPr>
            <w:tcW w:w="3785" w:type="dxa"/>
            <w:tcBorders>
              <w:top w:val="single" w:color="auto" w:sz="4" w:space="0"/>
              <w:left w:val="single" w:color="auto" w:sz="4" w:space="0"/>
              <w:right w:val="single" w:color="auto" w:sz="4" w:space="0"/>
            </w:tcBorders>
            <w:vAlign w:val="center"/>
          </w:tcPr>
          <w:p>
            <w:pPr>
              <w:ind w:firstLine="420"/>
              <w:rPr>
                <w:rFonts w:cs="宋体" w:asciiTheme="minorEastAsia" w:hAnsiTheme="minorEastAsia" w:eastAsiaTheme="minorEastAsia"/>
                <w:kern w:val="1"/>
                <w:sz w:val="24"/>
              </w:rPr>
            </w:pPr>
            <w:r>
              <w:rPr>
                <w:rFonts w:hint="eastAsia" w:cs="宋体" w:asciiTheme="minorEastAsia" w:hAnsiTheme="minorEastAsia" w:eastAsiaTheme="minorEastAsia"/>
                <w:kern w:val="1"/>
                <w:sz w:val="24"/>
              </w:rPr>
              <w:t>在投标文件中提供有效的《中华人民共和国金融许可证》的复印件（盖投标人公章）。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8" w:type="dxa"/>
            <w:gridSpan w:val="2"/>
            <w:tcBorders>
              <w:top w:val="single" w:color="auto" w:sz="4" w:space="0"/>
              <w:left w:val="single" w:color="auto" w:sz="4" w:space="0"/>
              <w:bottom w:val="single" w:color="auto" w:sz="4" w:space="0"/>
              <w:right w:val="single" w:color="auto" w:sz="4" w:space="0"/>
            </w:tcBorders>
            <w:vAlign w:val="center"/>
          </w:tcPr>
          <w:p>
            <w:pPr>
              <w:pStyle w:val="20"/>
              <w:tabs>
                <w:tab w:val="left" w:pos="756"/>
                <w:tab w:val="left" w:pos="900"/>
                <w:tab w:val="left" w:pos="945"/>
              </w:tabs>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 xml:space="preserve"> 供应商须持有中国银行业监督管理委员会或分支机构核发的《金融许可证》。</w:t>
            </w:r>
          </w:p>
        </w:tc>
        <w:tc>
          <w:tcPr>
            <w:tcW w:w="3785" w:type="dxa"/>
            <w:tcBorders>
              <w:top w:val="single" w:color="auto" w:sz="4" w:space="0"/>
              <w:left w:val="single" w:color="auto" w:sz="4" w:space="0"/>
              <w:right w:val="single" w:color="auto" w:sz="4" w:space="0"/>
            </w:tcBorders>
            <w:vAlign w:val="center"/>
          </w:tcPr>
          <w:p>
            <w:pPr>
              <w:ind w:firstLine="420"/>
              <w:rPr>
                <w:rFonts w:cs="宋体" w:asciiTheme="minorEastAsia" w:hAnsiTheme="minorEastAsia" w:eastAsiaTheme="minorEastAsia"/>
                <w:kern w:val="1"/>
                <w:sz w:val="24"/>
              </w:rPr>
            </w:pPr>
            <w:r>
              <w:rPr>
                <w:rFonts w:hint="eastAsia" w:cs="宋体" w:asciiTheme="minorEastAsia" w:hAnsiTheme="minorEastAsia" w:eastAsiaTheme="minorEastAsia"/>
                <w:kern w:val="1"/>
                <w:sz w:val="24"/>
              </w:rPr>
              <w:t>在投标文件中提供有效的《中华人民共和国金融许可证》的复印件（盖投标人公章）。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8" w:type="dxa"/>
            <w:gridSpan w:val="2"/>
            <w:tcBorders>
              <w:top w:val="single" w:color="auto" w:sz="4" w:space="0"/>
              <w:left w:val="single" w:color="auto" w:sz="4" w:space="0"/>
              <w:bottom w:val="single" w:color="auto" w:sz="4" w:space="0"/>
              <w:right w:val="single" w:color="auto" w:sz="4" w:space="0"/>
            </w:tcBorders>
            <w:vAlign w:val="center"/>
          </w:tcPr>
          <w:p>
            <w:pPr>
              <w:pStyle w:val="20"/>
              <w:tabs>
                <w:tab w:val="left" w:pos="756"/>
                <w:tab w:val="left" w:pos="900"/>
                <w:tab w:val="left" w:pos="945"/>
              </w:tabs>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7.本项目不接受联合体投标。</w:t>
            </w:r>
          </w:p>
        </w:tc>
        <w:tc>
          <w:tcPr>
            <w:tcW w:w="3785" w:type="dxa"/>
            <w:tcBorders>
              <w:top w:val="single" w:color="auto" w:sz="4" w:space="0"/>
              <w:left w:val="single" w:color="auto" w:sz="4" w:space="0"/>
              <w:bottom w:val="single" w:color="auto" w:sz="4" w:space="0"/>
              <w:right w:val="single" w:color="auto" w:sz="4" w:space="0"/>
            </w:tcBorders>
            <w:vAlign w:val="center"/>
          </w:tcPr>
          <w:p>
            <w:pPr>
              <w:pStyle w:val="20"/>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kern w:val="1"/>
                <w:sz w:val="24"/>
                <w:szCs w:val="24"/>
              </w:rPr>
              <w:t>可参照招标文件第六部分《投标书》相关承诺格式内容。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3" w:type="dxa"/>
            <w:gridSpan w:val="3"/>
            <w:tcBorders>
              <w:top w:val="single" w:color="auto" w:sz="4" w:space="0"/>
              <w:left w:val="single" w:color="auto" w:sz="4" w:space="0"/>
              <w:bottom w:val="single" w:color="auto" w:sz="4" w:space="0"/>
              <w:right w:val="single" w:color="auto" w:sz="4" w:space="0"/>
            </w:tcBorders>
            <w:vAlign w:val="center"/>
          </w:tcPr>
          <w:p>
            <w:pPr>
              <w:pStyle w:val="2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不能通过资格审查的投标人，不须进行以下内容的审查。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3" w:type="dxa"/>
            <w:gridSpan w:val="3"/>
            <w:tcBorders>
              <w:top w:val="single" w:color="auto" w:sz="4" w:space="0"/>
              <w:left w:val="single" w:color="auto" w:sz="4" w:space="0"/>
              <w:bottom w:val="single" w:color="auto" w:sz="4" w:space="0"/>
              <w:right w:val="single" w:color="auto" w:sz="4" w:space="0"/>
            </w:tcBorders>
            <w:vAlign w:val="center"/>
          </w:tcPr>
          <w:p>
            <w:pPr>
              <w:pStyle w:val="20"/>
              <w:ind w:firstLine="480" w:firstLineChars="2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3"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cs="宋体" w:asciiTheme="minorEastAsia" w:hAnsiTheme="minorEastAsia" w:eastAsiaTheme="minorEastAsia"/>
                <w:sz w:val="36"/>
              </w:rPr>
            </w:pPr>
            <w:r>
              <w:rPr>
                <w:rFonts w:cs="宋体" w:asciiTheme="minorEastAsia" w:hAnsiTheme="minorEastAsia" w:eastAsiaTheme="minorEastAsia"/>
                <w:sz w:val="24"/>
              </w:rPr>
              <w:t>1.按招标文件要求提交投标书并按要求签署和盖章。投标文件完整且编排有序，投标内容基本完整，无重大错漏。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3"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cs="宋体" w:asciiTheme="minorEastAsia" w:hAnsiTheme="minorEastAsia" w:eastAsiaTheme="minorEastAsia"/>
                <w:sz w:val="36"/>
              </w:rPr>
            </w:pPr>
            <w:r>
              <w:rPr>
                <w:rFonts w:cs="宋体" w:asciiTheme="minorEastAsia" w:hAnsiTheme="minorEastAsia" w:eastAsiaTheme="minorEastAsia"/>
                <w:sz w:val="24"/>
              </w:rPr>
              <w:t>2.有效的《授权委托书》或《法定代表人/负责人/投资人证明书》。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3"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3.招标文件要求实质性响应的内容，必须实质性响应，负偏离（不满足要求）将导致投标无效。</w:t>
            </w:r>
          </w:p>
        </w:tc>
      </w:tr>
    </w:tbl>
    <w:p>
      <w:pPr>
        <w:pStyle w:val="3"/>
        <w:spacing w:before="0" w:after="0" w:line="480" w:lineRule="exact"/>
        <w:ind w:firstLine="481" w:firstLineChars="200"/>
        <w:rPr>
          <w:rFonts w:cs="宋体" w:asciiTheme="minorEastAsia" w:hAnsiTheme="minorEastAsia" w:eastAsiaTheme="minorEastAsia"/>
          <w:sz w:val="24"/>
          <w:szCs w:val="24"/>
        </w:rPr>
      </w:pPr>
      <w:bookmarkStart w:id="196" w:name="_Toc19984"/>
      <w:bookmarkStart w:id="197" w:name="_Toc3317"/>
      <w:bookmarkStart w:id="198" w:name="_Toc7423"/>
      <w:r>
        <w:rPr>
          <w:rFonts w:hint="eastAsia" w:cs="宋体" w:asciiTheme="minorEastAsia" w:hAnsiTheme="minorEastAsia" w:eastAsiaTheme="minorEastAsia"/>
          <w:sz w:val="24"/>
          <w:szCs w:val="24"/>
        </w:rPr>
        <w:t>二、评标</w:t>
      </w:r>
      <w:r>
        <w:rPr>
          <w:rFonts w:hint="eastAsia" w:cs="宋体" w:asciiTheme="minorEastAsia" w:hAnsiTheme="minorEastAsia" w:eastAsiaTheme="minorEastAsia"/>
          <w:bCs/>
          <w:sz w:val="24"/>
          <w:szCs w:val="24"/>
        </w:rPr>
        <w:t>标准</w:t>
      </w:r>
      <w:r>
        <w:rPr>
          <w:rFonts w:hint="eastAsia" w:cs="宋体" w:asciiTheme="minorEastAsia" w:hAnsiTheme="minorEastAsia" w:eastAsiaTheme="minorEastAsia"/>
          <w:sz w:val="24"/>
          <w:szCs w:val="24"/>
        </w:rPr>
        <w:t>和方法</w:t>
      </w:r>
      <w:bookmarkEnd w:id="196"/>
      <w:bookmarkEnd w:id="197"/>
      <w:bookmarkEnd w:id="198"/>
    </w:p>
    <w:p>
      <w:pPr>
        <w:spacing w:line="48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采用综合评分法进行评标。评标委员会按照招标文件确定的评标标准和方法对投标文件进行评审和比较，推荐候选中标人，编写评标报告。</w:t>
      </w:r>
    </w:p>
    <w:p>
      <w:pPr>
        <w:pStyle w:val="3"/>
        <w:numPr>
          <w:ilvl w:val="0"/>
          <w:numId w:val="2"/>
        </w:numPr>
        <w:spacing w:before="0" w:after="0" w:line="480" w:lineRule="exact"/>
        <w:rPr>
          <w:rFonts w:cs="宋体" w:asciiTheme="minorEastAsia" w:hAnsiTheme="minorEastAsia" w:eastAsiaTheme="minorEastAsia"/>
          <w:sz w:val="24"/>
          <w:szCs w:val="24"/>
        </w:rPr>
      </w:pPr>
      <w:bookmarkStart w:id="199" w:name="_Toc16652"/>
      <w:bookmarkStart w:id="200" w:name="_Toc6509"/>
      <w:r>
        <w:rPr>
          <w:rFonts w:hint="eastAsia" w:cs="宋体" w:asciiTheme="minorEastAsia" w:hAnsiTheme="minorEastAsia" w:eastAsiaTheme="minorEastAsia"/>
          <w:sz w:val="24"/>
          <w:szCs w:val="24"/>
        </w:rPr>
        <w:t>评分表</w:t>
      </w:r>
      <w:bookmarkEnd w:id="199"/>
      <w:bookmarkEnd w:id="200"/>
    </w:p>
    <w:tbl>
      <w:tblPr>
        <w:tblStyle w:val="37"/>
        <w:tblW w:w="9371" w:type="dxa"/>
        <w:tblInd w:w="0" w:type="dxa"/>
        <w:tblLayout w:type="fixed"/>
        <w:tblCellMar>
          <w:top w:w="0" w:type="dxa"/>
          <w:left w:w="108" w:type="dxa"/>
          <w:bottom w:w="0" w:type="dxa"/>
          <w:right w:w="108" w:type="dxa"/>
        </w:tblCellMar>
      </w:tblPr>
      <w:tblGrid>
        <w:gridCol w:w="1036"/>
        <w:gridCol w:w="2611"/>
        <w:gridCol w:w="5015"/>
        <w:gridCol w:w="709"/>
      </w:tblGrid>
      <w:tr>
        <w:tblPrEx>
          <w:tblCellMar>
            <w:top w:w="0" w:type="dxa"/>
            <w:left w:w="108" w:type="dxa"/>
            <w:bottom w:w="0" w:type="dxa"/>
            <w:right w:w="108" w:type="dxa"/>
          </w:tblCellMar>
        </w:tblPrEx>
        <w:trPr>
          <w:trHeight w:val="567" w:hRule="atLeast"/>
        </w:trPr>
        <w:tc>
          <w:tcPr>
            <w:tcW w:w="103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评审内容/权重</w:t>
            </w:r>
          </w:p>
        </w:tc>
        <w:tc>
          <w:tcPr>
            <w:tcW w:w="2611"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评审指标</w:t>
            </w:r>
          </w:p>
        </w:tc>
        <w:tc>
          <w:tcPr>
            <w:tcW w:w="501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评分说明</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rPr>
              <w:t>权重</w:t>
            </w:r>
          </w:p>
        </w:tc>
      </w:tr>
      <w:tr>
        <w:tblPrEx>
          <w:tblCellMar>
            <w:top w:w="0" w:type="dxa"/>
            <w:left w:w="108" w:type="dxa"/>
            <w:bottom w:w="0" w:type="dxa"/>
            <w:right w:w="108" w:type="dxa"/>
          </w:tblCellMar>
        </w:tblPrEx>
        <w:trPr>
          <w:trHeight w:val="567" w:hRule="atLeast"/>
        </w:trPr>
        <w:tc>
          <w:tcPr>
            <w:tcW w:w="1036" w:type="dxa"/>
            <w:vMerge w:val="restart"/>
            <w:tcBorders>
              <w:top w:val="nil"/>
              <w:left w:val="single" w:color="auto" w:sz="4" w:space="0"/>
              <w:bottom w:val="single" w:color="auto" w:sz="4" w:space="0"/>
              <w:right w:val="single" w:color="auto" w:sz="4" w:space="0"/>
            </w:tcBorders>
            <w:vAlign w:val="center"/>
          </w:tcPr>
          <w:p>
            <w:r>
              <w:rPr>
                <w:rFonts w:hint="eastAsia"/>
              </w:rPr>
              <w:t>经营状况及安全性指标（权重20%）</w:t>
            </w:r>
          </w:p>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1.2021年银行业机构综合评估情况：人民银行江门市中心支行出具的2021年度银行业机构综合评估结果</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满分为100分。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其中：A+:100分；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A-:90分;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B+:85分;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B-:75分;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B-以下：0分。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提供人民银行江门市中心支行对投标人2021年的银行业机构综合评估评定数据，不提供不得分。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r>
              <w:rPr>
                <w:rFonts w:hint="eastAsia" w:cs="宋体" w:asciiTheme="minorEastAsia" w:hAnsiTheme="minorEastAsia" w:eastAsiaTheme="minorEastAsia"/>
                <w:color w:val="000000"/>
                <w:kern w:val="0"/>
                <w:sz w:val="24"/>
              </w:rPr>
              <w:t>3</w:t>
            </w:r>
            <w:r>
              <w:rPr>
                <w:rFonts w:cs="宋体" w:asciiTheme="minorEastAsia" w:hAnsiTheme="minorEastAsia" w:eastAsiaTheme="minorEastAsia"/>
                <w:color w:val="000000"/>
                <w:kern w:val="0"/>
                <w:sz w:val="24"/>
              </w:rPr>
              <w:t>%</w:t>
            </w:r>
          </w:p>
        </w:tc>
      </w:tr>
      <w:tr>
        <w:tblPrEx>
          <w:tblCellMar>
            <w:top w:w="0" w:type="dxa"/>
            <w:left w:w="108" w:type="dxa"/>
            <w:bottom w:w="0" w:type="dxa"/>
            <w:right w:w="108" w:type="dxa"/>
          </w:tblCellMar>
        </w:tblPrEx>
        <w:trPr>
          <w:trHeight w:val="567" w:hRule="atLeast"/>
        </w:trPr>
        <w:tc>
          <w:tcPr>
            <w:tcW w:w="103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2.网点数：截止2021年12月31日投标人在江门市内设立的营业网点数及自助银行数总和</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满分为100分。所有投标人中网点数最高者为第一名得满分，其他按照与第一名的百分比折算。（以投标人上报银监局的非现场监管系统数据为准，投标人需提供报表系统数据截图作为依据，不提供截图不得分）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自助银行为在银行营业场所外设立的具有独立营业场所、供存取款、贷款、转账、货币兑换和查询等金融服务功能的无人营业网点，但在商场、酒店、企事业单位等建筑物内放置的，仅提供取款、转账、查询服务的自动取款机除外</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营业网点为即机构数，不含自助银行数。</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r>
      <w:tr>
        <w:tblPrEx>
          <w:tblCellMar>
            <w:top w:w="0" w:type="dxa"/>
            <w:left w:w="108" w:type="dxa"/>
            <w:bottom w:w="0" w:type="dxa"/>
            <w:right w:w="108" w:type="dxa"/>
          </w:tblCellMar>
        </w:tblPrEx>
        <w:trPr>
          <w:trHeight w:val="567" w:hRule="atLeast"/>
        </w:trPr>
        <w:tc>
          <w:tcPr>
            <w:tcW w:w="1036" w:type="dxa"/>
            <w:vMerge w:val="restart"/>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非税业务量指标（全市数据）（权重10%）</w:t>
            </w: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1.2021年通过广东非税收入管理一体化平台代理江门市全市（市本级及四市三区）非税业务数量： 2021年8-12月投标人代理全市非税业务总数量。(笔)</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满分为100分。代理非税业务数量最多的为第一名得满分，其他投标人按照与第一名的百分比折算。</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需提供广东非税收入管理一体化平台的开发公司出具的相关证明，不提供不得分。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r>
              <w:rPr>
                <w:rFonts w:cs="宋体" w:asciiTheme="minorEastAsia" w:hAnsiTheme="minorEastAsia" w:eastAsiaTheme="minorEastAsia"/>
                <w:color w:val="000000"/>
                <w:kern w:val="0"/>
                <w:sz w:val="24"/>
              </w:rPr>
              <w:t>%</w:t>
            </w:r>
          </w:p>
        </w:tc>
      </w:tr>
      <w:tr>
        <w:tblPrEx>
          <w:tblCellMar>
            <w:top w:w="0" w:type="dxa"/>
            <w:left w:w="108" w:type="dxa"/>
            <w:bottom w:w="0" w:type="dxa"/>
            <w:right w:w="108" w:type="dxa"/>
          </w:tblCellMar>
        </w:tblPrEx>
        <w:trPr>
          <w:trHeight w:val="567" w:hRule="atLeast"/>
        </w:trPr>
        <w:tc>
          <w:tcPr>
            <w:tcW w:w="1036"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2.2021年通过广东非税收入管理一体化平台代理江门市全市（市本级及四市三区）非税业务金额：2021年8-12月投标人代理江门市全市（市本级及四市三区）非税业务总金额（万元）。</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满分为100分。代理非税业务总金额最多的为第一名得满分，其他投标人按照与第一名的百分比折算。</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需提供广东非税收入管理一体化平台的开发公司出具的相关证明，不提供不得分。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5%</w:t>
            </w:r>
          </w:p>
        </w:tc>
      </w:tr>
      <w:tr>
        <w:tblPrEx>
          <w:tblCellMar>
            <w:top w:w="0" w:type="dxa"/>
            <w:left w:w="108" w:type="dxa"/>
            <w:bottom w:w="0" w:type="dxa"/>
            <w:right w:w="108" w:type="dxa"/>
          </w:tblCellMar>
        </w:tblPrEx>
        <w:trPr>
          <w:trHeight w:val="567" w:hRule="atLeast"/>
        </w:trPr>
        <w:tc>
          <w:tcPr>
            <w:tcW w:w="1036" w:type="dxa"/>
            <w:vMerge w:val="restart"/>
            <w:tcBorders>
              <w:top w:val="nil"/>
              <w:left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服务质量指标（权重60%）</w:t>
            </w: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1.中标人业务系统应实现与广东非税收入管理一体化平台对接，满足江门市财政非税收缴电子化实施要求。</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已开发银行广东非税收入管理一体化平台接口的得满分100分；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尚未开发但承诺6个月内开发的得70分；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没有开发没有承诺的得0分。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提供广东非税收入管理一体化平台的开发公司出具的相关证明或投标人的承诺书，不提供不得分。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r>
      <w:tr>
        <w:tblPrEx>
          <w:tblCellMar>
            <w:top w:w="0" w:type="dxa"/>
            <w:left w:w="108" w:type="dxa"/>
            <w:bottom w:w="0" w:type="dxa"/>
            <w:right w:w="108" w:type="dxa"/>
          </w:tblCellMar>
        </w:tblPrEx>
        <w:trPr>
          <w:trHeight w:val="567" w:hRule="atLeast"/>
        </w:trPr>
        <w:tc>
          <w:tcPr>
            <w:tcW w:w="1036"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2.协同对接广东非税收入管理一体化平台提供微信、支付宝、银联云闪付等线上类型便民缴款渠道。</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满足一项得20分，累计不超过100分。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提供相关证明文件。</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r>
      <w:tr>
        <w:tblPrEx>
          <w:tblCellMar>
            <w:top w:w="0" w:type="dxa"/>
            <w:left w:w="108" w:type="dxa"/>
            <w:bottom w:w="0" w:type="dxa"/>
            <w:right w:w="108" w:type="dxa"/>
          </w:tblCellMar>
        </w:tblPrEx>
        <w:trPr>
          <w:trHeight w:val="567" w:hRule="atLeast"/>
        </w:trPr>
        <w:tc>
          <w:tcPr>
            <w:tcW w:w="1036"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3.技术保障，按投标人服务承诺，具备满足江门市财政专户业务需要的资金汇划清算系统，并承担自身网络安全问题方面的有关责任，具备先进的信息反馈系统，能够及时、全面、准确地反馈财政非税业务信息。</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满足所有要求的，得100分；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有任何一项不满足的，得0分。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提供相关证明文件或服务承诺。</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r>
      <w:tr>
        <w:tblPrEx>
          <w:tblCellMar>
            <w:top w:w="0" w:type="dxa"/>
            <w:left w:w="108" w:type="dxa"/>
            <w:bottom w:w="0" w:type="dxa"/>
            <w:right w:w="108" w:type="dxa"/>
          </w:tblCellMar>
        </w:tblPrEx>
        <w:trPr>
          <w:trHeight w:val="567" w:hRule="atLeast"/>
        </w:trPr>
        <w:tc>
          <w:tcPr>
            <w:tcW w:w="1036"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4.是否接入广东省统一公共支付平台。</w:t>
            </w:r>
          </w:p>
        </w:tc>
        <w:tc>
          <w:tcPr>
            <w:tcW w:w="501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凡已接入的投标人得满分100分；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尚未开发但承诺6个月内接入的得70分；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没有开发没有承诺的得0分。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需提供北京市太极华青信息系统有</w:t>
            </w:r>
            <w:r>
              <w:rPr>
                <w:rFonts w:hint="eastAsia" w:cs="宋体" w:asciiTheme="minorEastAsia" w:hAnsiTheme="minorEastAsia" w:eastAsiaTheme="minorEastAsia"/>
                <w:color w:val="000000"/>
                <w:kern w:val="0"/>
                <w:sz w:val="24"/>
              </w:rPr>
              <w:t>限公司出具的相关证明或投标人的承诺书，不提供不得分。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w:t>
            </w:r>
          </w:p>
        </w:tc>
      </w:tr>
      <w:tr>
        <w:tblPrEx>
          <w:tblCellMar>
            <w:top w:w="0" w:type="dxa"/>
            <w:left w:w="108" w:type="dxa"/>
            <w:bottom w:w="0" w:type="dxa"/>
            <w:right w:w="108" w:type="dxa"/>
          </w:tblCellMar>
        </w:tblPrEx>
        <w:trPr>
          <w:trHeight w:val="567" w:hRule="atLeast"/>
        </w:trPr>
        <w:tc>
          <w:tcPr>
            <w:tcW w:w="1036"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5.服务方案，按投标人服务承诺，结算的及时、准确性及应急处理、纠错措施与效率。</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满足所有要求的，得100分；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有任何一项不满足的，得0分。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需提供服务方案，不提供不得分。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r>
      <w:tr>
        <w:tblPrEx>
          <w:tblCellMar>
            <w:top w:w="0" w:type="dxa"/>
            <w:left w:w="108" w:type="dxa"/>
            <w:bottom w:w="0" w:type="dxa"/>
            <w:right w:w="108" w:type="dxa"/>
          </w:tblCellMar>
        </w:tblPrEx>
        <w:trPr>
          <w:trHeight w:val="567" w:hRule="atLeast"/>
        </w:trPr>
        <w:tc>
          <w:tcPr>
            <w:tcW w:w="1036" w:type="dxa"/>
            <w:vMerge w:val="continue"/>
            <w:tcBorders>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6.服务人员，专人沟通配合方案推进，包括专人、专门成立该存放服务小组，及时沟通解决问题，及时进行报表和有关账单送达等。</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满足所有要求的，得100分；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有任何一项不满足的，得0分。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需提供相关证明文件或服务承诺。</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p>
        </w:tc>
      </w:tr>
      <w:tr>
        <w:tblPrEx>
          <w:tblCellMar>
            <w:top w:w="0" w:type="dxa"/>
            <w:left w:w="108" w:type="dxa"/>
            <w:bottom w:w="0" w:type="dxa"/>
            <w:right w:w="108" w:type="dxa"/>
          </w:tblCellMar>
        </w:tblPrEx>
        <w:trPr>
          <w:trHeight w:val="567" w:hRule="atLeast"/>
        </w:trPr>
        <w:tc>
          <w:tcPr>
            <w:tcW w:w="1036" w:type="dxa"/>
            <w:vMerge w:val="continue"/>
            <w:tcBorders>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7.划入待核销非税款项的管理措施。</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措施完善的得100分，否则不得分。</w:t>
            </w:r>
          </w:p>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需提供管理措施。</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7%</w:t>
            </w:r>
          </w:p>
        </w:tc>
      </w:tr>
      <w:tr>
        <w:tblPrEx>
          <w:tblCellMar>
            <w:top w:w="0" w:type="dxa"/>
            <w:left w:w="108" w:type="dxa"/>
            <w:bottom w:w="0" w:type="dxa"/>
            <w:right w:w="108" w:type="dxa"/>
          </w:tblCellMar>
        </w:tblPrEx>
        <w:trPr>
          <w:trHeight w:val="567" w:hRule="atLeast"/>
        </w:trPr>
        <w:tc>
          <w:tcPr>
            <w:tcW w:w="1036" w:type="dxa"/>
            <w:vMerge w:val="continue"/>
            <w:tcBorders>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8.</w:t>
            </w:r>
            <w:r>
              <w:rPr>
                <w:rFonts w:hint="eastAsia"/>
              </w:rPr>
              <w:t xml:space="preserve"> </w:t>
            </w:r>
            <w:r>
              <w:rPr>
                <w:rFonts w:hint="eastAsia" w:cs="宋体" w:asciiTheme="minorEastAsia" w:hAnsiTheme="minorEastAsia" w:eastAsiaTheme="minorEastAsia"/>
                <w:color w:val="000000"/>
                <w:kern w:val="0"/>
                <w:sz w:val="24"/>
              </w:rPr>
              <w:t>2021年财政性资金存放银行考评结果</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满分为100分。（以江门市财政局出具的《2021年财政性资金存放银行考评结果的函》评定分数为依据）</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r>
      <w:tr>
        <w:tblPrEx>
          <w:tblCellMar>
            <w:top w:w="0" w:type="dxa"/>
            <w:left w:w="108" w:type="dxa"/>
            <w:bottom w:w="0" w:type="dxa"/>
            <w:right w:w="108" w:type="dxa"/>
          </w:tblCellMar>
        </w:tblPrEx>
        <w:trPr>
          <w:trHeight w:val="567" w:hRule="atLeast"/>
        </w:trPr>
        <w:tc>
          <w:tcPr>
            <w:tcW w:w="1036" w:type="dxa"/>
            <w:vMerge w:val="restart"/>
            <w:tcBorders>
              <w:top w:val="nil"/>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支持地方经济的贡献度指标（全市数据，权重10%）</w:t>
            </w: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1．截止2022年3月“信易贷”平台累计成功贷款笔数：截止2022年3月投标人在“信易贷”平台累计成功贷款笔数（笔）</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分为100分。所有投标人中在“信易贷”平台累计成功贷款笔数最高者为第一名得满分，其他按照与第一名的百分比折算。（“信易贷”平台即为全国中小企业融资综合信用服务平台，以江门市发改局、江门市金融局的通报数据为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1.5%</w:t>
            </w:r>
          </w:p>
        </w:tc>
      </w:tr>
      <w:tr>
        <w:tblPrEx>
          <w:tblCellMar>
            <w:top w:w="0" w:type="dxa"/>
            <w:left w:w="108" w:type="dxa"/>
            <w:bottom w:w="0" w:type="dxa"/>
            <w:right w:w="108" w:type="dxa"/>
          </w:tblCellMar>
        </w:tblPrEx>
        <w:trPr>
          <w:trHeight w:val="567" w:hRule="atLeast"/>
        </w:trPr>
        <w:tc>
          <w:tcPr>
            <w:tcW w:w="1036" w:type="dxa"/>
            <w:vMerge w:val="continue"/>
            <w:tcBorders>
              <w:top w:val="nil"/>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2．截止2022年3月“信易贷”平台累计成功贷款金额：截止2022年3月投标人在“信易贷”平台累计成功贷款金额（万元）</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分为100分。所有投标人中在“信易贷”平台累计成功贷款金额最高者为第一名得满分，其他按照与第一名的百分比折算。（“信易贷”平台即为全国中小企业融资综合信用服务平台，以江门市发改局、江门市金融局的通报数据为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1.5%</w:t>
            </w:r>
          </w:p>
        </w:tc>
      </w:tr>
      <w:tr>
        <w:tblPrEx>
          <w:tblCellMar>
            <w:top w:w="0" w:type="dxa"/>
            <w:left w:w="108" w:type="dxa"/>
            <w:bottom w:w="0" w:type="dxa"/>
            <w:right w:w="108" w:type="dxa"/>
          </w:tblCellMar>
        </w:tblPrEx>
        <w:trPr>
          <w:trHeight w:val="567" w:hRule="atLeast"/>
        </w:trPr>
        <w:tc>
          <w:tcPr>
            <w:tcW w:w="1036" w:type="dxa"/>
            <w:vMerge w:val="continue"/>
            <w:tcBorders>
              <w:top w:val="nil"/>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3．2021年1月-12月新增发放“政采贷”融资业务（线上）笔数：投标人2021年1月-12月新增发放“政采贷”融资业务（线上）笔数（笔）</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分为100分。所有投标人中在“政采贷”平台融资业务数量最高者为第一名得满分，其他按照与第一名的百分比折算。（“政采贷”融资业务是指金融机构基于政府采购合同项下的应收账款为质押而直接向申请贷款的中小企业发放贷款的一种新型融资方式。以投标人在“中征应收账款融资服务平台”系统数据截图为准，不提供截图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1.5%</w:t>
            </w:r>
          </w:p>
        </w:tc>
      </w:tr>
      <w:tr>
        <w:tblPrEx>
          <w:tblCellMar>
            <w:top w:w="0" w:type="dxa"/>
            <w:left w:w="108" w:type="dxa"/>
            <w:bottom w:w="0" w:type="dxa"/>
            <w:right w:w="108" w:type="dxa"/>
          </w:tblCellMar>
        </w:tblPrEx>
        <w:trPr>
          <w:trHeight w:val="567" w:hRule="atLeast"/>
        </w:trPr>
        <w:tc>
          <w:tcPr>
            <w:tcW w:w="1036" w:type="dxa"/>
            <w:vMerge w:val="continue"/>
            <w:tcBorders>
              <w:top w:val="nil"/>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4．2021年1月-12月新增发放“政采贷”融资业务（线上）金额：投标人2021年1月-12月新增发放“政采贷”融资业务（线上）金额（万元）</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分为100分。所有投标人中“政采贷”融资业务金额最高者为第一名得满分，其他按照与第一名的百分比折算。（“政采贷”融资业务是指金融机构基于政府采购合同项下的应收账款为质押而直接向申请贷款的中小企业发放贷款的一种新型融资方式。以投标人在“中征应收账款融资服务平台”系统数据截图为准，不提供截图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1.5%</w:t>
            </w:r>
          </w:p>
        </w:tc>
      </w:tr>
      <w:tr>
        <w:tblPrEx>
          <w:tblCellMar>
            <w:top w:w="0" w:type="dxa"/>
            <w:left w:w="108" w:type="dxa"/>
            <w:bottom w:w="0" w:type="dxa"/>
            <w:right w:w="108" w:type="dxa"/>
          </w:tblCellMar>
        </w:tblPrEx>
        <w:trPr>
          <w:trHeight w:val="567" w:hRule="atLeast"/>
        </w:trPr>
        <w:tc>
          <w:tcPr>
            <w:tcW w:w="1036" w:type="dxa"/>
            <w:vMerge w:val="continue"/>
            <w:tcBorders>
              <w:top w:val="nil"/>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5．截止2021年12月31日对全市小微企业贷款余额：截止2021年12月31日投标人对江门市全市（市本级及四市三区）小型和微型企业贷款余额。（万元）</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分为100分。所有投标人中小微企业贷款余额最高者为第一名得满分，其他按照与第一名的百分比折算。（以投标人上报人民银行的金融统计检测管理信息系统数据为准，按人民银行金融统计制度本外币口径填报，该数据以上报人民银行《大中小企业贷款统计表》小型企业跟微型企业贷款数据为准，投标人需提供报表系统数据截图作为依据，不提供截图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w:t>
            </w:r>
          </w:p>
        </w:tc>
      </w:tr>
      <w:tr>
        <w:tblPrEx>
          <w:tblCellMar>
            <w:top w:w="0" w:type="dxa"/>
            <w:left w:w="108" w:type="dxa"/>
            <w:bottom w:w="0" w:type="dxa"/>
            <w:right w:w="108" w:type="dxa"/>
          </w:tblCellMar>
        </w:tblPrEx>
        <w:trPr>
          <w:trHeight w:val="567" w:hRule="atLeast"/>
        </w:trPr>
        <w:tc>
          <w:tcPr>
            <w:tcW w:w="103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6． 截止2021年12月31日对全市房地产业贷款余额：截止2021年12月31日投标人对全市房地产业贷款余额（万元）（全市数据）</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满分为100分。所有投标人中房地产业贷款余额最高者为第一名得满分，其他按照与第一名的百分比折算。（以投标人上报人民银行的金融统计检测管理信息系统数据为准，按人民银行金融统计制度本外币口径填报，该数据以上报人民银行《贷款分行业统计月报表》中指标名称“K.房地产业”数据为准，投标人需提供报表系统数据截图作为依据，不提供截图不得分）</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1.5%</w:t>
            </w:r>
          </w:p>
        </w:tc>
      </w:tr>
      <w:tr>
        <w:tblPrEx>
          <w:tblCellMar>
            <w:top w:w="0" w:type="dxa"/>
            <w:left w:w="108" w:type="dxa"/>
            <w:bottom w:w="0" w:type="dxa"/>
            <w:right w:w="108" w:type="dxa"/>
          </w:tblCellMar>
        </w:tblPrEx>
        <w:trPr>
          <w:trHeight w:val="567" w:hRule="atLeast"/>
        </w:trPr>
        <w:tc>
          <w:tcPr>
            <w:tcW w:w="103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p>
        </w:tc>
        <w:tc>
          <w:tcPr>
            <w:tcW w:w="261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7．</w:t>
            </w:r>
            <w:r>
              <w:rPr>
                <w:rFonts w:cs="宋体" w:asciiTheme="minorEastAsia" w:hAnsiTheme="minorEastAsia" w:eastAsiaTheme="minorEastAsia"/>
                <w:kern w:val="0"/>
                <w:sz w:val="24"/>
              </w:rPr>
              <w:t>截止202</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年12月31日对全市制造业贷款余额：截止202</w:t>
            </w:r>
            <w:r>
              <w:rPr>
                <w:rFonts w:hint="eastAsia" w:cs="宋体" w:asciiTheme="minorEastAsia" w:hAnsiTheme="minorEastAsia" w:eastAsiaTheme="minorEastAsia"/>
                <w:kern w:val="0"/>
                <w:sz w:val="24"/>
              </w:rPr>
              <w:t>1</w:t>
            </w:r>
            <w:r>
              <w:rPr>
                <w:rFonts w:cs="宋体" w:asciiTheme="minorEastAsia" w:hAnsiTheme="minorEastAsia" w:eastAsiaTheme="minorEastAsia"/>
                <w:kern w:val="0"/>
                <w:sz w:val="24"/>
              </w:rPr>
              <w:t>年12月31日投标人对全市制造业贷款余额（万元）</w:t>
            </w:r>
          </w:p>
        </w:tc>
        <w:tc>
          <w:tcPr>
            <w:tcW w:w="501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满分为</w:t>
            </w:r>
            <w:r>
              <w:rPr>
                <w:rFonts w:cs="宋体" w:asciiTheme="minorEastAsia" w:hAnsiTheme="minorEastAsia" w:eastAsiaTheme="minorEastAsia"/>
                <w:kern w:val="0"/>
                <w:sz w:val="24"/>
              </w:rPr>
              <w:t xml:space="preserve">100分。所有投标人中，制造业贷款余额最高者为第一名得满分，其他投标人分数按照与第一名的百分比折算。（以投标人上报人民银行的金融统计监测管理信息系统数据为准，按人民银行金融统计制度本外币口径填报，该数据以上报人民银行《贷款分行业统计月报表》中指标名称“C.制造业”数据为准，投标人需提供报表系统数据截图作为依据，不提供截图不得分） </w:t>
            </w:r>
            <w:r>
              <w:rPr>
                <w:rFonts w:hint="eastAsia" w:cs="宋体" w:asciiTheme="minorEastAsia" w:hAnsiTheme="minorEastAsia" w:eastAsiaTheme="minorEastAsia"/>
                <w:color w:val="000000"/>
                <w:kern w:val="0"/>
                <w:sz w:val="24"/>
              </w:rPr>
              <w:t xml:space="preserve"> </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r>
    </w:tbl>
    <w:p>
      <w:pPr>
        <w:pStyle w:val="3"/>
        <w:spacing w:before="0" w:after="0" w:line="520" w:lineRule="exact"/>
        <w:ind w:firstLine="481" w:firstLineChars="200"/>
        <w:rPr>
          <w:rFonts w:cs="宋体" w:asciiTheme="minorEastAsia" w:hAnsiTheme="minorEastAsia" w:eastAsiaTheme="minorEastAsia"/>
          <w:bCs/>
          <w:sz w:val="24"/>
          <w:szCs w:val="24"/>
        </w:rPr>
      </w:pPr>
      <w:bookmarkStart w:id="201" w:name="_Toc9187"/>
      <w:r>
        <w:rPr>
          <w:rFonts w:hint="eastAsia" w:cs="宋体" w:asciiTheme="minorEastAsia" w:hAnsiTheme="minorEastAsia" w:eastAsiaTheme="minorEastAsia"/>
          <w:bCs/>
          <w:sz w:val="24"/>
          <w:szCs w:val="24"/>
        </w:rPr>
        <w:t>四、打分程序</w:t>
      </w:r>
      <w:bookmarkEnd w:id="201"/>
    </w:p>
    <w:p>
      <w:pPr>
        <w:spacing w:line="52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1.评标委员会各成员根据评标办法并结合投标人实际情况分别就各项指标进行独立打分。</w:t>
      </w:r>
    </w:p>
    <w:p>
      <w:pPr>
        <w:spacing w:line="52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2.将每一个评标委员会成员的评分汇总，取其评分的算术平均值，为该供应商的综合得分。</w:t>
      </w:r>
    </w:p>
    <w:p>
      <w:pPr>
        <w:pStyle w:val="20"/>
        <w:spacing w:line="52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3.在评标过程中所有计算结果均精确到小数点后四位，第五位小数四舍五入。</w:t>
      </w:r>
    </w:p>
    <w:p>
      <w:pPr>
        <w:pStyle w:val="20"/>
        <w:spacing w:line="520" w:lineRule="exact"/>
        <w:ind w:firstLine="480" w:firstLineChars="200"/>
        <w:rPr>
          <w:rFonts w:cs="宋体" w:asciiTheme="minorEastAsia" w:hAnsiTheme="minorEastAsia" w:eastAsiaTheme="minorEastAsia"/>
          <w:szCs w:val="30"/>
        </w:rPr>
      </w:pPr>
      <w:r>
        <w:rPr>
          <w:rFonts w:cs="宋体" w:asciiTheme="minorEastAsia" w:hAnsiTheme="minorEastAsia" w:eastAsiaTheme="minorEastAsia"/>
          <w:sz w:val="24"/>
          <w:szCs w:val="24"/>
        </w:rPr>
        <w:t>4.将综合得分从高到低排出名次，总分第一名为第一中标候选人，第二名为第二中标候选人，第三名为第三中标候选人，如此类推。综合得分相同的，由评标委员会投票确定。</w:t>
      </w:r>
      <w:bookmarkEnd w:id="185"/>
      <w:bookmarkEnd w:id="186"/>
      <w:bookmarkEnd w:id="187"/>
      <w:bookmarkEnd w:id="188"/>
      <w:bookmarkEnd w:id="189"/>
      <w:bookmarkStart w:id="202" w:name="_Toc73711849"/>
      <w:bookmarkEnd w:id="202"/>
      <w:bookmarkStart w:id="203" w:name="_Toc73711850"/>
      <w:bookmarkEnd w:id="203"/>
      <w:bookmarkStart w:id="204" w:name="_Toc73710419"/>
      <w:bookmarkEnd w:id="204"/>
      <w:bookmarkStart w:id="205" w:name="_Toc73711848"/>
      <w:bookmarkEnd w:id="205"/>
      <w:bookmarkStart w:id="206" w:name="_Toc73644762"/>
      <w:bookmarkEnd w:id="206"/>
      <w:bookmarkStart w:id="207" w:name="_Toc73711847"/>
      <w:bookmarkEnd w:id="207"/>
      <w:bookmarkStart w:id="208" w:name="_Toc73710418"/>
      <w:bookmarkEnd w:id="208"/>
      <w:bookmarkStart w:id="209" w:name="_Toc73644761"/>
      <w:bookmarkEnd w:id="209"/>
      <w:bookmarkStart w:id="210" w:name="_Toc73710417"/>
      <w:bookmarkEnd w:id="210"/>
      <w:bookmarkStart w:id="211" w:name="_Toc73644760"/>
      <w:bookmarkEnd w:id="211"/>
      <w:bookmarkStart w:id="212" w:name="_Toc73711846"/>
      <w:bookmarkEnd w:id="212"/>
      <w:bookmarkStart w:id="213" w:name="_Toc73711845"/>
      <w:bookmarkEnd w:id="213"/>
      <w:bookmarkStart w:id="214" w:name="_Toc73710416"/>
      <w:bookmarkEnd w:id="214"/>
      <w:bookmarkStart w:id="215" w:name="_Toc73644759"/>
      <w:bookmarkEnd w:id="215"/>
      <w:bookmarkStart w:id="216" w:name="_Toc73644758"/>
      <w:bookmarkEnd w:id="216"/>
      <w:bookmarkStart w:id="217" w:name="_Toc73710415"/>
      <w:bookmarkEnd w:id="217"/>
      <w:bookmarkStart w:id="218" w:name="_Toc73711844"/>
      <w:bookmarkEnd w:id="218"/>
      <w:bookmarkStart w:id="219" w:name="_Toc73644757"/>
      <w:bookmarkEnd w:id="219"/>
      <w:bookmarkStart w:id="220" w:name="_Toc73710414"/>
      <w:bookmarkEnd w:id="220"/>
      <w:bookmarkStart w:id="221" w:name="_Toc73711843"/>
      <w:bookmarkEnd w:id="221"/>
      <w:bookmarkStart w:id="222" w:name="_Toc73644756"/>
      <w:bookmarkEnd w:id="222"/>
      <w:bookmarkStart w:id="223" w:name="_Toc73710413"/>
      <w:bookmarkEnd w:id="223"/>
      <w:bookmarkStart w:id="224" w:name="_Toc73710412"/>
      <w:bookmarkEnd w:id="224"/>
      <w:bookmarkStart w:id="225" w:name="_Toc73711842"/>
      <w:bookmarkEnd w:id="225"/>
      <w:bookmarkStart w:id="226" w:name="_Toc73644755"/>
      <w:bookmarkEnd w:id="226"/>
      <w:bookmarkStart w:id="227" w:name="_Toc73710411"/>
      <w:bookmarkEnd w:id="227"/>
      <w:bookmarkStart w:id="228" w:name="_Toc73711841"/>
      <w:bookmarkEnd w:id="228"/>
      <w:bookmarkStart w:id="229" w:name="_Toc73644754"/>
      <w:bookmarkEnd w:id="229"/>
      <w:bookmarkStart w:id="230" w:name="_Toc73710410"/>
      <w:bookmarkEnd w:id="230"/>
      <w:bookmarkStart w:id="231" w:name="_Toc73711840"/>
      <w:bookmarkEnd w:id="231"/>
      <w:bookmarkStart w:id="232" w:name="_Toc73711839"/>
      <w:bookmarkEnd w:id="232"/>
      <w:bookmarkStart w:id="233" w:name="_Toc73644753"/>
      <w:bookmarkEnd w:id="233"/>
      <w:bookmarkStart w:id="234" w:name="_Toc73711838"/>
      <w:bookmarkEnd w:id="234"/>
      <w:bookmarkStart w:id="235" w:name="_Toc73710409"/>
      <w:bookmarkEnd w:id="235"/>
      <w:bookmarkStart w:id="236" w:name="_Toc73644752"/>
      <w:bookmarkEnd w:id="236"/>
      <w:bookmarkStart w:id="237" w:name="_Toc74233140"/>
      <w:bookmarkEnd w:id="237"/>
      <w:bookmarkStart w:id="238" w:name="_Toc74233141"/>
      <w:bookmarkEnd w:id="238"/>
      <w:bookmarkStart w:id="239" w:name="_Toc74233137"/>
      <w:bookmarkEnd w:id="239"/>
      <w:bookmarkStart w:id="240" w:name="_Toc74233138"/>
      <w:bookmarkEnd w:id="240"/>
      <w:bookmarkStart w:id="241" w:name="_Toc74233139"/>
      <w:bookmarkEnd w:id="241"/>
      <w:bookmarkStart w:id="242" w:name="_Toc74233145"/>
      <w:bookmarkEnd w:id="242"/>
      <w:bookmarkStart w:id="243" w:name="_Toc74233136"/>
      <w:bookmarkEnd w:id="243"/>
      <w:bookmarkStart w:id="244" w:name="_Toc74233135"/>
      <w:bookmarkEnd w:id="244"/>
      <w:bookmarkStart w:id="245" w:name="_Toc74233134"/>
      <w:bookmarkEnd w:id="245"/>
      <w:bookmarkStart w:id="246" w:name="_Toc74233133"/>
      <w:bookmarkEnd w:id="246"/>
      <w:bookmarkStart w:id="247" w:name="_Toc73710405"/>
      <w:bookmarkEnd w:id="247"/>
      <w:bookmarkStart w:id="248" w:name="_Toc74233142"/>
      <w:bookmarkEnd w:id="248"/>
      <w:bookmarkStart w:id="249" w:name="_Toc74233143"/>
      <w:bookmarkEnd w:id="249"/>
      <w:bookmarkStart w:id="250" w:name="_Toc74233144"/>
      <w:bookmarkEnd w:id="250"/>
      <w:bookmarkStart w:id="251" w:name="_Toc73644748"/>
      <w:bookmarkEnd w:id="251"/>
      <w:bookmarkStart w:id="252" w:name="_Toc74233146"/>
      <w:bookmarkEnd w:id="252"/>
      <w:bookmarkStart w:id="253" w:name="_Toc73710406"/>
      <w:bookmarkEnd w:id="253"/>
      <w:bookmarkStart w:id="254" w:name="_Toc73711836"/>
      <w:bookmarkEnd w:id="254"/>
      <w:bookmarkStart w:id="255" w:name="_Toc73644749"/>
      <w:bookmarkEnd w:id="255"/>
      <w:bookmarkStart w:id="256" w:name="_Toc73711835"/>
      <w:bookmarkEnd w:id="256"/>
      <w:bookmarkStart w:id="257" w:name="_Toc73710408"/>
      <w:bookmarkEnd w:id="257"/>
      <w:bookmarkStart w:id="258" w:name="_Toc73711837"/>
      <w:bookmarkEnd w:id="258"/>
      <w:bookmarkStart w:id="259" w:name="_Toc73644750"/>
      <w:bookmarkEnd w:id="259"/>
      <w:bookmarkStart w:id="260" w:name="_Toc73644751"/>
      <w:bookmarkEnd w:id="260"/>
      <w:bookmarkStart w:id="261" w:name="_Toc73710407"/>
      <w:bookmarkEnd w:id="261"/>
      <w:bookmarkStart w:id="262" w:name="_Toc51756493"/>
      <w:bookmarkStart w:id="263" w:name="_Toc231028109"/>
      <w:bookmarkStart w:id="264" w:name="_Toc52021540"/>
      <w:bookmarkStart w:id="265" w:name="_Toc56353013"/>
      <w:bookmarkStart w:id="266" w:name="_Toc52027928"/>
      <w:bookmarkStart w:id="267" w:name="_Toc51939458"/>
      <w:r>
        <w:rPr>
          <w:rFonts w:cs="宋体" w:asciiTheme="minorEastAsia" w:hAnsiTheme="minorEastAsia" w:eastAsiaTheme="minorEastAsia"/>
          <w:szCs w:val="30"/>
        </w:rPr>
        <w:br w:type="page"/>
      </w:r>
    </w:p>
    <w:p>
      <w:pPr>
        <w:pStyle w:val="2"/>
        <w:numPr>
          <w:ilvl w:val="0"/>
          <w:numId w:val="3"/>
        </w:numPr>
        <w:spacing w:before="0" w:after="0" w:line="480" w:lineRule="exact"/>
        <w:jc w:val="center"/>
        <w:rPr>
          <w:rFonts w:cs="宋体" w:asciiTheme="minorEastAsia" w:hAnsiTheme="minorEastAsia" w:eastAsiaTheme="minorEastAsia"/>
          <w:sz w:val="30"/>
          <w:szCs w:val="30"/>
        </w:rPr>
      </w:pPr>
      <w:r>
        <w:rPr>
          <w:rFonts w:cs="宋体" w:asciiTheme="minorEastAsia" w:hAnsiTheme="minorEastAsia" w:eastAsiaTheme="minorEastAsia"/>
          <w:sz w:val="30"/>
          <w:szCs w:val="30"/>
        </w:rPr>
        <w:t xml:space="preserve">  </w:t>
      </w:r>
      <w:bookmarkStart w:id="268" w:name="_Toc26096"/>
      <w:bookmarkStart w:id="269" w:name="_Toc21316"/>
      <w:r>
        <w:rPr>
          <w:rFonts w:hint="eastAsia" w:cs="宋体" w:asciiTheme="minorEastAsia" w:hAnsiTheme="minorEastAsia" w:eastAsiaTheme="minorEastAsia"/>
          <w:sz w:val="30"/>
          <w:szCs w:val="30"/>
        </w:rPr>
        <w:t>江门市本级非税收入代收银行资格服务项目合同</w:t>
      </w:r>
      <w:bookmarkEnd w:id="268"/>
      <w:bookmarkEnd w:id="269"/>
    </w:p>
    <w:p>
      <w:pPr>
        <w:spacing w:line="520" w:lineRule="exact"/>
        <w:rPr>
          <w:rFonts w:cs="宋体" w:asciiTheme="minorEastAsia" w:hAnsiTheme="minorEastAsia" w:eastAsiaTheme="minorEastAsia"/>
          <w:sz w:val="28"/>
          <w:szCs w:val="28"/>
        </w:rPr>
      </w:pPr>
    </w:p>
    <w:p>
      <w:pPr>
        <w:spacing w:line="5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甲方：江门市财政局              乙方： </w:t>
      </w:r>
      <w:r>
        <w:rPr>
          <w:rFonts w:hint="eastAsia" w:asciiTheme="minorEastAsia" w:hAnsiTheme="minorEastAsia" w:eastAsiaTheme="minorEastAsia"/>
          <w:sz w:val="28"/>
          <w:szCs w:val="28"/>
          <w:u w:val="single"/>
        </w:rPr>
        <w:t xml:space="preserve">                  </w:t>
      </w:r>
    </w:p>
    <w:p>
      <w:pPr>
        <w:spacing w:line="520" w:lineRule="exact"/>
        <w:ind w:firstLine="420" w:firstLineChars="200"/>
        <w:rPr>
          <w:rFonts w:asciiTheme="minorEastAsia" w:hAnsiTheme="minorEastAsia" w:eastAsiaTheme="minorEastAsia"/>
        </w:rPr>
      </w:pP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甲、乙双方根据江门市本级非税收入代收银行资格服务项目（采购编号：JMGPC-202201）的招标结果和有关招标文件、投标文件的要求，为了规范江门市本级非税收入收缴业务，依据《中华人民共和国民法典》、《非税收入管理条例》的相关规定，甲、乙双方本着自愿、平等的原则，经充分友好协商，就甲方委托乙方代理江门市本级非税收入收缴业务一事达成共识并签订以下协议：</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一、业务合作内容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甲方委托乙方作为江门市本级非税收入收缴代理银行，乙方按甲方要求提供市本级非税收入的收款、归集、记录、划缴及其他相关服务。</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二、服务期</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合同签订之日起两年。</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三、服务范围</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（一）服务内容：甲方委托的江门市非税收入代收款服务。本合同所指江门市非税收入特指纳入“江门市本级广东非税收入管理一体化平台”和互联网缴费平台收缴的非税收入项目。</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（二）服务地点：江门市全市（四市三区）</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四、代理服务手续费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按每笔总额的千分之五计付手续费（含微信代收、支付宝代收的非税收入，省级非税分成的公安交警罚款收入、以及通过网上银行和银行网点柜台代收划入国库的资金），单笔封顶100元（以一个缴款通知书为一笔）；</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（二）专用POS代收的非税收入，以及省内公安交通违法异地办理缴交罚款、银行开发的微信代收的公安交警罚款资金，按代收总额的千分之五计付手续费，不作封顶；</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（三）代收的缴入财政专户管理的资金不纳入支付手续费的范围；</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（四）招标人只负担支付中标人的代收手续费，代理业务过程中（含POS机、微信、侨都之窗自助终端刷卡收费等征收方式）所产生的相关费用由中标人自行负担；</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（五）结算方式按半年计算。</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五、帐户管理要求</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乙方必须在“待结算财政收入”科目下开设“代收（或代理）江门市非税收入待报解汇缴账户”（通过签订协议明确或以函件形式把该账户信息报备甲方），用于归集乙方下属各代收网点收到的各类非税收入，并按照次日清零的原则（法定节假日顺延），于每个工作日上午12点前，根据甲方广东非税收入管理一体化平台发送的分成文件，将上一个工作日与广东非税收入管理一体化平台对账无误的已开具非税票据的代收资金划入甲方在乙方开设的财政专户或缴入国库。</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（二）款项的划转必须指向财政专户或人行国库，乙方不得擅自调度非税收入，或将非税收入随意划转到报备以外的过渡性账户。</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1.第一类，直接缴入国库资金划缴管理。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（1）缴库资金经对账无误后，代理银行根据广东非税收入管理一体化平台分成文件，将分成文件报表反映的缴库资金按预算收入报解程序及预算科目直接划缴到人民银行相关级次国库； </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2）代理银行缴库时填列《专用缴款书》或《一般缴款书》，分别填写相关级次的收款国库、国库账号、预算科目及预算科目编码等，加盖业务用公章后将缴款书相关联次和核对无误的《缴入国库收入报表》和《缴入国库收入明细报表》送达甲方。代理银行须将缴库资金及时足额上缴相关级次国库，不得延解国库收入或混级缴库。</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2．第二类，缴入财政专户资金划缴管理。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（1）缴入财政专户资金，指应缴入财政专户的非税收入； </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（2）缴专户资金经对账无误后，由代理银行根据甲方在其开设的财政专户情况，按以下情况划缴。 </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 第一种情况：甲方已在代理银行开设财政专户的，由代理银行根据广东非税收入管理一体化平台分成文件，将分成文件报表反映的缴专户资金缴入甲方在该代理银行开设的财政专户； </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第二种情况：甲方未在乙方开设财政专户的，由乙方根据广东非税收入管理一体化平台分成文件，将分成文件报表反映的缴专户资金缴入甲方在其他代理银行（以下统称第三方代理银行）开设的财政专户。</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三）乙方每日与广东非税收入管理一体化平台对账所产生的问题账务，其中涉及非资金问题的（如票据号码重复等），由乙方协助甲方理清并解决；涉及资金问题的（如重复缴费等），由甲方协助乙方核实并生成重复缴费账务报表，乙方根据重复缴费账务报表记载信息，将重复缴费资金按原路退回缴款单位（个人）。重复缴费原则上应在生成重复缴费账务报表当天退回缴款单位（个人），如有特殊情况可经甲方同意后延迟至下一工作日，但最长不得超过三个工作日。</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（四）乙方在非税收入代收账户中暂收的款项应按以下原则及时进行清理：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1.自暂收款达帐之日起两个工作日内，乙方可等待缴费人持《通知书》前往乙方收款网点办理缴费确认，缴费人持《通知书》前往乙方收款网点办理确认缴费事宜，由乙方按转账缴款规则办理。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2.对暂收超过两个工作日的款项，乙方应于之后两个工作日内完成来源追查（涉及到执收、执罚单位的追查工作可由甲方协助开展），对可追查来源的款项及时提醒缴款人前往网点办理非税缴款确认事宜。</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3.对暂收超过五个工作日的款项，缴费人未前往网点办理非税缴款确认事宜，由乙方按款项缴入渠道原路退回；对ATM现金转账等无法追查来源的款项，由乙方按月汇总，于次月25日前（如遇节假日顺延）报请甲方，经甲方同意后清缴国库。</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4.对于无法原路退回且已清缴国库的资金，如有缴款人申请退还相关款项，一律由乙方受理并于五个工作日内核实缴款人的缴款事实，出具书面审核意见后，报送甲方办理退库。</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5.乙方应将每日暂收款项以及对应的确认缴款、退回、清缴国库情况编列明细报表，并于次月25日前（如遇节假日顺延）将上月报表送甲方备案。</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（五）乙方应每季度对江门市本级非税收入代收账户进行盘查，确保没有漏缴、超时未退回、超时未清缴的情况发生，并在每季度结束后20个工作日内将盘查情况报送甲方。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六、非税收入管理要求</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使用现金或转账（含支票）到银行柜台现场缴交款的，乙方根据缴款单位(个人)持有的《江门市非税收入缴款通知书》、《江门市非税收入罚款通知书》（以下统称《通知书》）向广东非税收入一体化平台查询相关缴费信息，经核实缴费信息与《通知书》记载一致后收取相关款项（若乙方向广东非税收入一体化平台查询相关缴费信息后，反馈的缴费信息除《通知书》记载内容外还增加“滞纳金”收费项目，乙方应告知缴款单位(个人)，并经缴款单位(个人)同意后按照广东非税收入一体化平台反馈的缴费信息收缴。缴款单位</w:t>
      </w:r>
      <w:r>
        <w:rPr>
          <w:rFonts w:asciiTheme="minorEastAsia" w:hAnsiTheme="minorEastAsia" w:eastAsiaTheme="minorEastAsia"/>
        </w:rPr>
        <w:t>(个人)</w:t>
      </w:r>
      <w:r>
        <w:rPr>
          <w:rFonts w:cs="宋体" w:asciiTheme="minorEastAsia" w:hAnsiTheme="minorEastAsia" w:eastAsiaTheme="minorEastAsia"/>
          <w:sz w:val="28"/>
          <w:szCs w:val="28"/>
        </w:rPr>
        <w:t xml:space="preserve"> </w:t>
      </w:r>
      <w:r>
        <w:rPr>
          <w:rFonts w:asciiTheme="minorEastAsia" w:hAnsiTheme="minorEastAsia" w:eastAsiaTheme="minorEastAsia"/>
        </w:rPr>
        <w:t>如需要</w:t>
      </w:r>
      <w:r>
        <w:rPr>
          <w:rFonts w:hint="eastAsia" w:asciiTheme="minorEastAsia" w:hAnsiTheme="minorEastAsia" w:eastAsiaTheme="minorEastAsia"/>
        </w:rPr>
        <w:t>电子财政票据的打印服务</w:t>
      </w:r>
      <w:r>
        <w:rPr>
          <w:rFonts w:asciiTheme="minorEastAsia" w:hAnsiTheme="minorEastAsia" w:eastAsiaTheme="minorEastAsia"/>
        </w:rPr>
        <w:t>，中标人</w:t>
      </w:r>
      <w:r>
        <w:rPr>
          <w:rFonts w:hint="eastAsia" w:asciiTheme="minorEastAsia" w:hAnsiTheme="minorEastAsia" w:eastAsiaTheme="minorEastAsia"/>
        </w:rPr>
        <w:t>应提供。</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（二）使用在线支付方式缴款的，乙方通过在线收缴渠道收取款项后，缴款单位(个人)如需要纸质财政票据，由乙方按照广东非税收入一体化平台规则，在各代收网点向缴款人提供打印电子财政票据的服务。</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七、报表管理要求</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甲方、乙方双方均以电子数据作为日常对账的依据，乙方在每月月终编制当月非税收入账户的交易明细表、缴库明细表供甲方记账使用，并于次月5日前提交甲方。乙方对甲方提供上一月度的非税收入统计月报表的发生金额与银行实收金额进行核对，如发现数据不符需作相关书面说明，报表和书面说明需在当月20日前提交甲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（一）缴入国库资金的报表处理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报表要按执收执罚单位和收费项目及罚款项目分类，注明所属时间、打印日期、盖章和经办人签章需每月20日前交甲方；缴入市本级国库的非税款项的交易数据需纸质打印后加盖业务公章连同《一般缴款书》相关联次需每月5日前交给甲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（二）缴入财政专户资金的报表处理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1. 第一种情况：甲方已在乙方开设财政专户的。</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报表要按执收单位和收费项目分类，注明所属时间、打印日期、盖章和经办人签章需每月20日前交甲方，乙方打印的《甲方账户交易明细表》需每月5日前交甲方。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2.第二种情况：甲方未在乙方开设财政专户的。</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报表要按执收单位和收费项目分类，注明所属时间、打印日期、盖章和经办人签章需每月20日前交甲方，划入甲方在他行开设专户的交易数据需纸质打印后加盖业务公章需每月5日前交甲方。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（三）待报解汇缴账户的款项报表处理。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乙方需每月对划入待报解汇缴账户的款项滞留超过10天未开非税电子票据的款项打印明细表报甲方。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 八、甲方的责任和义务。</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（一）按合同约定计付手续费给乙方。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将实施委托收费的非税收入项目、标准和执收单位等基础信息以及相关变动信息通过广东非税收入管理一体化平台传送给乙方，将实时联网的执收单位开具的《江门市非税收入缴款通知书》和《江门市非税收入罚款通知书》（以下统一简称《通知书》）信息等传送给乙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（三）确定乙方提供的非税收入对账单和报表的格式。</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（四）及时与乙方对帐，配合乙方对未达帐项进行处理。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（五）处理因甲方原因造成的结算纠纷，解释与非税收入收缴业务相关的问题。</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九、乙方的责任和义务。</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1．按照甲方提供的设计需求，开发适用于非税代理业务的银行子系统，并提供或租用网络设备实现与甲方广东非税收入管理一体化平台实时连接。</w:t>
      </w:r>
    </w:p>
    <w:p>
      <w:pPr>
        <w:spacing w:line="520" w:lineRule="exact"/>
        <w:ind w:firstLine="420" w:firstLineChars="200"/>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在服务期内开放江门市全市（四市三区）营业网点办理收款业务，明确收款时间为周一至周六（法定节假日按人行规定停业）上午</w:t>
      </w:r>
      <w:r>
        <w:rPr>
          <w:rFonts w:asciiTheme="minorEastAsia" w:hAnsiTheme="minorEastAsia" w:eastAsiaTheme="minorEastAsia"/>
        </w:rPr>
        <w:t>9时至下午5时（节假日为上午10时至下午4时），对公业务（主要指转帐支票部分）为非节假日的周一至周五上午9时至12时，下午2时至5时</w:t>
      </w:r>
      <w:r>
        <w:rPr>
          <w:rFonts w:hint="eastAsia" w:asciiTheme="minorEastAsia" w:hAnsiTheme="minorEastAsia" w:eastAsiaTheme="minorEastAsia"/>
        </w:rPr>
        <w:t>，国家政策有调整的除外。</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3.明确非税收入岗位职责，建立健全内部操作规程，加强网络和设备的维护，并指定专人负责“江门市非税收入汇缴户”的对帐等工作，并派专人负责为甲方送递、收取相关票据、报表等。</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4.负责做好业务培训工作，保证市内所有营业网点的相关工作人员均能熟练掌握非税收入收缴业务。</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5.按帐户管理要求、非税收入管理要求、报表管理要求、票据管理要求条款做好相关工作。</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6. 内部管理规范，内控制度健全，具有严格的操作规程和保密措施。</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7. 接受江门市财政局和中国人民银行江门市中心支行对非税代理业务的监督管理。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十、协议的变更和解除。</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（一）协议履行过程中，如遇与协议生效后颁布的法律、法规、政策不符的情况，甲、乙双方应按新的法律、法规、政策另行协商并重新签订协议。</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（二）考核条款</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    乙方必须履行好各项义务，理顺好与各营业网点的利益，充分调动各营业网点代收费的积极性。若甲方收到乙方网点下列情形投诉的，经查实后，视为违约并扣分，乙方在一个服务年度中被有效投诉累计达12分的，甲方将予以警告并责令其整改。在本项目合同期内被有效投诉累计达15分的，即被取消代理资格，由有关监督管理部门列入不良诚信记录，有关项目合同自动解除，并纳入下次市本级非税收入代收银行资格服务项目资格招标的考核扣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1. 乙方违反廉政承诺或经办人员有廉政违纪违法行为，扣3分。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2. 乙方经办人员有违纪行为、内控不严出现或无客观性特殊原因未按规定及时办理业务或故意压票，扣2分。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3. 乙方无故违反代收款过渡户必须“次日清零”的原则，延迟划缴财政指定账户，扣1分。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4. 乙方违反相关规定将非税收入随意划转到报备以外或非财政部门指定的账户上，及利用虚假账务处理手段隐瞒或虚报“代收（或代理）江门市非税收入待报解汇缴账户”每日结余情况，扣3分。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5. 不收现金，要求缴费人在乙方开设账户才收费或只接受缴费人刷卡缴费的，扣1分。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6.乙方以“网络故障”、“开卡才能缴款”等理由无故拒收、推诿收款，扣3分。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7.乙方违反单位委托批量扣收条款或迟报各种应报报表、账单超过3天。扣1分。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8.乙方没有在网点内设立办理缴纳江门市非税收入的相关指引，标明代收款业务时间、窗口号码及投诉电话等资料，扣1分。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9.因乙方工作人员工作失误或资金划缴制度上的缺位，导致非税收入数据（款项）出现串户、混库、错漏、缺乏审核痕迹等现象发生，扣1分。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   10.缴款人以书面材料、电话、电子邮件、传真及当面陈述等方式或通过人大、政协及12345服务热线等监督机构向财政部门投诉乙方拒收等行为，经财政部门查证核实的定为有效投诉，每次扣1分。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 xml:space="preserve">   11.其他不遵守协议条款的规定、借故拒收而又不能作出合理解释等情况，扣1-2分。</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十二、廉政承诺书。</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乙方需向甲方出具廉政承诺书，承诺书一式两份，分别由甲方和乙方分别持有。</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十三、税费。</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（一）在中国境内根据现行税法所征收的一切税费均由各缴税责任方独立承担。</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（二）在中国境外发生的与本合同相关的一切税费及不可预见费均由乙方负担。</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十四、违约责任。</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本协议签订后，一方违约，另一方应及时通知违约方予以改正，对方在接到通知后应给予书面说明并采取措施改正。违约方应承担因自己的违约行为给对方造成的经济损失。</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十五、免责条款。</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如遇国家、省、市政策调整，甲方有权暂停或取消乙方的代理银行资格，不承担违约责任。甲、乙双方或一方因不可抗力导致不能履行或不能完全履行本协议规定的有关责任、义务时，不承担违约责任。但遇有不可抗力的双方或一方应于不可抗力发生后立即告知对方，并提供有关证明。在不可抗力影响消除后，双方或一方应当继续履行合同。</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十六、争议解决。</w:t>
      </w:r>
    </w:p>
    <w:p>
      <w:pPr>
        <w:spacing w:line="520" w:lineRule="exact"/>
        <w:ind w:firstLine="420" w:firstLineChars="200"/>
        <w:rPr>
          <w:rFonts w:asciiTheme="minorEastAsia" w:hAnsiTheme="minorEastAsia" w:eastAsiaTheme="minorEastAsia"/>
        </w:rPr>
      </w:pPr>
      <w:r>
        <w:rPr>
          <w:rFonts w:asciiTheme="minorEastAsia" w:hAnsiTheme="minorEastAsia" w:eastAsiaTheme="minorEastAsia"/>
        </w:rPr>
        <w:t>双方在合作期间如产生对合作的不同意见甚至争议，双方应该本着友好、平等、互利的态度协商解决；协商无效，任何一方可以向</w:t>
      </w:r>
      <w:r>
        <w:rPr>
          <w:rFonts w:hint="eastAsia" w:asciiTheme="minorEastAsia" w:hAnsiTheme="minorEastAsia" w:eastAsiaTheme="minorEastAsia"/>
        </w:rPr>
        <w:t>合同签署地</w:t>
      </w:r>
      <w:r>
        <w:rPr>
          <w:rFonts w:asciiTheme="minorEastAsia" w:hAnsiTheme="minorEastAsia" w:eastAsiaTheme="minorEastAsia"/>
        </w:rPr>
        <w:t>法院提起诉讼。</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十七、 附则。</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（一）本合同一式__份，甲方执__份，乙方执__份，一份送市政府采购中心归档。</w:t>
      </w: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（二）本合同自双方签字盖章后生效。</w:t>
      </w:r>
    </w:p>
    <w:p>
      <w:pPr>
        <w:spacing w:line="520" w:lineRule="exact"/>
        <w:ind w:firstLine="420" w:firstLineChars="200"/>
        <w:rPr>
          <w:rFonts w:asciiTheme="minorEastAsia" w:hAnsiTheme="minorEastAsia" w:eastAsiaTheme="minorEastAsia"/>
        </w:rPr>
      </w:pPr>
    </w:p>
    <w:p>
      <w:pPr>
        <w:spacing w:line="520" w:lineRule="exact"/>
        <w:ind w:firstLine="420" w:firstLineChars="200"/>
        <w:rPr>
          <w:rFonts w:asciiTheme="minorEastAsia" w:hAnsiTheme="minorEastAsia" w:eastAsiaTheme="minorEastAsia"/>
        </w:rPr>
      </w:pPr>
    </w:p>
    <w:p>
      <w:pPr>
        <w:spacing w:line="520" w:lineRule="exact"/>
        <w:rPr>
          <w:rFonts w:asciiTheme="minorEastAsia" w:hAnsiTheme="minorEastAsia" w:eastAsiaTheme="minorEastAsia"/>
        </w:rPr>
      </w:pPr>
      <w:r>
        <w:rPr>
          <w:rFonts w:hint="eastAsia" w:asciiTheme="minorEastAsia" w:hAnsiTheme="minorEastAsia" w:eastAsiaTheme="minorEastAsia"/>
        </w:rPr>
        <w:t xml:space="preserve">甲方：                                  乙方： </w:t>
      </w:r>
    </w:p>
    <w:p>
      <w:pPr>
        <w:spacing w:line="520" w:lineRule="exact"/>
        <w:rPr>
          <w:rFonts w:asciiTheme="minorEastAsia" w:hAnsiTheme="minorEastAsia" w:eastAsiaTheme="minorEastAsia"/>
        </w:rPr>
      </w:pPr>
      <w:r>
        <w:rPr>
          <w:rFonts w:hint="eastAsia" w:asciiTheme="minorEastAsia" w:hAnsiTheme="minorEastAsia" w:eastAsiaTheme="minorEastAsia"/>
        </w:rPr>
        <w:t>法定代表人：                            法定代表人：</w:t>
      </w:r>
    </w:p>
    <w:p>
      <w:pPr>
        <w:spacing w:line="520" w:lineRule="exact"/>
        <w:rPr>
          <w:rFonts w:asciiTheme="minorEastAsia" w:hAnsiTheme="minorEastAsia" w:eastAsiaTheme="minorEastAsia"/>
        </w:rPr>
      </w:pPr>
      <w:r>
        <w:rPr>
          <w:rFonts w:hint="eastAsia" w:asciiTheme="minorEastAsia" w:hAnsiTheme="minorEastAsia" w:eastAsiaTheme="minorEastAsia"/>
        </w:rPr>
        <w:t>委托代理人：                            委托代理人：</w:t>
      </w:r>
    </w:p>
    <w:p>
      <w:pPr>
        <w:spacing w:line="520" w:lineRule="exact"/>
        <w:rPr>
          <w:rFonts w:asciiTheme="minorEastAsia" w:hAnsiTheme="minorEastAsia" w:eastAsiaTheme="minorEastAsia"/>
        </w:rPr>
      </w:pPr>
      <w:r>
        <w:rPr>
          <w:rFonts w:hint="eastAsia" w:asciiTheme="minorEastAsia" w:hAnsiTheme="minorEastAsia" w:eastAsiaTheme="minorEastAsia"/>
        </w:rPr>
        <w:t>地址：                                  地址：</w:t>
      </w:r>
    </w:p>
    <w:p>
      <w:pPr>
        <w:spacing w:line="520" w:lineRule="exact"/>
        <w:rPr>
          <w:rFonts w:asciiTheme="minorEastAsia" w:hAnsiTheme="minorEastAsia" w:eastAsiaTheme="minorEastAsia"/>
        </w:rPr>
      </w:pPr>
      <w:r>
        <w:rPr>
          <w:rFonts w:hint="eastAsia" w:asciiTheme="minorEastAsia" w:hAnsiTheme="minorEastAsia" w:eastAsiaTheme="minorEastAsia"/>
        </w:rPr>
        <w:t>电话：                                  电话：</w:t>
      </w:r>
    </w:p>
    <w:p>
      <w:pPr>
        <w:spacing w:line="520" w:lineRule="exact"/>
        <w:rPr>
          <w:rFonts w:asciiTheme="minorEastAsia" w:hAnsiTheme="minorEastAsia" w:eastAsiaTheme="minorEastAsia"/>
        </w:rPr>
      </w:pPr>
      <w:r>
        <w:rPr>
          <w:rFonts w:hint="eastAsia" w:asciiTheme="minorEastAsia" w:hAnsiTheme="minorEastAsia" w:eastAsiaTheme="minorEastAsia"/>
        </w:rPr>
        <w:t>签约时间：     年   月   日</w:t>
      </w:r>
    </w:p>
    <w:p>
      <w:pPr>
        <w:spacing w:line="520" w:lineRule="exact"/>
        <w:rPr>
          <w:rFonts w:asciiTheme="minorEastAsia" w:hAnsiTheme="minorEastAsia" w:eastAsiaTheme="minorEastAsia"/>
          <w:u w:val="single"/>
        </w:rPr>
      </w:pPr>
      <w:r>
        <w:rPr>
          <w:rFonts w:hint="eastAsia" w:asciiTheme="minorEastAsia" w:hAnsiTheme="minorEastAsia" w:eastAsiaTheme="minorEastAsia"/>
        </w:rPr>
        <w:t>签约地点：广东省</w:t>
      </w:r>
      <w:r>
        <w:rPr>
          <w:rFonts w:hint="eastAsia" w:asciiTheme="minorEastAsia" w:hAnsiTheme="minorEastAsia" w:eastAsiaTheme="minorEastAsia"/>
          <w:u w:val="single"/>
        </w:rPr>
        <w:t xml:space="preserve">                   </w:t>
      </w:r>
    </w:p>
    <w:p>
      <w:pPr>
        <w:spacing w:line="520" w:lineRule="exact"/>
        <w:rPr>
          <w:rFonts w:asciiTheme="minorEastAsia" w:hAnsiTheme="minorEastAsia" w:eastAsiaTheme="minorEastAsia"/>
          <w:u w:val="single"/>
        </w:rPr>
      </w:pPr>
    </w:p>
    <w:p>
      <w:pPr>
        <w:spacing w:line="520" w:lineRule="exact"/>
        <w:rPr>
          <w:rFonts w:asciiTheme="minorEastAsia" w:hAnsiTheme="minorEastAsia" w:eastAsiaTheme="minorEastAsia"/>
          <w:u w:val="single"/>
        </w:rPr>
      </w:pPr>
    </w:p>
    <w:p>
      <w:pPr>
        <w:spacing w:line="520" w:lineRule="exact"/>
        <w:rPr>
          <w:rFonts w:asciiTheme="minorEastAsia" w:hAnsiTheme="minorEastAsia" w:eastAsiaTheme="minorEastAsia"/>
          <w:u w:val="single"/>
        </w:rPr>
      </w:pPr>
    </w:p>
    <w:p>
      <w:pPr>
        <w:spacing w:line="520" w:lineRule="exact"/>
        <w:rPr>
          <w:rFonts w:asciiTheme="minorEastAsia" w:hAnsiTheme="minorEastAsia" w:eastAsiaTheme="minorEastAsia"/>
        </w:rPr>
      </w:pPr>
    </w:p>
    <w:p>
      <w:pPr>
        <w:spacing w:line="520" w:lineRule="exact"/>
        <w:ind w:firstLine="420" w:firstLineChars="200"/>
        <w:rPr>
          <w:rFonts w:asciiTheme="minorEastAsia" w:hAnsiTheme="minorEastAsia" w:eastAsiaTheme="minorEastAsia"/>
        </w:rPr>
      </w:pPr>
      <w:r>
        <w:rPr>
          <w:rFonts w:hint="eastAsia" w:asciiTheme="minorEastAsia" w:hAnsiTheme="minorEastAsia" w:eastAsiaTheme="minorEastAsia"/>
        </w:rPr>
        <w:t>注：本合同仅为合同的参考文本，合同签订双方可根据项目的具体要求进行修订。</w:t>
      </w:r>
      <w:bookmarkEnd w:id="262"/>
      <w:bookmarkEnd w:id="263"/>
      <w:bookmarkEnd w:id="264"/>
      <w:bookmarkEnd w:id="265"/>
      <w:bookmarkEnd w:id="266"/>
      <w:bookmarkEnd w:id="267"/>
    </w:p>
    <w:p>
      <w:pPr>
        <w:snapToGrid w:val="0"/>
        <w:spacing w:line="520" w:lineRule="exact"/>
        <w:rPr>
          <w:rFonts w:cs="宋体" w:asciiTheme="minorEastAsia" w:hAnsiTheme="minorEastAsia" w:eastAsiaTheme="minorEastAsia"/>
          <w:sz w:val="28"/>
          <w:szCs w:val="28"/>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p>
      <w:pPr>
        <w:snapToGrid w:val="0"/>
        <w:spacing w:line="480" w:lineRule="exact"/>
        <w:rPr>
          <w:rFonts w:cs="宋体" w:asciiTheme="minorEastAsia" w:hAnsiTheme="minorEastAsia" w:eastAsiaTheme="minorEastAsia"/>
          <w:sz w:val="24"/>
        </w:rPr>
      </w:pPr>
    </w:p>
    <w:bookmarkEnd w:id="190"/>
    <w:bookmarkEnd w:id="191"/>
    <w:bookmarkEnd w:id="192"/>
    <w:bookmarkEnd w:id="193"/>
    <w:bookmarkEnd w:id="194"/>
    <w:bookmarkEnd w:id="195"/>
    <w:p>
      <w:pPr>
        <w:rPr>
          <w:rFonts w:cs="宋体" w:asciiTheme="minorEastAsia" w:hAnsiTheme="minorEastAsia" w:eastAsiaTheme="minorEastAsia"/>
          <w:szCs w:val="30"/>
        </w:rPr>
      </w:pPr>
      <w:bookmarkStart w:id="270" w:name="_Toc4531"/>
      <w:bookmarkStart w:id="271" w:name="_Toc26653"/>
      <w:bookmarkStart w:id="272" w:name="_Toc476976201"/>
      <w:bookmarkStart w:id="273" w:name="_Toc458262639"/>
      <w:bookmarkStart w:id="274" w:name="_Toc454701406"/>
      <w:bookmarkStart w:id="275" w:name="_Toc467236769"/>
      <w:bookmarkStart w:id="276" w:name="_Toc486671573"/>
    </w:p>
    <w:p>
      <w:pPr>
        <w:pStyle w:val="2"/>
        <w:spacing w:before="0" w:after="0" w:line="480" w:lineRule="exact"/>
        <w:jc w:val="center"/>
        <w:rPr>
          <w:rFonts w:cs="宋体" w:asciiTheme="minorEastAsia" w:hAnsiTheme="minorEastAsia" w:eastAsiaTheme="minorEastAsia"/>
          <w:sz w:val="30"/>
          <w:szCs w:val="30"/>
        </w:rPr>
      </w:pPr>
      <w:bookmarkStart w:id="277" w:name="_Toc6507"/>
      <w:r>
        <w:rPr>
          <w:rFonts w:hint="eastAsia" w:cs="宋体" w:asciiTheme="minorEastAsia" w:hAnsiTheme="minorEastAsia" w:eastAsiaTheme="minorEastAsia"/>
          <w:sz w:val="30"/>
          <w:szCs w:val="30"/>
        </w:rPr>
        <w:t>第六部分</w:t>
      </w:r>
      <w:r>
        <w:rPr>
          <w:rFonts w:cs="宋体" w:asciiTheme="minorEastAsia" w:hAnsiTheme="minorEastAsia" w:eastAsiaTheme="minorEastAsia"/>
          <w:sz w:val="30"/>
          <w:szCs w:val="30"/>
        </w:rPr>
        <w:t xml:space="preserve">  </w:t>
      </w:r>
      <w:r>
        <w:rPr>
          <w:rFonts w:hint="eastAsia" w:cs="宋体" w:asciiTheme="minorEastAsia" w:hAnsiTheme="minorEastAsia" w:eastAsiaTheme="minorEastAsia"/>
          <w:sz w:val="30"/>
          <w:szCs w:val="30"/>
        </w:rPr>
        <w:t>投标文件格式</w:t>
      </w:r>
      <w:bookmarkEnd w:id="270"/>
      <w:bookmarkEnd w:id="271"/>
      <w:bookmarkEnd w:id="277"/>
      <w:bookmarkStart w:id="278" w:name="_Toc467236768"/>
      <w:bookmarkStart w:id="279" w:name="_Toc458262638"/>
      <w:bookmarkStart w:id="280" w:name="_Toc454701405"/>
      <w:bookmarkStart w:id="281" w:name="_Toc486671572"/>
      <w:bookmarkStart w:id="282" w:name="_Toc476976200"/>
    </w:p>
    <w:p>
      <w:pPr>
        <w:spacing w:line="48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（本部分</w:t>
      </w:r>
      <w:bookmarkStart w:id="283" w:name="baidusnap0"/>
      <w:bookmarkEnd w:id="283"/>
      <w:r>
        <w:rPr>
          <w:rFonts w:hint="eastAsia" w:cs="宋体" w:asciiTheme="minorEastAsia" w:hAnsiTheme="minorEastAsia" w:eastAsiaTheme="minorEastAsia"/>
          <w:sz w:val="24"/>
        </w:rPr>
        <w:t>格式仅提供</w:t>
      </w:r>
      <w:bookmarkStart w:id="284" w:name="baidusnap2"/>
      <w:bookmarkEnd w:id="284"/>
      <w:r>
        <w:rPr>
          <w:rFonts w:hint="eastAsia" w:cs="宋体" w:asciiTheme="minorEastAsia" w:hAnsiTheme="minorEastAsia" w:eastAsiaTheme="minorEastAsia"/>
          <w:sz w:val="24"/>
        </w:rPr>
        <w:t>投标人参考，投标人可根据</w:t>
      </w:r>
      <w:bookmarkStart w:id="285" w:name="baidusnap4"/>
      <w:bookmarkEnd w:id="285"/>
      <w:r>
        <w:rPr>
          <w:rFonts w:hint="eastAsia" w:cs="宋体" w:asciiTheme="minorEastAsia" w:hAnsiTheme="minorEastAsia" w:eastAsiaTheme="minorEastAsia"/>
          <w:sz w:val="24"/>
        </w:rPr>
        <w:t>实际情况调整。）</w:t>
      </w:r>
    </w:p>
    <w:p>
      <w:pPr>
        <w:spacing w:line="480" w:lineRule="exact"/>
        <w:ind w:firstLine="480" w:firstLineChars="200"/>
        <w:rPr>
          <w:rFonts w:cs="宋体" w:asciiTheme="minorEastAsia" w:hAnsiTheme="minorEastAsia" w:eastAsiaTheme="minorEastAsia"/>
          <w:sz w:val="24"/>
        </w:rPr>
      </w:pPr>
    </w:p>
    <w:bookmarkEnd w:id="278"/>
    <w:bookmarkEnd w:id="279"/>
    <w:bookmarkEnd w:id="280"/>
    <w:bookmarkEnd w:id="281"/>
    <w:bookmarkEnd w:id="282"/>
    <w:p>
      <w:pPr>
        <w:pStyle w:val="3"/>
        <w:spacing w:before="0" w:after="0" w:line="480" w:lineRule="exact"/>
        <w:rPr>
          <w:rFonts w:cs="宋体" w:asciiTheme="minorEastAsia" w:hAnsiTheme="minorEastAsia" w:eastAsiaTheme="minorEastAsia"/>
          <w:kern w:val="2"/>
          <w:sz w:val="30"/>
          <w:szCs w:val="30"/>
        </w:rPr>
      </w:pPr>
      <w:bookmarkStart w:id="286" w:name="_Toc30783"/>
      <w:bookmarkStart w:id="287" w:name="_Toc8369"/>
      <w:bookmarkStart w:id="288" w:name="_Toc28298"/>
      <w:bookmarkStart w:id="289" w:name="_Toc10836"/>
      <w:r>
        <w:rPr>
          <w:rFonts w:hint="eastAsia" w:cs="宋体" w:asciiTheme="minorEastAsia" w:hAnsiTheme="minorEastAsia" w:eastAsiaTheme="minorEastAsia"/>
          <w:sz w:val="30"/>
          <w:szCs w:val="30"/>
        </w:rPr>
        <w:t>一、</w:t>
      </w:r>
      <w:r>
        <w:rPr>
          <w:rFonts w:hint="eastAsia" w:cs="宋体" w:asciiTheme="minorEastAsia" w:hAnsiTheme="minorEastAsia" w:eastAsiaTheme="minorEastAsia"/>
          <w:bCs/>
          <w:sz w:val="30"/>
          <w:szCs w:val="30"/>
        </w:rPr>
        <w:t>投标</w:t>
      </w:r>
      <w:r>
        <w:rPr>
          <w:rFonts w:hint="eastAsia" w:cs="宋体" w:asciiTheme="minorEastAsia" w:hAnsiTheme="minorEastAsia" w:eastAsiaTheme="minorEastAsia"/>
          <w:sz w:val="30"/>
          <w:szCs w:val="30"/>
        </w:rPr>
        <w:t>书</w:t>
      </w:r>
      <w:bookmarkEnd w:id="286"/>
      <w:bookmarkEnd w:id="287"/>
      <w:bookmarkEnd w:id="288"/>
      <w:bookmarkEnd w:id="289"/>
    </w:p>
    <w:p>
      <w:pPr>
        <w:pStyle w:val="22"/>
        <w:autoSpaceDE/>
        <w:autoSpaceDN/>
        <w:adjustRightInd/>
        <w:spacing w:line="520" w:lineRule="exact"/>
        <w:textAlignment w:val="auto"/>
        <w:rPr>
          <w:rFonts w:cs="宋体" w:asciiTheme="minorEastAsia" w:hAnsiTheme="minorEastAsia" w:eastAsiaTheme="minorEastAsia"/>
          <w:kern w:val="2"/>
          <w:szCs w:val="28"/>
        </w:rPr>
      </w:pPr>
      <w:r>
        <w:rPr>
          <w:rFonts w:hint="eastAsia" w:cs="宋体" w:asciiTheme="minorEastAsia" w:hAnsiTheme="minorEastAsia" w:eastAsiaTheme="minorEastAsia"/>
          <w:kern w:val="2"/>
          <w:szCs w:val="28"/>
        </w:rPr>
        <w:t>致：江门市财政局、江门市政府</w:t>
      </w:r>
      <w:r>
        <w:rPr>
          <w:rFonts w:hint="eastAsia" w:cs="宋体" w:asciiTheme="minorEastAsia" w:hAnsiTheme="minorEastAsia" w:eastAsiaTheme="minorEastAsia"/>
          <w:color w:val="000000" w:themeColor="text1"/>
          <w:kern w:val="2"/>
          <w:szCs w:val="28"/>
          <w14:textFill>
            <w14:solidFill>
              <w14:schemeClr w14:val="tx1"/>
            </w14:solidFill>
          </w14:textFill>
        </w:rPr>
        <w:t>采购</w:t>
      </w:r>
      <w:r>
        <w:rPr>
          <w:rFonts w:hint="eastAsia" w:cs="宋体" w:asciiTheme="minorEastAsia" w:hAnsiTheme="minorEastAsia" w:eastAsiaTheme="minorEastAsia"/>
          <w:kern w:val="2"/>
          <w:szCs w:val="28"/>
        </w:rPr>
        <w:t>中心</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根据贵方</w:t>
      </w:r>
      <w:r>
        <w:rPr>
          <w:rFonts w:cs="宋体" w:asciiTheme="minorEastAsia" w:hAnsiTheme="minorEastAsia" w:eastAsiaTheme="minorEastAsia"/>
          <w:sz w:val="28"/>
          <w:szCs w:val="28"/>
          <w:u w:val="single"/>
        </w:rPr>
        <w:t xml:space="preserve"> （项目名称）</w:t>
      </w:r>
      <w:r>
        <w:rPr>
          <w:rFonts w:hint="eastAsia" w:cs="宋体" w:asciiTheme="minorEastAsia" w:hAnsiTheme="minorEastAsia" w:eastAsiaTheme="minorEastAsia"/>
          <w:sz w:val="28"/>
          <w:szCs w:val="28"/>
        </w:rPr>
        <w:t>（</w:t>
      </w:r>
      <w:r>
        <w:rPr>
          <w:rFonts w:hint="eastAsia" w:cs="宋体" w:asciiTheme="minorEastAsia" w:hAnsiTheme="minorEastAsia" w:eastAsiaTheme="minorEastAsia"/>
          <w:color w:val="000000" w:themeColor="text1"/>
          <w:sz w:val="28"/>
          <w:szCs w:val="28"/>
          <w14:textFill>
            <w14:solidFill>
              <w14:schemeClr w14:val="tx1"/>
            </w14:solidFill>
          </w14:textFill>
        </w:rPr>
        <w:t>采购</w:t>
      </w:r>
      <w:r>
        <w:rPr>
          <w:rFonts w:hint="eastAsia" w:cs="宋体" w:asciiTheme="minorEastAsia" w:hAnsiTheme="minorEastAsia" w:eastAsiaTheme="minorEastAsia"/>
          <w:sz w:val="28"/>
          <w:szCs w:val="28"/>
        </w:rPr>
        <w:t>编号：</w:t>
      </w:r>
      <w:r>
        <w:rPr>
          <w:rFonts w:hint="eastAsia" w:cs="宋体" w:asciiTheme="minorEastAsia" w:hAnsiTheme="minorEastAsia" w:eastAsiaTheme="minorEastAsia"/>
          <w:sz w:val="28"/>
          <w:szCs w:val="28"/>
          <w:u w:val="single"/>
        </w:rPr>
        <w:t>JMGPC-202201</w:t>
      </w:r>
      <w:r>
        <w:rPr>
          <w:rFonts w:hint="eastAsia" w:cs="宋体" w:asciiTheme="minorEastAsia" w:hAnsiTheme="minorEastAsia" w:eastAsiaTheme="minorEastAsia"/>
          <w:sz w:val="28"/>
          <w:szCs w:val="28"/>
        </w:rPr>
        <w:t>）的投标邀请和招标文件，我方承诺如下：</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1.签字代表</w:t>
      </w:r>
      <w:r>
        <w:rPr>
          <w:rFonts w:hint="eastAsia" w:cs="宋体" w:asciiTheme="minorEastAsia" w:hAnsiTheme="minorEastAsia" w:eastAsiaTheme="minorEastAsia"/>
          <w:sz w:val="28"/>
          <w:szCs w:val="28"/>
          <w:u w:val="single"/>
        </w:rPr>
        <w:t>（姓名）</w:t>
      </w:r>
      <w:r>
        <w:rPr>
          <w:rFonts w:hint="eastAsia" w:cs="宋体" w:asciiTheme="minorEastAsia" w:hAnsiTheme="minorEastAsia" w:eastAsiaTheme="minorEastAsia"/>
          <w:sz w:val="28"/>
          <w:szCs w:val="28"/>
        </w:rPr>
        <w:t>经正式授权并代表我方</w:t>
      </w:r>
      <w:r>
        <w:rPr>
          <w:rFonts w:hint="eastAsia" w:cs="宋体" w:asciiTheme="minorEastAsia" w:hAnsiTheme="minorEastAsia" w:eastAsiaTheme="minorEastAsia"/>
          <w:sz w:val="28"/>
          <w:szCs w:val="28"/>
          <w:u w:val="single"/>
        </w:rPr>
        <w:t>（投标人名称）</w:t>
      </w:r>
      <w:r>
        <w:rPr>
          <w:rFonts w:hint="eastAsia" w:cs="宋体" w:asciiTheme="minorEastAsia" w:hAnsiTheme="minorEastAsia" w:eastAsiaTheme="minorEastAsia"/>
          <w:sz w:val="28"/>
          <w:szCs w:val="28"/>
        </w:rPr>
        <w:t>提交投标文件正本</w:t>
      </w:r>
      <w:r>
        <w:rPr>
          <w:rFonts w:cs="宋体" w:asciiTheme="minorEastAsia" w:hAnsiTheme="minorEastAsia" w:eastAsiaTheme="minorEastAsia"/>
          <w:sz w:val="28"/>
          <w:szCs w:val="28"/>
        </w:rPr>
        <w:t>1份和副本6份。</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2.我方愿意参加投标并在中标后按招标文件规定履行义务。</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3.我方在参与投标前已详细研究了招标文件的所有内容，包括澄清、修改文件（如果有）和所有已提供的参考资料以及有关附件，我方完全明白并认为此招标文件没</w:t>
      </w:r>
      <w:r>
        <w:rPr>
          <w:rFonts w:hint="eastAsia" w:cs="宋体" w:asciiTheme="minorEastAsia" w:hAnsiTheme="minorEastAsia" w:eastAsiaTheme="minorEastAsia"/>
          <w:sz w:val="28"/>
          <w:szCs w:val="28"/>
        </w:rPr>
        <w:t>有倾向性，也不存在排斥潜在投标人的内容，我方同意招标文件的相关条款，放弃对招标文件提出误解和质疑的一切权力。</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4.我方的投标文件中所提交的所有资料均是准确的和真实的，否则，我方愿意放弃中标的权利并接受</w:t>
      </w:r>
      <w:r>
        <w:rPr>
          <w:rFonts w:hint="eastAsia" w:cs="宋体" w:asciiTheme="minorEastAsia" w:hAnsiTheme="minorEastAsia" w:eastAsiaTheme="minorEastAsia"/>
          <w:sz w:val="28"/>
          <w:szCs w:val="28"/>
        </w:rPr>
        <w:t>有关</w:t>
      </w:r>
      <w:r>
        <w:rPr>
          <w:rFonts w:cs="宋体" w:asciiTheme="minorEastAsia" w:hAnsiTheme="minorEastAsia" w:eastAsiaTheme="minorEastAsia"/>
          <w:sz w:val="28"/>
          <w:szCs w:val="28"/>
        </w:rPr>
        <w:t>监督部门的处罚</w:t>
      </w:r>
      <w:r>
        <w:rPr>
          <w:rFonts w:hint="eastAsia" w:cs="宋体" w:asciiTheme="minorEastAsia" w:hAnsiTheme="minorEastAsia" w:eastAsiaTheme="minorEastAsia"/>
          <w:sz w:val="28"/>
          <w:szCs w:val="28"/>
        </w:rPr>
        <w:t>。</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5.投标有效期为90个日历日，从提交投标文件的截止之日起算。如中标，有效期将延至合同终止日为止。在此提交的资格证明文件均至投标截止日有效，如有在投标有效期内失效的，我方承诺在中标后补齐一切手续，保证所有资格证明文件能在签订合同时直至合同终止日有效。</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6.如果我方在开标后（投标有效期内）撤回投标文件的，我方愿意承担贵方由此而产生的损失。</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7.我方同意提供按照贵方可能要求的有关的一切资料，理解贵方不一定接受最低投标价或任何贵方可能收到的投标</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8.我方具备</w:t>
      </w:r>
      <w:r>
        <w:rPr>
          <w:rFonts w:hint="eastAsia" w:cs="宋体" w:asciiTheme="minorEastAsia" w:hAnsiTheme="minorEastAsia" w:eastAsiaTheme="minorEastAsia"/>
          <w:sz w:val="28"/>
          <w:szCs w:val="28"/>
        </w:rPr>
        <w:t>以下条件并承诺如下：</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1）我方参加本项目</w:t>
      </w:r>
      <w:r>
        <w:rPr>
          <w:rFonts w:hint="eastAsia" w:cs="宋体" w:asciiTheme="minorEastAsia" w:hAnsiTheme="minorEastAsia" w:eastAsiaTheme="minorEastAsia"/>
          <w:color w:val="000000" w:themeColor="text1"/>
          <w:sz w:val="28"/>
          <w:szCs w:val="28"/>
          <w14:textFill>
            <w14:solidFill>
              <w14:schemeClr w14:val="tx1"/>
            </w14:solidFill>
          </w14:textFill>
        </w:rPr>
        <w:t>招标</w:t>
      </w:r>
      <w:r>
        <w:rPr>
          <w:rFonts w:hint="eastAsia" w:cs="宋体" w:asciiTheme="minorEastAsia" w:hAnsiTheme="minorEastAsia" w:eastAsiaTheme="minorEastAsia"/>
          <w:sz w:val="28"/>
          <w:szCs w:val="28"/>
        </w:rPr>
        <w:t>活动前</w:t>
      </w:r>
      <w:r>
        <w:rPr>
          <w:rFonts w:cs="宋体" w:asciiTheme="minorEastAsia" w:hAnsiTheme="minorEastAsia" w:eastAsiaTheme="minorEastAsia"/>
          <w:sz w:val="28"/>
          <w:szCs w:val="28"/>
        </w:rPr>
        <w:t>3年内在经营活动中没有重大违法记录。</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r>
        <w:rPr>
          <w:rFonts w:cs="宋体" w:asciiTheme="minorEastAsia" w:hAnsiTheme="minorEastAsia" w:eastAsiaTheme="minorEastAsia"/>
          <w:sz w:val="28"/>
          <w:szCs w:val="28"/>
        </w:rPr>
        <w:t>2）我方符合法律、行政法规规定的其他条件。</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以上内容如有虚假或与事实不符的，评审委员会可将我方做无效投标处理，我方愿意承担相应的法律责任。</w:t>
      </w:r>
    </w:p>
    <w:p>
      <w:pPr>
        <w:pStyle w:val="20"/>
        <w:tabs>
          <w:tab w:val="left" w:pos="756"/>
          <w:tab w:val="left" w:pos="900"/>
          <w:tab w:val="left" w:pos="945"/>
        </w:tabs>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9.我方单独参加投标，</w:t>
      </w:r>
      <w:r>
        <w:rPr>
          <w:rFonts w:hint="eastAsia" w:cs="宋体" w:asciiTheme="minorEastAsia" w:hAnsiTheme="minorEastAsia" w:eastAsiaTheme="minorEastAsia"/>
          <w:sz w:val="28"/>
          <w:szCs w:val="28"/>
        </w:rPr>
        <w:t>不与其他企业组成联合体参加本项目投标。</w:t>
      </w:r>
    </w:p>
    <w:p>
      <w:pPr>
        <w:pStyle w:val="20"/>
        <w:tabs>
          <w:tab w:val="left" w:pos="756"/>
          <w:tab w:val="left" w:pos="900"/>
          <w:tab w:val="left" w:pos="945"/>
        </w:tabs>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10.我方承诺中标后不收取招标人委托代理的社会保险基金业务任何服务费、手续费。</w:t>
      </w:r>
    </w:p>
    <w:p>
      <w:pPr>
        <w:pStyle w:val="20"/>
        <w:tabs>
          <w:tab w:val="left" w:pos="756"/>
          <w:tab w:val="left" w:pos="900"/>
          <w:tab w:val="left" w:pos="945"/>
        </w:tabs>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11.我方不对本项目合同包含的服务进行分包和转包。</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12.我方与其他投标人不存在</w:t>
      </w:r>
      <w:r>
        <w:rPr>
          <w:rFonts w:hint="eastAsia" w:cs="宋体" w:asciiTheme="minorEastAsia" w:hAnsiTheme="minorEastAsia" w:eastAsiaTheme="minorEastAsia"/>
          <w:sz w:val="28"/>
          <w:szCs w:val="28"/>
        </w:rPr>
        <w:t>单位的法定代表人或负责人为同一人，或者存在直接控股、管理关系，或者隶属于同一总行、分行</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或支行</w:t>
      </w:r>
      <w:r>
        <w:rPr>
          <w:rFonts w:cs="宋体" w:asciiTheme="minorEastAsia" w:hAnsiTheme="minorEastAsia" w:eastAsiaTheme="minorEastAsia"/>
          <w:sz w:val="28"/>
          <w:szCs w:val="28"/>
        </w:rPr>
        <w:t>)</w:t>
      </w:r>
      <w:r>
        <w:rPr>
          <w:rFonts w:hint="eastAsia" w:cs="宋体" w:asciiTheme="minorEastAsia" w:hAnsiTheme="minorEastAsia" w:eastAsiaTheme="minorEastAsia"/>
          <w:sz w:val="28"/>
          <w:szCs w:val="28"/>
        </w:rPr>
        <w:t>。</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13.我方承诺未为本项目提供整体设计、规范编制或者项目管理、监理、检测等服务。</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14.我方对在本函及投标文件中所作的所有承诺承担法律责任。</w:t>
      </w:r>
    </w:p>
    <w:p>
      <w:pPr>
        <w:spacing w:line="520" w:lineRule="exact"/>
        <w:ind w:firstLine="560" w:firstLineChars="200"/>
        <w:rPr>
          <w:rFonts w:cs="宋体" w:asciiTheme="minorEastAsia" w:hAnsiTheme="minorEastAsia" w:eastAsiaTheme="minorEastAsia"/>
          <w:sz w:val="28"/>
          <w:szCs w:val="28"/>
        </w:rPr>
      </w:pPr>
      <w:r>
        <w:rPr>
          <w:rFonts w:cs="宋体" w:asciiTheme="minorEastAsia" w:hAnsiTheme="minorEastAsia" w:eastAsiaTheme="minorEastAsia"/>
          <w:sz w:val="28"/>
          <w:szCs w:val="28"/>
        </w:rPr>
        <w:t>15.与本投标有关的一切正式往来联系方式。</w:t>
      </w:r>
    </w:p>
    <w:p>
      <w:pPr>
        <w:spacing w:line="520" w:lineRule="exact"/>
        <w:ind w:firstLine="560" w:firstLineChars="20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地址：</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邮政编码：</w:t>
      </w:r>
      <w:r>
        <w:rPr>
          <w:rFonts w:cs="宋体" w:asciiTheme="minorEastAsia" w:hAnsiTheme="minorEastAsia" w:eastAsiaTheme="minorEastAsia"/>
          <w:sz w:val="28"/>
          <w:szCs w:val="28"/>
          <w:u w:val="single"/>
        </w:rPr>
        <w:t xml:space="preserve">                       </w:t>
      </w:r>
    </w:p>
    <w:p>
      <w:pPr>
        <w:spacing w:line="520" w:lineRule="exact"/>
        <w:ind w:firstLine="560" w:firstLineChars="20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联系人：</w:t>
      </w:r>
      <w:r>
        <w:rPr>
          <w:rFonts w:cs="宋体" w:asciiTheme="minorEastAsia" w:hAnsiTheme="minorEastAsia" w:eastAsiaTheme="minorEastAsia"/>
          <w:sz w:val="28"/>
          <w:szCs w:val="28"/>
          <w:u w:val="single"/>
        </w:rPr>
        <w:t xml:space="preserve">                         </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办公电话：</w:t>
      </w:r>
      <w:r>
        <w:rPr>
          <w:rFonts w:cs="宋体" w:asciiTheme="minorEastAsia" w:hAnsiTheme="minorEastAsia" w:eastAsiaTheme="minorEastAsia"/>
          <w:sz w:val="28"/>
          <w:szCs w:val="28"/>
          <w:u w:val="single"/>
        </w:rPr>
        <w:t xml:space="preserve">                       </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移动电话：</w:t>
      </w:r>
      <w:r>
        <w:rPr>
          <w:rFonts w:cs="宋体" w:asciiTheme="minorEastAsia" w:hAnsiTheme="minorEastAsia" w:eastAsiaTheme="minorEastAsia"/>
          <w:sz w:val="28"/>
          <w:szCs w:val="28"/>
          <w:u w:val="single"/>
        </w:rPr>
        <w:t xml:space="preserve">                       </w:t>
      </w:r>
    </w:p>
    <w:p>
      <w:pPr>
        <w:spacing w:line="52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传真：</w:t>
      </w:r>
      <w:r>
        <w:rPr>
          <w:rFonts w:cs="宋体" w:asciiTheme="minorEastAsia" w:hAnsiTheme="minorEastAsia" w:eastAsiaTheme="minorEastAsia"/>
          <w:sz w:val="28"/>
          <w:szCs w:val="28"/>
          <w:u w:val="single"/>
        </w:rPr>
        <w:t xml:space="preserve">                           </w:t>
      </w:r>
    </w:p>
    <w:p>
      <w:pPr>
        <w:spacing w:line="520" w:lineRule="exact"/>
        <w:ind w:firstLine="560" w:firstLineChars="20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电子邮箱：</w:t>
      </w:r>
      <w:r>
        <w:rPr>
          <w:rFonts w:cs="宋体" w:asciiTheme="minorEastAsia" w:hAnsiTheme="minorEastAsia" w:eastAsiaTheme="minorEastAsia"/>
          <w:sz w:val="28"/>
          <w:szCs w:val="28"/>
          <w:u w:val="single"/>
        </w:rPr>
        <w:t xml:space="preserve">                       </w:t>
      </w:r>
    </w:p>
    <w:p>
      <w:pPr>
        <w:spacing w:line="520" w:lineRule="exact"/>
        <w:ind w:firstLine="560" w:firstLineChars="200"/>
        <w:rPr>
          <w:rFonts w:cs="宋体" w:asciiTheme="minorEastAsia" w:hAnsiTheme="minorEastAsia" w:eastAsiaTheme="minorEastAsia"/>
          <w:sz w:val="28"/>
          <w:szCs w:val="28"/>
          <w:u w:val="single"/>
        </w:rPr>
      </w:pPr>
    </w:p>
    <w:p>
      <w:pPr>
        <w:spacing w:line="480" w:lineRule="exact"/>
        <w:ind w:firstLine="560" w:firstLineChars="200"/>
        <w:rPr>
          <w:rFonts w:cs="宋体" w:asciiTheme="minorEastAsia" w:hAnsiTheme="minorEastAsia" w:eastAsiaTheme="minorEastAsia"/>
          <w:sz w:val="28"/>
          <w:szCs w:val="28"/>
          <w:u w:val="single"/>
        </w:rPr>
      </w:pPr>
    </w:p>
    <w:p>
      <w:pPr>
        <w:spacing w:line="48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投标人名称：</w:t>
      </w:r>
      <w:r>
        <w:rPr>
          <w:rFonts w:cs="宋体" w:asciiTheme="minorEastAsia" w:hAnsiTheme="minorEastAsia" w:eastAsiaTheme="minorEastAsia"/>
          <w:sz w:val="28"/>
          <w:szCs w:val="28"/>
          <w:u w:val="single"/>
        </w:rPr>
        <w:t xml:space="preserve">            （盖公章）               </w:t>
      </w:r>
    </w:p>
    <w:p>
      <w:pPr>
        <w:spacing w:line="48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投标人代表姓名（签名或盖私章）：</w:t>
      </w:r>
      <w:r>
        <w:rPr>
          <w:rFonts w:cs="宋体" w:asciiTheme="minorEastAsia" w:hAnsiTheme="minorEastAsia" w:eastAsiaTheme="minorEastAsia"/>
          <w:sz w:val="28"/>
          <w:szCs w:val="28"/>
          <w:u w:val="single"/>
        </w:rPr>
        <w:t xml:space="preserve">                         </w:t>
      </w:r>
    </w:p>
    <w:p>
      <w:pPr>
        <w:spacing w:line="480" w:lineRule="exact"/>
        <w:rPr>
          <w:rFonts w:cs="宋体" w:asciiTheme="minorEastAsia" w:hAnsiTheme="minorEastAsia" w:eastAsiaTheme="minorEastAsia"/>
          <w:bCs/>
          <w:sz w:val="28"/>
          <w:szCs w:val="28"/>
        </w:rPr>
      </w:pPr>
      <w:r>
        <w:rPr>
          <w:rFonts w:hint="eastAsia" w:cs="宋体" w:asciiTheme="minorEastAsia" w:hAnsiTheme="minorEastAsia" w:eastAsiaTheme="minorEastAsia"/>
          <w:sz w:val="28"/>
          <w:szCs w:val="28"/>
        </w:rPr>
        <w:t>日期：</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年</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月</w:t>
      </w:r>
      <w:r>
        <w:rPr>
          <w:rFonts w:cs="宋体" w:asciiTheme="minorEastAsia" w:hAnsiTheme="minorEastAsia" w:eastAsiaTheme="minorEastAsia"/>
          <w:sz w:val="28"/>
          <w:szCs w:val="28"/>
          <w:u w:val="single"/>
        </w:rPr>
        <w:t xml:space="preserve">   </w:t>
      </w:r>
      <w:r>
        <w:rPr>
          <w:rFonts w:hint="eastAsia" w:cs="宋体" w:asciiTheme="minorEastAsia" w:hAnsiTheme="minorEastAsia" w:eastAsiaTheme="minorEastAsia"/>
          <w:sz w:val="28"/>
          <w:szCs w:val="28"/>
        </w:rPr>
        <w:t>日</w:t>
      </w:r>
      <w:r>
        <w:rPr>
          <w:rFonts w:cs="宋体" w:asciiTheme="minorEastAsia" w:hAnsiTheme="minorEastAsia" w:eastAsiaTheme="minorEastAsia"/>
          <w:sz w:val="28"/>
          <w:szCs w:val="28"/>
        </w:rPr>
        <w:t xml:space="preserve">  </w:t>
      </w:r>
    </w:p>
    <w:p>
      <w:pPr>
        <w:pStyle w:val="3"/>
        <w:spacing w:before="0" w:after="0" w:line="480" w:lineRule="exact"/>
        <w:rPr>
          <w:rFonts w:cs="宋体" w:asciiTheme="minorEastAsia" w:hAnsiTheme="minorEastAsia" w:eastAsiaTheme="minorEastAsia"/>
          <w:b w:val="0"/>
          <w:sz w:val="24"/>
          <w:szCs w:val="24"/>
        </w:rPr>
      </w:pPr>
      <w:r>
        <w:rPr>
          <w:rFonts w:cs="宋体" w:asciiTheme="minorEastAsia" w:hAnsiTheme="minorEastAsia" w:eastAsiaTheme="minorEastAsia"/>
          <w:bCs/>
          <w:sz w:val="24"/>
          <w:szCs w:val="24"/>
        </w:rPr>
        <w:br w:type="page"/>
      </w:r>
      <w:bookmarkStart w:id="290" w:name="_Toc32102"/>
      <w:r>
        <w:rPr>
          <w:rFonts w:hint="eastAsia" w:cs="宋体" w:asciiTheme="minorEastAsia" w:hAnsiTheme="minorEastAsia" w:eastAsiaTheme="minorEastAsia"/>
          <w:bCs/>
          <w:sz w:val="30"/>
          <w:szCs w:val="30"/>
        </w:rPr>
        <w:t>二、开标一览表</w:t>
      </w:r>
      <w:bookmarkEnd w:id="272"/>
      <w:bookmarkEnd w:id="273"/>
      <w:bookmarkEnd w:id="274"/>
      <w:bookmarkEnd w:id="275"/>
      <w:bookmarkEnd w:id="276"/>
      <w:bookmarkEnd w:id="290"/>
    </w:p>
    <w:p>
      <w:pPr>
        <w:tabs>
          <w:tab w:val="left" w:pos="654"/>
          <w:tab w:val="left" w:pos="1734"/>
          <w:tab w:val="left" w:pos="2814"/>
          <w:tab w:val="left" w:pos="3894"/>
          <w:tab w:val="left" w:pos="5334"/>
          <w:tab w:val="left" w:pos="6414"/>
          <w:tab w:val="left" w:pos="7254"/>
          <w:tab w:val="left" w:pos="8574"/>
          <w:tab w:val="left" w:pos="9654"/>
        </w:tabs>
        <w:spacing w:line="480" w:lineRule="exact"/>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cs="宋体" w:asciiTheme="minorEastAsia" w:hAnsiTheme="minorEastAsia" w:eastAsiaTheme="minorEastAsia"/>
          <w:sz w:val="24"/>
        </w:rPr>
      </w:pPr>
      <w:r>
        <w:rPr>
          <w:rFonts w:hint="eastAsia" w:cs="宋体" w:asciiTheme="minorEastAsia" w:hAnsiTheme="minorEastAsia" w:eastAsiaTheme="minorEastAsia"/>
          <w:b/>
          <w:bCs/>
          <w:color w:val="000000" w:themeColor="text1"/>
          <w:sz w:val="24"/>
          <w14:textFill>
            <w14:solidFill>
              <w14:schemeClr w14:val="tx1"/>
            </w14:solidFill>
          </w14:textFill>
        </w:rPr>
        <w:t>采购</w:t>
      </w:r>
      <w:r>
        <w:rPr>
          <w:rFonts w:hint="eastAsia" w:cs="宋体" w:asciiTheme="minorEastAsia" w:hAnsiTheme="minorEastAsia" w:eastAsiaTheme="minorEastAsia"/>
          <w:b/>
          <w:bCs/>
          <w:sz w:val="24"/>
        </w:rPr>
        <w:t>编号：</w:t>
      </w:r>
      <w:r>
        <w:rPr>
          <w:rFonts w:cs="宋体" w:asciiTheme="minorEastAsia" w:hAnsiTheme="minorEastAsia" w:eastAsiaTheme="minorEastAsia"/>
          <w:b/>
          <w:sz w:val="24"/>
        </w:rPr>
        <w:t xml:space="preserve"> </w:t>
      </w:r>
      <w:r>
        <w:rPr>
          <w:rFonts w:hint="eastAsia" w:cs="宋体" w:asciiTheme="minorEastAsia" w:hAnsiTheme="minorEastAsia" w:eastAsiaTheme="minorEastAsia"/>
          <w:b/>
          <w:sz w:val="24"/>
        </w:rPr>
        <w:t>JMGPC-202201</w:t>
      </w:r>
      <w:r>
        <w:rPr>
          <w:rFonts w:cs="宋体" w:asciiTheme="minorEastAsia" w:hAnsiTheme="minorEastAsia" w:eastAsiaTheme="minorEastAsia"/>
          <w:b/>
          <w:sz w:val="24"/>
        </w:rPr>
        <w:t xml:space="preserve"> </w:t>
      </w:r>
      <w:r>
        <w:rPr>
          <w:rFonts w:cs="宋体" w:asciiTheme="minorEastAsia" w:hAnsiTheme="minorEastAsia" w:eastAsiaTheme="minorEastAsia"/>
          <w:sz w:val="24"/>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89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28"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投标人名称</w:t>
            </w:r>
          </w:p>
        </w:tc>
        <w:tc>
          <w:tcPr>
            <w:tcW w:w="2895"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服务期</w:t>
            </w:r>
          </w:p>
        </w:tc>
        <w:tc>
          <w:tcPr>
            <w:tcW w:w="1483" w:type="dxa"/>
            <w:tcBorders>
              <w:top w:val="single" w:color="auto" w:sz="4" w:space="0"/>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28" w:type="dxa"/>
            <w:vMerge w:val="restart"/>
            <w:tcBorders>
              <w:top w:val="single" w:color="auto" w:sz="4" w:space="0"/>
              <w:left w:val="single" w:color="auto" w:sz="4" w:space="0"/>
              <w:right w:val="single" w:color="auto" w:sz="4" w:space="0"/>
            </w:tcBorders>
            <w:vAlign w:val="center"/>
          </w:tcPr>
          <w:p>
            <w:pPr>
              <w:rPr>
                <w:rFonts w:cs="宋体" w:asciiTheme="minorEastAsia" w:hAnsiTheme="minorEastAsia" w:eastAsiaTheme="minorEastAsia"/>
                <w:b/>
                <w:bCs/>
                <w:sz w:val="24"/>
              </w:rPr>
            </w:pPr>
          </w:p>
        </w:tc>
        <w:tc>
          <w:tcPr>
            <w:tcW w:w="2895" w:type="dxa"/>
            <w:vMerge w:val="restart"/>
            <w:tcBorders>
              <w:top w:val="single" w:color="auto" w:sz="4" w:space="0"/>
              <w:left w:val="single" w:color="000000"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宋体" w:asciiTheme="minorEastAsia" w:hAnsiTheme="minorEastAsia" w:eastAsiaTheme="minorEastAsia"/>
                <w:sz w:val="24"/>
              </w:rPr>
            </w:pPr>
            <w:r>
              <w:rPr>
                <w:rFonts w:hint="eastAsia" w:cs="宋体" w:asciiTheme="minorEastAsia" w:hAnsiTheme="minorEastAsia" w:eastAsiaTheme="minorEastAsia"/>
                <w:sz w:val="24"/>
              </w:rPr>
              <w:t>合同签订之日起两年。</w:t>
            </w:r>
          </w:p>
        </w:tc>
        <w:tc>
          <w:tcPr>
            <w:tcW w:w="1483" w:type="dxa"/>
            <w:vMerge w:val="restart"/>
            <w:tcBorders>
              <w:top w:val="single" w:color="auto" w:sz="4" w:space="0"/>
              <w:left w:val="single" w:color="000000"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28" w:type="dxa"/>
            <w:vMerge w:val="continue"/>
            <w:tcBorders>
              <w:left w:val="single" w:color="auto" w:sz="4" w:space="0"/>
              <w:bottom w:val="single" w:color="auto" w:sz="4" w:space="0"/>
              <w:right w:val="single" w:color="auto" w:sz="4" w:space="0"/>
            </w:tcBorders>
            <w:vAlign w:val="center"/>
          </w:tcPr>
          <w:p>
            <w:pPr>
              <w:rPr>
                <w:rFonts w:cs="宋体" w:asciiTheme="minorEastAsia" w:hAnsiTheme="minorEastAsia" w:eastAsiaTheme="minorEastAsia"/>
                <w:b/>
                <w:bCs/>
                <w:sz w:val="24"/>
              </w:rPr>
            </w:pPr>
          </w:p>
        </w:tc>
        <w:tc>
          <w:tcPr>
            <w:tcW w:w="2895" w:type="dxa"/>
            <w:vMerge w:val="continue"/>
            <w:tcBorders>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宋体" w:asciiTheme="minorEastAsia" w:hAnsiTheme="minorEastAsia" w:eastAsiaTheme="minorEastAsia"/>
                <w:sz w:val="24"/>
              </w:rPr>
            </w:pPr>
          </w:p>
        </w:tc>
        <w:tc>
          <w:tcPr>
            <w:tcW w:w="1483" w:type="dxa"/>
            <w:vMerge w:val="continue"/>
            <w:tcBorders>
              <w:left w:val="single" w:color="000000"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宋体" w:asciiTheme="minorEastAsia" w:hAnsiTheme="minorEastAsia" w:eastAsiaTheme="minorEastAsia"/>
                <w:sz w:val="24"/>
              </w:rPr>
            </w:pPr>
          </w:p>
        </w:tc>
      </w:tr>
    </w:tbl>
    <w:p>
      <w:pPr>
        <w:tabs>
          <w:tab w:val="left" w:pos="654"/>
          <w:tab w:val="left" w:pos="1734"/>
          <w:tab w:val="left" w:pos="2814"/>
          <w:tab w:val="left" w:pos="3894"/>
          <w:tab w:val="left" w:pos="5334"/>
          <w:tab w:val="left" w:pos="6414"/>
          <w:tab w:val="left" w:pos="7254"/>
          <w:tab w:val="left" w:pos="8574"/>
          <w:tab w:val="left" w:pos="9654"/>
        </w:tabs>
        <w:spacing w:line="520" w:lineRule="exact"/>
        <w:ind w:left="851" w:hanging="851"/>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ind w:left="851" w:hanging="851"/>
        <w:rPr>
          <w:rFonts w:cs="宋体" w:asciiTheme="minorEastAsia" w:hAnsiTheme="minorEastAsia" w:eastAsiaTheme="minorEastAsia"/>
          <w:sz w:val="28"/>
        </w:rPr>
      </w:pPr>
      <w:r>
        <w:rPr>
          <w:rFonts w:hint="eastAsia" w:cs="宋体" w:asciiTheme="minorEastAsia" w:hAnsiTheme="minorEastAsia" w:eastAsiaTheme="minorEastAsia"/>
          <w:sz w:val="28"/>
        </w:rPr>
        <w:t>要求：</w:t>
      </w:r>
    </w:p>
    <w:p>
      <w:pPr>
        <w:tabs>
          <w:tab w:val="left" w:pos="654"/>
          <w:tab w:val="left" w:pos="1734"/>
          <w:tab w:val="left" w:pos="2814"/>
          <w:tab w:val="left" w:pos="3894"/>
          <w:tab w:val="left" w:pos="5334"/>
          <w:tab w:val="left" w:pos="6414"/>
          <w:tab w:val="left" w:pos="7254"/>
          <w:tab w:val="left" w:pos="8574"/>
          <w:tab w:val="left" w:pos="9654"/>
        </w:tabs>
        <w:spacing w:line="520" w:lineRule="exact"/>
        <w:ind w:firstLine="560" w:firstLineChars="200"/>
        <w:rPr>
          <w:rFonts w:cs="宋体" w:asciiTheme="minorEastAsia" w:hAnsiTheme="minorEastAsia" w:eastAsiaTheme="minorEastAsia"/>
          <w:sz w:val="28"/>
        </w:rPr>
      </w:pPr>
      <w:r>
        <w:rPr>
          <w:rFonts w:cs="宋体" w:asciiTheme="minorEastAsia" w:hAnsiTheme="minorEastAsia" w:eastAsiaTheme="minorEastAsia"/>
          <w:sz w:val="28"/>
        </w:rPr>
        <w:t>1.为了方便开启投标文件时唱标，投标人应将正本中的本表复制一份（加盖公章），单独密封于一小信封内，并在该信封上标明“开标一览表”字样，然后再装入投标文件正本的密封袋中。如用于唱标的本表与投标文件正本中的本表不一致的，以唱标的本表为准。</w:t>
      </w:r>
    </w:p>
    <w:p>
      <w:pPr>
        <w:tabs>
          <w:tab w:val="left" w:pos="654"/>
          <w:tab w:val="left" w:pos="1734"/>
          <w:tab w:val="left" w:pos="2814"/>
          <w:tab w:val="left" w:pos="3894"/>
          <w:tab w:val="left" w:pos="5334"/>
          <w:tab w:val="left" w:pos="6414"/>
          <w:tab w:val="left" w:pos="7254"/>
          <w:tab w:val="left" w:pos="8574"/>
          <w:tab w:val="left" w:pos="9654"/>
        </w:tabs>
        <w:spacing w:line="520" w:lineRule="exact"/>
        <w:ind w:firstLine="560" w:firstLineChars="200"/>
        <w:rPr>
          <w:rFonts w:cs="宋体" w:asciiTheme="minorEastAsia" w:hAnsiTheme="minorEastAsia" w:eastAsiaTheme="minorEastAsia"/>
          <w:sz w:val="28"/>
        </w:rPr>
      </w:pPr>
      <w:r>
        <w:rPr>
          <w:rFonts w:cs="宋体" w:asciiTheme="minorEastAsia" w:hAnsiTheme="minorEastAsia" w:eastAsiaTheme="minorEastAsia"/>
          <w:sz w:val="28"/>
        </w:rPr>
        <w:t>2.投标人认为有必要说明而本表中无相应栏目的，请在“备注”一栏中说明。</w:t>
      </w: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ind w:left="851" w:hanging="851"/>
        <w:rPr>
          <w:rFonts w:cs="宋体" w:asciiTheme="minorEastAsia" w:hAnsiTheme="minorEastAsia" w:eastAsiaTheme="minorEastAsia"/>
          <w:b/>
          <w:sz w:val="28"/>
        </w:rPr>
      </w:pPr>
      <w:r>
        <w:rPr>
          <w:rFonts w:hint="eastAsia" w:cs="宋体" w:asciiTheme="minorEastAsia" w:hAnsiTheme="minorEastAsia" w:eastAsiaTheme="minorEastAsia"/>
          <w:b/>
          <w:sz w:val="28"/>
        </w:rPr>
        <w:t>投标人代表签字（或盖私章）及盖公章：</w:t>
      </w:r>
      <w:r>
        <w:rPr>
          <w:rFonts w:cs="宋体" w:asciiTheme="minorEastAsia" w:hAnsiTheme="minorEastAsia" w:eastAsiaTheme="minorEastAsia"/>
          <w:b/>
          <w:sz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2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cs="宋体" w:asciiTheme="minorEastAsia" w:hAnsiTheme="minorEastAsia" w:eastAsiaTheme="minorEastAsia"/>
          <w:sz w:val="24"/>
        </w:rPr>
      </w:pPr>
    </w:p>
    <w:p>
      <w:pPr>
        <w:pStyle w:val="3"/>
        <w:spacing w:before="0" w:after="0" w:line="480" w:lineRule="exact"/>
        <w:ind w:firstLine="602" w:firstLineChars="200"/>
        <w:rPr>
          <w:rFonts w:cs="宋体" w:asciiTheme="minorEastAsia" w:hAnsiTheme="minorEastAsia" w:eastAsiaTheme="minorEastAsia"/>
          <w:bCs/>
          <w:sz w:val="30"/>
          <w:szCs w:val="30"/>
        </w:rPr>
      </w:pPr>
      <w:bookmarkStart w:id="291" w:name="_Toc42313997"/>
      <w:bookmarkStart w:id="292" w:name="_Toc480171911"/>
      <w:bookmarkStart w:id="293" w:name="_Toc427075990"/>
      <w:bookmarkStart w:id="294" w:name="_Toc22720289"/>
      <w:bookmarkStart w:id="295" w:name="_Toc51041296"/>
      <w:bookmarkStart w:id="296" w:name="_Toc8379"/>
      <w:bookmarkStart w:id="297" w:name="_Toc480010742"/>
      <w:bookmarkStart w:id="298" w:name="_Toc479991616"/>
      <w:bookmarkStart w:id="299" w:name="_Toc424744645"/>
      <w:bookmarkStart w:id="300" w:name="_Toc468157569"/>
      <w:bookmarkStart w:id="301" w:name="_Toc468606064"/>
      <w:bookmarkStart w:id="302" w:name="_Toc467987856"/>
      <w:bookmarkStart w:id="303" w:name="_Toc480020289"/>
      <w:bookmarkStart w:id="304" w:name="_Toc480021085"/>
      <w:bookmarkStart w:id="305" w:name="_Toc399231657"/>
      <w:r>
        <w:rPr>
          <w:rFonts w:hint="eastAsia" w:cs="宋体" w:asciiTheme="minorEastAsia" w:hAnsiTheme="minorEastAsia" w:eastAsiaTheme="minorEastAsia"/>
          <w:bCs/>
          <w:sz w:val="30"/>
          <w:szCs w:val="30"/>
        </w:rPr>
        <w:t>三、</w:t>
      </w:r>
      <w:bookmarkEnd w:id="291"/>
      <w:bookmarkEnd w:id="292"/>
      <w:bookmarkEnd w:id="293"/>
      <w:bookmarkEnd w:id="294"/>
      <w:bookmarkEnd w:id="295"/>
      <w:r>
        <w:rPr>
          <w:rFonts w:hint="eastAsia" w:cs="宋体" w:asciiTheme="minorEastAsia" w:hAnsiTheme="minorEastAsia" w:eastAsiaTheme="minorEastAsia"/>
          <w:bCs/>
          <w:sz w:val="30"/>
          <w:szCs w:val="30"/>
        </w:rPr>
        <w:t>项目整体实施方案</w:t>
      </w:r>
      <w:bookmarkEnd w:id="296"/>
    </w:p>
    <w:p>
      <w:pPr>
        <w:pStyle w:val="4"/>
        <w:tabs>
          <w:tab w:val="left" w:pos="8280"/>
        </w:tabs>
        <w:spacing w:line="520" w:lineRule="exact"/>
        <w:ind w:firstLine="0"/>
        <w:rPr>
          <w:rFonts w:cs="宋体" w:asciiTheme="minorEastAsia" w:hAnsiTheme="minorEastAsia" w:eastAsiaTheme="minorEastAsia"/>
          <w:b/>
          <w:sz w:val="28"/>
          <w:szCs w:val="24"/>
        </w:rPr>
      </w:pPr>
    </w:p>
    <w:p>
      <w:pPr>
        <w:pStyle w:val="4"/>
        <w:tabs>
          <w:tab w:val="left" w:pos="8280"/>
        </w:tabs>
        <w:spacing w:line="520" w:lineRule="exact"/>
        <w:ind w:firstLine="0"/>
        <w:rPr>
          <w:rFonts w:cs="宋体" w:asciiTheme="minorEastAsia" w:hAnsiTheme="minorEastAsia" w:eastAsiaTheme="minorEastAsia"/>
          <w:b/>
          <w:sz w:val="28"/>
          <w:szCs w:val="24"/>
          <w:u w:val="single"/>
        </w:rPr>
      </w:pPr>
      <w:r>
        <w:rPr>
          <w:rFonts w:hint="eastAsia" w:cs="宋体" w:asciiTheme="minorEastAsia" w:hAnsiTheme="minorEastAsia" w:eastAsiaTheme="minorEastAsia"/>
          <w:b/>
          <w:sz w:val="28"/>
          <w:szCs w:val="24"/>
        </w:rPr>
        <w:t>投标人名称：</w:t>
      </w:r>
      <w:r>
        <w:rPr>
          <w:rFonts w:cs="宋体" w:asciiTheme="minorEastAsia" w:hAnsiTheme="minorEastAsia" w:eastAsiaTheme="minorEastAsia"/>
          <w:b/>
          <w:sz w:val="28"/>
          <w:szCs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r>
        <w:rPr>
          <w:rFonts w:hint="eastAsia" w:cs="宋体" w:asciiTheme="minorEastAsia" w:hAnsiTheme="minorEastAsia" w:eastAsiaTheme="minorEastAsia"/>
          <w:sz w:val="28"/>
        </w:rPr>
        <w:t>主要内容应包括：</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1.业务的组织（包括业务组织架构，参与业务的人员配备和素质、管理体系等）；</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2.对广东非税收入管理一体化平台接口银行端基本功能的描述；</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3.业务处理流程；</w:t>
      </w:r>
    </w:p>
    <w:p>
      <w:pPr>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4.明确税收入岗位职责，建立健全内部操作规程，加强网络和设备的维护，并指定专人负责“江门市非税收入汇缴户”的对帐等工作措施；</w:t>
      </w:r>
    </w:p>
    <w:p>
      <w:pPr>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5.做好业务培训工作，保证市内所有营业网点的相关工作人员均能熟练掌握非税收入收缴业务措施。</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6.保证按招标人要求的办理资金及时、安全、准确汇划的措施；</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7.划拨资金、汇总、报表处理措施；</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8.信息反馈的措施、手段；</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9.配合江门市财政局开展支付电子化措施；</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10.在本项目使用的计算机软、硬件及相关设备；</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11.紧急业务处理程序和时间限定；</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12.保密措施；</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13.对财政部门的其他服务承诺和优惠措施；</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14.纠错处理措施；</w:t>
      </w:r>
    </w:p>
    <w:p>
      <w:pPr>
        <w:adjustRightInd w:val="0"/>
        <w:snapToGrid w:val="0"/>
        <w:spacing w:line="520" w:lineRule="exact"/>
        <w:ind w:firstLine="548" w:firstLineChars="196"/>
        <w:rPr>
          <w:rFonts w:cs="宋体" w:asciiTheme="minorEastAsia" w:hAnsiTheme="minorEastAsia" w:eastAsiaTheme="minorEastAsia"/>
          <w:sz w:val="28"/>
        </w:rPr>
      </w:pPr>
      <w:r>
        <w:rPr>
          <w:rFonts w:hint="eastAsia" w:cs="宋体" w:asciiTheme="minorEastAsia" w:hAnsiTheme="minorEastAsia" w:eastAsiaTheme="minorEastAsia"/>
          <w:sz w:val="28"/>
        </w:rPr>
        <w:t>15. 若中标人之间发生两个或两个以上法人重组合并的，且条件不低于原中标人投标条件的，按照合并后法人履约。若中标人发生法人机构拆分为两个或两个以上的法人机构，或者撤销在江门市辖区（蓬江区、江海区、新会区）范围内依法设立总行、分行</w:t>
      </w:r>
      <w:r>
        <w:rPr>
          <w:rFonts w:cs="宋体" w:asciiTheme="minorEastAsia" w:hAnsiTheme="minorEastAsia" w:eastAsiaTheme="minorEastAsia"/>
          <w:sz w:val="28"/>
        </w:rPr>
        <w:t>(</w:t>
      </w:r>
      <w:r>
        <w:rPr>
          <w:rFonts w:hint="eastAsia" w:cs="宋体" w:asciiTheme="minorEastAsia" w:hAnsiTheme="minorEastAsia" w:eastAsiaTheme="minorEastAsia"/>
          <w:sz w:val="28"/>
        </w:rPr>
        <w:t>或支行</w:t>
      </w:r>
      <w:r>
        <w:rPr>
          <w:rFonts w:cs="宋体" w:asciiTheme="minorEastAsia" w:hAnsiTheme="minorEastAsia" w:eastAsiaTheme="minorEastAsia"/>
          <w:sz w:val="28"/>
        </w:rPr>
        <w:t>)</w:t>
      </w:r>
      <w:r>
        <w:rPr>
          <w:rFonts w:hint="eastAsia" w:cs="宋体" w:asciiTheme="minorEastAsia" w:hAnsiTheme="minorEastAsia" w:eastAsiaTheme="minorEastAsia"/>
          <w:sz w:val="28"/>
        </w:rPr>
        <w:t>的，则从发生之日起本项目有关政府采购合同自动解除。</w:t>
      </w:r>
    </w:p>
    <w:p>
      <w:pPr>
        <w:adjustRightInd w:val="0"/>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16.</w:t>
      </w:r>
      <w:r>
        <w:rPr>
          <w:rFonts w:cs="宋体" w:asciiTheme="minorEastAsia" w:hAnsiTheme="minorEastAsia" w:eastAsiaTheme="minorEastAsia"/>
          <w:sz w:val="28"/>
        </w:rPr>
        <w:t xml:space="preserve"> 投标人认为需要加以说明的其他内容。</w:t>
      </w: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8"/>
        </w:rPr>
      </w:pPr>
    </w:p>
    <w:p>
      <w:pPr>
        <w:pStyle w:val="4"/>
        <w:spacing w:line="520" w:lineRule="exact"/>
        <w:ind w:firstLine="0"/>
        <w:rPr>
          <w:rFonts w:cs="宋体" w:asciiTheme="minorEastAsia" w:hAnsiTheme="minorEastAsia" w:eastAsiaTheme="minorEastAsia"/>
          <w:sz w:val="28"/>
          <w:szCs w:val="24"/>
        </w:rPr>
      </w:pPr>
    </w:p>
    <w:p>
      <w:pPr>
        <w:spacing w:line="520" w:lineRule="exact"/>
        <w:rPr>
          <w:rFonts w:cs="宋体" w:asciiTheme="minorEastAsia" w:hAnsiTheme="minorEastAsia" w:eastAsiaTheme="minorEastAsia"/>
          <w:b/>
          <w:sz w:val="28"/>
          <w:u w:val="single"/>
        </w:rPr>
      </w:pPr>
      <w:r>
        <w:rPr>
          <w:rFonts w:hint="eastAsia" w:cs="宋体" w:asciiTheme="minorEastAsia" w:hAnsiTheme="minorEastAsia" w:eastAsiaTheme="minorEastAsia"/>
          <w:b/>
          <w:sz w:val="28"/>
        </w:rPr>
        <w:t>投标人代表签字（或盖私章）及盖公章：</w:t>
      </w:r>
      <w:r>
        <w:rPr>
          <w:rFonts w:cs="宋体" w:asciiTheme="minorEastAsia" w:hAnsiTheme="minorEastAsia" w:eastAsiaTheme="minorEastAsia"/>
          <w:b/>
          <w:sz w:val="28"/>
          <w:u w:val="single"/>
        </w:rPr>
        <w:t xml:space="preserve">                             </w:t>
      </w:r>
    </w:p>
    <w:p>
      <w:pPr>
        <w:spacing w:line="520" w:lineRule="exact"/>
        <w:rPr>
          <w:rFonts w:cs="宋体" w:asciiTheme="minorEastAsia" w:hAnsiTheme="minorEastAsia" w:eastAsiaTheme="minorEastAsia"/>
          <w:b/>
          <w:sz w:val="24"/>
          <w:u w:val="single"/>
        </w:rPr>
      </w:pPr>
    </w:p>
    <w:p>
      <w:pPr>
        <w:spacing w:line="520" w:lineRule="exact"/>
        <w:rPr>
          <w:rFonts w:cs="宋体" w:asciiTheme="minorEastAsia" w:hAnsiTheme="minorEastAsia" w:eastAsiaTheme="minorEastAsia"/>
          <w:b/>
          <w:sz w:val="24"/>
          <w:u w:val="single"/>
        </w:rPr>
      </w:pPr>
    </w:p>
    <w:p>
      <w:pPr>
        <w:spacing w:line="520" w:lineRule="exact"/>
        <w:rPr>
          <w:rFonts w:cs="宋体" w:asciiTheme="minorEastAsia" w:hAnsiTheme="minorEastAsia" w:eastAsiaTheme="minorEastAsia"/>
          <w:b/>
          <w:sz w:val="24"/>
          <w:u w:val="single"/>
        </w:rPr>
      </w:pPr>
    </w:p>
    <w:p>
      <w:pPr>
        <w:spacing w:line="520" w:lineRule="exact"/>
        <w:rPr>
          <w:rFonts w:cs="宋体" w:asciiTheme="minorEastAsia" w:hAnsiTheme="minorEastAsia" w:eastAsiaTheme="minorEastAsia"/>
          <w:b/>
          <w:sz w:val="24"/>
          <w:u w:val="single"/>
        </w:rPr>
      </w:pPr>
    </w:p>
    <w:p>
      <w:pPr>
        <w:spacing w:line="520" w:lineRule="exact"/>
        <w:rPr>
          <w:rFonts w:cs="宋体" w:asciiTheme="minorEastAsia" w:hAnsiTheme="minorEastAsia" w:eastAsiaTheme="minorEastAsia"/>
          <w:b/>
          <w:sz w:val="24"/>
          <w:u w:val="single"/>
        </w:rPr>
      </w:pPr>
    </w:p>
    <w:p>
      <w:pPr>
        <w:spacing w:line="520" w:lineRule="exact"/>
        <w:rPr>
          <w:rFonts w:cs="宋体" w:asciiTheme="minorEastAsia" w:hAnsiTheme="minorEastAsia" w:eastAsiaTheme="minorEastAsia"/>
          <w:b/>
          <w:sz w:val="24"/>
          <w:u w:val="single"/>
        </w:rPr>
      </w:pPr>
    </w:p>
    <w:p>
      <w:pPr>
        <w:pStyle w:val="3"/>
        <w:spacing w:before="0" w:after="0" w:line="480" w:lineRule="exact"/>
        <w:ind w:firstLine="602" w:firstLineChars="200"/>
        <w:rPr>
          <w:rFonts w:cs="宋体" w:asciiTheme="minorEastAsia" w:hAnsiTheme="minorEastAsia" w:eastAsiaTheme="minorEastAsia"/>
          <w:bCs/>
          <w:sz w:val="30"/>
          <w:szCs w:val="30"/>
        </w:rPr>
      </w:pPr>
      <w:bookmarkStart w:id="306" w:name="_Toc370201851"/>
      <w:bookmarkStart w:id="307" w:name="_Toc401669364"/>
      <w:bookmarkStart w:id="308" w:name="_Toc389724709"/>
      <w:bookmarkStart w:id="309" w:name="_Toc427075992"/>
      <w:bookmarkStart w:id="310" w:name="_Toc5967"/>
      <w:r>
        <w:rPr>
          <w:rFonts w:hint="eastAsia" w:cs="宋体" w:asciiTheme="minorEastAsia" w:hAnsiTheme="minorEastAsia" w:eastAsiaTheme="minorEastAsia"/>
          <w:bCs/>
          <w:sz w:val="30"/>
          <w:szCs w:val="30"/>
        </w:rPr>
        <w:t>四、</w:t>
      </w:r>
      <w:bookmarkEnd w:id="306"/>
      <w:bookmarkEnd w:id="307"/>
      <w:bookmarkEnd w:id="308"/>
      <w:bookmarkEnd w:id="309"/>
      <w:r>
        <w:rPr>
          <w:rFonts w:hint="eastAsia" w:cs="宋体" w:asciiTheme="minorEastAsia" w:hAnsiTheme="minorEastAsia" w:eastAsiaTheme="minorEastAsia"/>
          <w:bCs/>
          <w:sz w:val="30"/>
          <w:szCs w:val="30"/>
        </w:rPr>
        <w:t>业务情况一览表</w:t>
      </w:r>
      <w:bookmarkEnd w:id="310"/>
    </w:p>
    <w:p>
      <w:pPr>
        <w:tabs>
          <w:tab w:val="left" w:pos="654"/>
          <w:tab w:val="left" w:pos="1734"/>
          <w:tab w:val="left" w:pos="2814"/>
          <w:tab w:val="left" w:pos="3894"/>
          <w:tab w:val="left" w:pos="5334"/>
          <w:tab w:val="left" w:pos="6414"/>
          <w:tab w:val="left" w:pos="7254"/>
          <w:tab w:val="left" w:pos="8574"/>
          <w:tab w:val="left" w:pos="9654"/>
        </w:tabs>
        <w:spacing w:line="36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投标人名称：</w:t>
      </w:r>
      <w:r>
        <w:rPr>
          <w:rFonts w:cs="宋体" w:asciiTheme="minorEastAsia" w:hAnsiTheme="minorEastAsia" w:eastAsiaTheme="minorEastAsia"/>
          <w:b/>
          <w:sz w:val="24"/>
          <w:u w:val="single"/>
        </w:rPr>
        <w:t xml:space="preserve">                    </w:t>
      </w:r>
    </w:p>
    <w:tbl>
      <w:tblPr>
        <w:tblStyle w:val="37"/>
        <w:tblW w:w="8804" w:type="dxa"/>
        <w:tblInd w:w="93" w:type="dxa"/>
        <w:tblLayout w:type="autofit"/>
        <w:tblCellMar>
          <w:top w:w="0" w:type="dxa"/>
          <w:left w:w="108" w:type="dxa"/>
          <w:bottom w:w="0" w:type="dxa"/>
          <w:right w:w="108" w:type="dxa"/>
        </w:tblCellMar>
      </w:tblPr>
      <w:tblGrid>
        <w:gridCol w:w="1288"/>
        <w:gridCol w:w="3972"/>
        <w:gridCol w:w="655"/>
        <w:gridCol w:w="2889"/>
      </w:tblGrid>
      <w:tr>
        <w:tblPrEx>
          <w:tblCellMar>
            <w:top w:w="0" w:type="dxa"/>
            <w:left w:w="108" w:type="dxa"/>
            <w:bottom w:w="0" w:type="dxa"/>
            <w:right w:w="108" w:type="dxa"/>
          </w:tblCellMar>
        </w:tblPrEx>
        <w:trPr>
          <w:trHeight w:val="332" w:hRule="atLeast"/>
        </w:trPr>
        <w:tc>
          <w:tcPr>
            <w:tcW w:w="128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项目</w:t>
            </w:r>
          </w:p>
        </w:tc>
        <w:tc>
          <w:tcPr>
            <w:tcW w:w="397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指标名称</w:t>
            </w:r>
          </w:p>
        </w:tc>
        <w:tc>
          <w:tcPr>
            <w:tcW w:w="65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数值</w:t>
            </w:r>
          </w:p>
        </w:tc>
        <w:tc>
          <w:tcPr>
            <w:tcW w:w="288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备注</w:t>
            </w:r>
          </w:p>
        </w:tc>
      </w:tr>
      <w:tr>
        <w:tblPrEx>
          <w:tblCellMar>
            <w:top w:w="0" w:type="dxa"/>
            <w:left w:w="108" w:type="dxa"/>
            <w:bottom w:w="0" w:type="dxa"/>
            <w:right w:w="108" w:type="dxa"/>
          </w:tblCellMar>
        </w:tblPrEx>
        <w:trPr>
          <w:trHeight w:val="1085" w:hRule="atLeast"/>
        </w:trPr>
        <w:tc>
          <w:tcPr>
            <w:tcW w:w="1288" w:type="dxa"/>
            <w:vMerge w:val="restart"/>
            <w:tcBorders>
              <w:top w:val="nil"/>
              <w:left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经营状况及安全性指标【江门市全市数据】</w:t>
            </w: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r>
              <w:rPr>
                <w:rFonts w:hint="eastAsia" w:asciiTheme="minorEastAsia" w:hAnsiTheme="minorEastAsia" w:eastAsiaTheme="minorEastAsia"/>
                <w:szCs w:val="21"/>
              </w:rPr>
              <w:t xml:space="preserve"> </w:t>
            </w:r>
            <w:r>
              <w:rPr>
                <w:rFonts w:hint="eastAsia" w:cs="宋体" w:asciiTheme="minorEastAsia" w:hAnsiTheme="minorEastAsia" w:eastAsiaTheme="minorEastAsia"/>
                <w:color w:val="000000"/>
                <w:kern w:val="0"/>
                <w:szCs w:val="21"/>
              </w:rPr>
              <w:t>2021年银行业机构综合评估情况：人民银行江门市中心支行出具的2021年度银行业机构综合评估结果</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以人民银行江门市中心支行对投标人2021年的银行业机构综合评估评定数据为准</w:t>
            </w:r>
          </w:p>
        </w:tc>
      </w:tr>
      <w:tr>
        <w:tblPrEx>
          <w:tblCellMar>
            <w:top w:w="0" w:type="dxa"/>
            <w:left w:w="108" w:type="dxa"/>
            <w:bottom w:w="0" w:type="dxa"/>
            <w:right w:w="108" w:type="dxa"/>
          </w:tblCellMar>
        </w:tblPrEx>
        <w:trPr>
          <w:trHeight w:val="980" w:hRule="atLeast"/>
        </w:trPr>
        <w:tc>
          <w:tcPr>
            <w:tcW w:w="1288"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r>
              <w:rPr>
                <w:rFonts w:hint="eastAsia" w:asciiTheme="minorEastAsia" w:hAnsiTheme="minorEastAsia" w:eastAsiaTheme="minorEastAsia"/>
                <w:szCs w:val="21"/>
              </w:rPr>
              <w:t xml:space="preserve"> </w:t>
            </w:r>
            <w:r>
              <w:rPr>
                <w:rFonts w:hint="eastAsia" w:cs="宋体" w:asciiTheme="minorEastAsia" w:hAnsiTheme="minorEastAsia" w:eastAsiaTheme="minorEastAsia"/>
                <w:color w:val="000000"/>
                <w:kern w:val="0"/>
                <w:szCs w:val="21"/>
              </w:rPr>
              <w:t>.网点数：截止2021年12月31日投标人在江门市内设立的营业网点数及自助银行数总和</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以投标人上报银监局的非现场监管系统数据为准</w:t>
            </w:r>
          </w:p>
        </w:tc>
      </w:tr>
      <w:tr>
        <w:tblPrEx>
          <w:tblCellMar>
            <w:top w:w="0" w:type="dxa"/>
            <w:left w:w="108" w:type="dxa"/>
            <w:bottom w:w="0" w:type="dxa"/>
            <w:right w:w="108" w:type="dxa"/>
          </w:tblCellMar>
        </w:tblPrEx>
        <w:trPr>
          <w:trHeight w:val="399" w:hRule="atLeast"/>
        </w:trPr>
        <w:tc>
          <w:tcPr>
            <w:tcW w:w="1288"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非税业务及网点数量指标（全市数据）</w:t>
            </w: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r>
              <w:rPr>
                <w:rFonts w:hint="eastAsia" w:asciiTheme="minorEastAsia" w:hAnsiTheme="minorEastAsia" w:eastAsiaTheme="minorEastAsia"/>
                <w:szCs w:val="21"/>
              </w:rPr>
              <w:t xml:space="preserve"> </w:t>
            </w:r>
            <w:r>
              <w:rPr>
                <w:rFonts w:hint="eastAsia" w:cs="宋体" w:asciiTheme="minorEastAsia" w:hAnsiTheme="minorEastAsia" w:eastAsiaTheme="minorEastAsia"/>
                <w:color w:val="000000"/>
                <w:kern w:val="0"/>
                <w:szCs w:val="21"/>
              </w:rPr>
              <w:t>2021年通过广东非税收入管理一体化平台代理江门市全市（市本级及四市三区）非税业务数量： 2021年8-12月投标人代理全市非税业务总数量。(笔)</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vMerge w:val="restart"/>
            <w:tcBorders>
              <w:top w:val="nil"/>
              <w:left w:val="nil"/>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广东非税收入管理一体化平台的开发公司出具的相关证明</w:t>
            </w:r>
          </w:p>
        </w:tc>
      </w:tr>
      <w:tr>
        <w:tblPrEx>
          <w:tblCellMar>
            <w:top w:w="0" w:type="dxa"/>
            <w:left w:w="108" w:type="dxa"/>
            <w:bottom w:w="0" w:type="dxa"/>
            <w:right w:w="108" w:type="dxa"/>
          </w:tblCellMar>
        </w:tblPrEx>
        <w:trPr>
          <w:trHeight w:val="185" w:hRule="atLeast"/>
        </w:trPr>
        <w:tc>
          <w:tcPr>
            <w:tcW w:w="1288"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r>
              <w:rPr>
                <w:rFonts w:hint="eastAsia" w:asciiTheme="minorEastAsia" w:hAnsiTheme="minorEastAsia" w:eastAsiaTheme="minorEastAsia"/>
                <w:szCs w:val="21"/>
              </w:rPr>
              <w:t xml:space="preserve"> </w:t>
            </w:r>
            <w:r>
              <w:rPr>
                <w:rFonts w:hint="eastAsia" w:cs="宋体" w:asciiTheme="minorEastAsia" w:hAnsiTheme="minorEastAsia" w:eastAsiaTheme="minorEastAsia"/>
                <w:color w:val="000000"/>
                <w:kern w:val="0"/>
                <w:szCs w:val="21"/>
              </w:rPr>
              <w:t>2021年通过广东非税收入管理一体化平台代理江门市全市（市本级及四市三区）非税业务金额：2021年8-12月投标人代理江门市全市（市本级及四市三区）非税业务总金额（万元）。</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vMerge w:val="continue"/>
            <w:tcBorders>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46" w:hRule="atLeast"/>
        </w:trPr>
        <w:tc>
          <w:tcPr>
            <w:tcW w:w="1288" w:type="dxa"/>
            <w:vMerge w:val="restart"/>
            <w:tcBorders>
              <w:top w:val="nil"/>
              <w:left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服务质量指标</w:t>
            </w: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r>
              <w:rPr>
                <w:rFonts w:hint="eastAsia" w:asciiTheme="minorEastAsia" w:hAnsiTheme="minorEastAsia" w:eastAsiaTheme="minorEastAsia"/>
                <w:szCs w:val="21"/>
              </w:rPr>
              <w:t xml:space="preserve"> </w:t>
            </w:r>
            <w:r>
              <w:rPr>
                <w:rFonts w:hint="eastAsia" w:cs="宋体" w:asciiTheme="minorEastAsia" w:hAnsiTheme="minorEastAsia" w:eastAsiaTheme="minorEastAsia"/>
                <w:color w:val="000000"/>
                <w:kern w:val="0"/>
                <w:szCs w:val="21"/>
              </w:rPr>
              <w:t>中标人业务系统应实现与广东非税收入管理一体化平台对接，满足江门市财政非税收缴电子化实施要求。</w:t>
            </w:r>
          </w:p>
        </w:tc>
        <w:tc>
          <w:tcPr>
            <w:tcW w:w="655"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广东非税收入管理一体化平台的开发公司出具的相关证明或投标人的承诺书</w:t>
            </w:r>
          </w:p>
        </w:tc>
      </w:tr>
      <w:tr>
        <w:tblPrEx>
          <w:tblCellMar>
            <w:top w:w="0" w:type="dxa"/>
            <w:left w:w="108" w:type="dxa"/>
            <w:bottom w:w="0" w:type="dxa"/>
            <w:right w:w="108" w:type="dxa"/>
          </w:tblCellMar>
        </w:tblPrEx>
        <w:trPr>
          <w:trHeight w:val="346" w:hRule="atLeast"/>
        </w:trPr>
        <w:tc>
          <w:tcPr>
            <w:tcW w:w="1288" w:type="dxa"/>
            <w:vMerge w:val="continue"/>
            <w:tcBorders>
              <w:left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2.协同对接广东非税收入管理一体化平台提供微信、支付宝、银联云闪付等线上类型便民缴款渠道</w:t>
            </w:r>
          </w:p>
        </w:tc>
        <w:tc>
          <w:tcPr>
            <w:tcW w:w="655"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相关证明文件。</w:t>
            </w:r>
          </w:p>
        </w:tc>
      </w:tr>
      <w:tr>
        <w:tblPrEx>
          <w:tblCellMar>
            <w:top w:w="0" w:type="dxa"/>
            <w:left w:w="108" w:type="dxa"/>
            <w:bottom w:w="0" w:type="dxa"/>
            <w:right w:w="108" w:type="dxa"/>
          </w:tblCellMar>
        </w:tblPrEx>
        <w:trPr>
          <w:trHeight w:val="346" w:hRule="atLeast"/>
        </w:trPr>
        <w:tc>
          <w:tcPr>
            <w:tcW w:w="1288" w:type="dxa"/>
            <w:vMerge w:val="continue"/>
            <w:tcBorders>
              <w:left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3.技术保障，按投标人服务承诺，具备满足江门市财政专户业务需要的资金汇划清算系统，并承担自身网络安全问题方面的有关责任，具备先进的信息反馈系统，能够及时、全面、准确地反馈财政非税业务信息。</w:t>
            </w:r>
          </w:p>
        </w:tc>
        <w:tc>
          <w:tcPr>
            <w:tcW w:w="655"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相关证明文件或服务承诺</w:t>
            </w:r>
          </w:p>
        </w:tc>
      </w:tr>
      <w:tr>
        <w:tblPrEx>
          <w:tblCellMar>
            <w:top w:w="0" w:type="dxa"/>
            <w:left w:w="108" w:type="dxa"/>
            <w:bottom w:w="0" w:type="dxa"/>
            <w:right w:w="108" w:type="dxa"/>
          </w:tblCellMar>
        </w:tblPrEx>
        <w:trPr>
          <w:trHeight w:val="1850" w:hRule="atLeast"/>
        </w:trPr>
        <w:tc>
          <w:tcPr>
            <w:tcW w:w="1288" w:type="dxa"/>
            <w:vMerge w:val="continue"/>
            <w:tcBorders>
              <w:left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4.是否接入广东省统一公共支付平台。</w:t>
            </w:r>
          </w:p>
        </w:tc>
        <w:tc>
          <w:tcPr>
            <w:tcW w:w="655"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 w:val="24"/>
              </w:rPr>
              <w:t>需提供北京市太极华青信息系统有</w:t>
            </w:r>
            <w:r>
              <w:rPr>
                <w:rFonts w:hint="eastAsia" w:cs="宋体" w:asciiTheme="minorEastAsia" w:hAnsiTheme="minorEastAsia" w:eastAsiaTheme="minorEastAsia"/>
                <w:color w:val="000000"/>
                <w:kern w:val="0"/>
                <w:sz w:val="24"/>
              </w:rPr>
              <w:t>限公司出具的相关证明</w:t>
            </w:r>
            <w:r>
              <w:rPr>
                <w:rFonts w:hint="eastAsia" w:cs="宋体" w:asciiTheme="minorEastAsia" w:hAnsiTheme="minorEastAsia" w:eastAsiaTheme="minorEastAsia"/>
                <w:color w:val="000000"/>
                <w:kern w:val="0"/>
                <w:szCs w:val="21"/>
              </w:rPr>
              <w:t>或投标人的承诺书</w:t>
            </w:r>
          </w:p>
        </w:tc>
      </w:tr>
      <w:tr>
        <w:tblPrEx>
          <w:tblCellMar>
            <w:top w:w="0" w:type="dxa"/>
            <w:left w:w="108" w:type="dxa"/>
            <w:bottom w:w="0" w:type="dxa"/>
            <w:right w:w="108" w:type="dxa"/>
          </w:tblCellMar>
        </w:tblPrEx>
        <w:trPr>
          <w:trHeight w:val="277" w:hRule="atLeast"/>
        </w:trPr>
        <w:tc>
          <w:tcPr>
            <w:tcW w:w="1288" w:type="dxa"/>
            <w:vMerge w:val="continue"/>
            <w:tcBorders>
              <w:left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5.服务方案，按投标人服务承诺，结算的及时、准确性及应急处理、纠错措施与效率。</w:t>
            </w:r>
          </w:p>
        </w:tc>
        <w:tc>
          <w:tcPr>
            <w:tcW w:w="655"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single" w:color="auto" w:sz="4" w:space="0"/>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服务方案</w:t>
            </w:r>
          </w:p>
        </w:tc>
      </w:tr>
      <w:tr>
        <w:tblPrEx>
          <w:tblCellMar>
            <w:top w:w="0" w:type="dxa"/>
            <w:left w:w="108" w:type="dxa"/>
            <w:bottom w:w="0" w:type="dxa"/>
            <w:right w:w="108" w:type="dxa"/>
          </w:tblCellMar>
        </w:tblPrEx>
        <w:trPr>
          <w:trHeight w:val="850" w:hRule="atLeast"/>
        </w:trPr>
        <w:tc>
          <w:tcPr>
            <w:tcW w:w="1288" w:type="dxa"/>
            <w:vMerge w:val="continue"/>
            <w:tcBorders>
              <w:left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6.服务人员，专人沟通配合方案推进，包括专人、专门成立该存放服务小组，及时沟通解决问题，及时进行报表和有关账单送达等。</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相关证明文件或服务承诺</w:t>
            </w:r>
          </w:p>
        </w:tc>
      </w:tr>
      <w:tr>
        <w:tblPrEx>
          <w:tblCellMar>
            <w:top w:w="0" w:type="dxa"/>
            <w:left w:w="108" w:type="dxa"/>
            <w:bottom w:w="0" w:type="dxa"/>
            <w:right w:w="108" w:type="dxa"/>
          </w:tblCellMar>
        </w:tblPrEx>
        <w:trPr>
          <w:trHeight w:val="708" w:hRule="atLeast"/>
        </w:trPr>
        <w:tc>
          <w:tcPr>
            <w:tcW w:w="1288" w:type="dxa"/>
            <w:vMerge w:val="continue"/>
            <w:tcBorders>
              <w:left w:val="single" w:color="auto" w:sz="4" w:space="0"/>
              <w:bottom w:val="single" w:color="000000"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7.划入待核销非税款项的管理措施。</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以投标人提供的管理措施为准。</w:t>
            </w:r>
          </w:p>
        </w:tc>
      </w:tr>
      <w:tr>
        <w:tblPrEx>
          <w:tblCellMar>
            <w:top w:w="0" w:type="dxa"/>
            <w:left w:w="108" w:type="dxa"/>
            <w:bottom w:w="0" w:type="dxa"/>
            <w:right w:w="108" w:type="dxa"/>
          </w:tblCellMar>
        </w:tblPrEx>
        <w:trPr>
          <w:trHeight w:val="708" w:hRule="atLeast"/>
        </w:trPr>
        <w:tc>
          <w:tcPr>
            <w:tcW w:w="1288" w:type="dxa"/>
            <w:vMerge w:val="continue"/>
            <w:tcBorders>
              <w:left w:val="single" w:color="auto" w:sz="4" w:space="0"/>
              <w:bottom w:val="single" w:color="000000"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rPr>
              <w:t>8.</w:t>
            </w:r>
            <w:r>
              <w:rPr>
                <w:rFonts w:hint="eastAsia"/>
              </w:rPr>
              <w:t xml:space="preserve"> </w:t>
            </w:r>
            <w:r>
              <w:rPr>
                <w:rFonts w:hint="eastAsia" w:cs="宋体" w:asciiTheme="minorEastAsia" w:hAnsiTheme="minorEastAsia" w:eastAsiaTheme="minorEastAsia"/>
                <w:color w:val="000000"/>
                <w:kern w:val="0"/>
                <w:sz w:val="24"/>
              </w:rPr>
              <w:t>2021年财政性资金存放银行考评结果</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以江门市财政局出具的《</w:t>
            </w:r>
            <w:r>
              <w:rPr>
                <w:rFonts w:cs="宋体" w:asciiTheme="minorEastAsia" w:hAnsiTheme="minorEastAsia" w:eastAsiaTheme="minorEastAsia"/>
                <w:kern w:val="0"/>
                <w:szCs w:val="21"/>
              </w:rPr>
              <w:t>2021年财政性资金存放银行考评结果的函》评定分数为依据</w:t>
            </w:r>
          </w:p>
        </w:tc>
      </w:tr>
      <w:tr>
        <w:tblPrEx>
          <w:tblCellMar>
            <w:top w:w="0" w:type="dxa"/>
            <w:left w:w="108" w:type="dxa"/>
            <w:bottom w:w="0" w:type="dxa"/>
            <w:right w:w="108" w:type="dxa"/>
          </w:tblCellMar>
        </w:tblPrEx>
        <w:trPr>
          <w:trHeight w:val="1135" w:hRule="atLeast"/>
        </w:trPr>
        <w:tc>
          <w:tcPr>
            <w:tcW w:w="1288" w:type="dxa"/>
            <w:vMerge w:val="restart"/>
            <w:tcBorders>
              <w:top w:val="nil"/>
              <w:left w:val="single" w:color="auto" w:sz="4" w:space="0"/>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支持地方经济的贡献度指标（全市数据）</w:t>
            </w: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1．截止2022年3月“信易贷”平台累计成功贷款笔数：截止2022年3月投标人在“信易贷”平台累计成功贷款笔数（笔）</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“信易贷”平台即为全国中小企业融资综合信用服务平台，以江门市发改局、江门市金融局的通报数据为准</w:t>
            </w:r>
          </w:p>
        </w:tc>
      </w:tr>
      <w:tr>
        <w:tblPrEx>
          <w:tblCellMar>
            <w:top w:w="0" w:type="dxa"/>
            <w:left w:w="108" w:type="dxa"/>
            <w:bottom w:w="0" w:type="dxa"/>
            <w:right w:w="108" w:type="dxa"/>
          </w:tblCellMar>
        </w:tblPrEx>
        <w:trPr>
          <w:trHeight w:val="1135"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2．截止2022年3月“信易贷”平台累计成功贷款金额：截止2022年3月投标人在“信易贷”平台累计成功贷款金额（万元）</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“信易贷”平台即为全国中小企业融资综合信用服务平台，以江门市发改局、江门市金融局的通报数据为准</w:t>
            </w:r>
          </w:p>
        </w:tc>
      </w:tr>
      <w:tr>
        <w:tblPrEx>
          <w:tblCellMar>
            <w:top w:w="0" w:type="dxa"/>
            <w:left w:w="108" w:type="dxa"/>
            <w:bottom w:w="0" w:type="dxa"/>
            <w:right w:w="108" w:type="dxa"/>
          </w:tblCellMar>
        </w:tblPrEx>
        <w:trPr>
          <w:trHeight w:val="1135"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3．2021年1月-12月新增发放“政采贷”融资业务（线上）笔数：投标人2021年1月-12月新增发放“政采贷”融资业务（线上）笔数（笔）</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以投标人在“中征应收账款融资服务平台”系统数据截图为准，不提供截图不得分</w:t>
            </w:r>
          </w:p>
        </w:tc>
      </w:tr>
      <w:tr>
        <w:tblPrEx>
          <w:tblCellMar>
            <w:top w:w="0" w:type="dxa"/>
            <w:left w:w="108" w:type="dxa"/>
            <w:bottom w:w="0" w:type="dxa"/>
            <w:right w:w="108" w:type="dxa"/>
          </w:tblCellMar>
        </w:tblPrEx>
        <w:trPr>
          <w:trHeight w:val="1135"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4．2021年1月-12月新增发放“政采贷”融资业务（线上）金额：投标人2021年1月-12月新增发放“政采贷”融资业务（线上）金额（万元）</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以投标人在“中征应收账款融资服务平台”系统数据截图为准，不提供截图不得分</w:t>
            </w:r>
          </w:p>
        </w:tc>
      </w:tr>
      <w:tr>
        <w:tblPrEx>
          <w:tblCellMar>
            <w:top w:w="0" w:type="dxa"/>
            <w:left w:w="108" w:type="dxa"/>
            <w:bottom w:w="0" w:type="dxa"/>
            <w:right w:w="108" w:type="dxa"/>
          </w:tblCellMar>
        </w:tblPrEx>
        <w:trPr>
          <w:trHeight w:val="1656"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5．截止2021年12月31日对全市小微企业贷款余额：截止2021年12月31日投标人对江门市全市（市本级及四市三区）小型和微型企业贷款余额。（万元）</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以投标人上报人民银行的金融统计检测管理信息系统数据为准，按人民银行金融统计制度本外币口径填报，该数据以上报人民银行《大中小企业贷款统计表》小型企业跟微型企业贷款数据为准</w:t>
            </w:r>
          </w:p>
        </w:tc>
      </w:tr>
      <w:tr>
        <w:tblPrEx>
          <w:tblCellMar>
            <w:top w:w="0" w:type="dxa"/>
            <w:left w:w="108" w:type="dxa"/>
            <w:bottom w:w="0" w:type="dxa"/>
            <w:right w:w="108" w:type="dxa"/>
          </w:tblCellMar>
        </w:tblPrEx>
        <w:trPr>
          <w:trHeight w:val="1812"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 截止2021年12月31日对全市房地产业贷款余额：截止2021年12月31日投标人对全市房地产业贷款余额（万元）（全市数据）</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以投标人上报人民银行的金融统计检测管理信息系统数据为准，按人民银行金融统计制度本外币口径填报，该数据以上报人民银行《贷款分行业统计月报表》中指标名称“K.房地产业”数据为准</w:t>
            </w:r>
          </w:p>
        </w:tc>
      </w:tr>
      <w:tr>
        <w:tblPrEx>
          <w:tblCellMar>
            <w:top w:w="0" w:type="dxa"/>
            <w:left w:w="108" w:type="dxa"/>
            <w:bottom w:w="0" w:type="dxa"/>
            <w:right w:w="108" w:type="dxa"/>
          </w:tblCellMar>
        </w:tblPrEx>
        <w:trPr>
          <w:trHeight w:val="287" w:hRule="atLeast"/>
        </w:trPr>
        <w:tc>
          <w:tcPr>
            <w:tcW w:w="1288"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p>
        </w:tc>
        <w:tc>
          <w:tcPr>
            <w:tcW w:w="3972"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7．截止2021年12月31日对全市制造业贷款余额：截止2021年12月31日投标人对全市制造业贷款余额（万元）</w:t>
            </w:r>
          </w:p>
        </w:tc>
        <w:tc>
          <w:tcPr>
            <w:tcW w:w="655" w:type="dxa"/>
            <w:tcBorders>
              <w:top w:val="nil"/>
              <w:left w:val="nil"/>
              <w:bottom w:val="single" w:color="auto" w:sz="4" w:space="0"/>
              <w:right w:val="single" w:color="auto" w:sz="4" w:space="0"/>
            </w:tcBorders>
            <w:vAlign w:val="center"/>
          </w:tcPr>
          <w:p>
            <w:pPr>
              <w:widowControl/>
              <w:spacing w:line="28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2889" w:type="dxa"/>
            <w:tcBorders>
              <w:top w:val="nil"/>
              <w:left w:val="single" w:color="auto" w:sz="4" w:space="0"/>
              <w:bottom w:val="single" w:color="000000" w:sz="4" w:space="0"/>
              <w:right w:val="single" w:color="auto" w:sz="4" w:space="0"/>
            </w:tcBorders>
            <w:vAlign w:val="center"/>
          </w:tcPr>
          <w:p>
            <w:pPr>
              <w:widowControl/>
              <w:spacing w:line="28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以投标人上报人民银行的金融统计监测管理信息系统数据为准，按人民银行金融统计制度本外币口径填报，该数据以上报人民银行《贷款分行业统计月报表》中指标名称“C.制造业”数据为准</w:t>
            </w:r>
          </w:p>
        </w:tc>
      </w:tr>
    </w:tbl>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4"/>
        </w:rPr>
      </w:pP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要求：</w:t>
      </w: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1.此表按评分表内容填写，如此表内容与评分表内容不一致的，以评分表内容为准。</w:t>
      </w: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2.把所有证明资料按顺序附在本一览表后面。</w:t>
      </w:r>
    </w:p>
    <w:p>
      <w:pPr>
        <w:tabs>
          <w:tab w:val="left" w:pos="654"/>
          <w:tab w:val="left" w:pos="1734"/>
          <w:tab w:val="left" w:pos="2814"/>
          <w:tab w:val="left" w:pos="3894"/>
          <w:tab w:val="left" w:pos="5334"/>
          <w:tab w:val="left" w:pos="6414"/>
          <w:tab w:val="left" w:pos="7254"/>
          <w:tab w:val="left" w:pos="8574"/>
          <w:tab w:val="left" w:pos="9654"/>
        </w:tabs>
        <w:spacing w:line="520" w:lineRule="exact"/>
        <w:rPr>
          <w:rFonts w:cs="宋体" w:asciiTheme="minorEastAsia" w:hAnsiTheme="minorEastAsia" w:eastAsiaTheme="minorEastAsia"/>
          <w:sz w:val="24"/>
        </w:rPr>
      </w:pPr>
      <w:r>
        <w:rPr>
          <w:rFonts w:hint="eastAsia" w:cs="宋体" w:asciiTheme="minorEastAsia" w:hAnsiTheme="minorEastAsia" w:eastAsiaTheme="minorEastAsia"/>
          <w:sz w:val="24"/>
        </w:rPr>
        <w:t>3.投标人在响应建议中列出具体数值，如果投标人只注明“符合”、“满足”、“差不多”、“接近”等不明确表述的，将导致评审专家委员会拒绝其投标。</w:t>
      </w:r>
    </w:p>
    <w:p>
      <w:pPr>
        <w:spacing w:line="520" w:lineRule="exact"/>
        <w:rPr>
          <w:rFonts w:cs="宋体" w:asciiTheme="minorEastAsia" w:hAnsiTheme="minorEastAsia" w:eastAsiaTheme="minorEastAsia"/>
          <w:b/>
          <w:sz w:val="24"/>
        </w:rPr>
      </w:pPr>
    </w:p>
    <w:p>
      <w:pPr>
        <w:spacing w:line="520" w:lineRule="exact"/>
        <w:ind w:firstLine="3132" w:firstLineChars="1300"/>
        <w:rPr>
          <w:rFonts w:cs="宋体" w:asciiTheme="minorEastAsia" w:hAnsiTheme="minorEastAsia" w:eastAsiaTheme="minorEastAsia"/>
          <w:b/>
          <w:sz w:val="24"/>
        </w:rPr>
      </w:pPr>
    </w:p>
    <w:p>
      <w:pPr>
        <w:spacing w:line="520" w:lineRule="exact"/>
        <w:rPr>
          <w:rFonts w:cs="宋体" w:asciiTheme="minorEastAsia" w:hAnsiTheme="minorEastAsia" w:eastAsiaTheme="minorEastAsia"/>
          <w:b/>
          <w:sz w:val="24"/>
        </w:rPr>
      </w:pPr>
    </w:p>
    <w:p>
      <w:pPr>
        <w:spacing w:line="520" w:lineRule="exact"/>
        <w:rPr>
          <w:rFonts w:cs="宋体" w:asciiTheme="minorEastAsia" w:hAnsiTheme="minorEastAsia" w:eastAsiaTheme="minorEastAsia"/>
          <w:b/>
          <w:sz w:val="24"/>
          <w:u w:val="single"/>
        </w:rPr>
      </w:pPr>
      <w:r>
        <w:rPr>
          <w:rFonts w:hint="eastAsia" w:cs="宋体" w:asciiTheme="minorEastAsia" w:hAnsiTheme="minorEastAsia" w:eastAsiaTheme="minorEastAsia"/>
          <w:b/>
          <w:sz w:val="24"/>
        </w:rPr>
        <w:t>投标人代表签字（或盖私章）及盖公章：</w:t>
      </w:r>
      <w:r>
        <w:rPr>
          <w:rFonts w:cs="宋体" w:asciiTheme="minorEastAsia" w:hAnsiTheme="minorEastAsia" w:eastAsiaTheme="minorEastAsia"/>
          <w:b/>
          <w:sz w:val="24"/>
          <w:u w:val="single"/>
        </w:rPr>
        <w:t xml:space="preserve">                     </w:t>
      </w:r>
      <w:bookmarkEnd w:id="297"/>
      <w:bookmarkEnd w:id="298"/>
      <w:bookmarkEnd w:id="299"/>
      <w:bookmarkEnd w:id="300"/>
      <w:bookmarkEnd w:id="301"/>
      <w:bookmarkEnd w:id="302"/>
      <w:bookmarkEnd w:id="303"/>
      <w:bookmarkEnd w:id="304"/>
      <w:bookmarkEnd w:id="305"/>
      <w:bookmarkStart w:id="311" w:name="_Toc35233729"/>
    </w:p>
    <w:p>
      <w:pPr>
        <w:pStyle w:val="4"/>
        <w:spacing w:line="520" w:lineRule="exact"/>
        <w:rPr>
          <w:rFonts w:cs="宋体" w:asciiTheme="minorEastAsia" w:hAnsiTheme="minorEastAsia" w:eastAsiaTheme="minorEastAsia"/>
          <w:bCs/>
          <w:sz w:val="24"/>
          <w:szCs w:val="24"/>
        </w:rPr>
      </w:pPr>
    </w:p>
    <w:p>
      <w:pPr>
        <w:pStyle w:val="4"/>
        <w:spacing w:line="520" w:lineRule="exact"/>
        <w:rPr>
          <w:rFonts w:cs="宋体" w:asciiTheme="minorEastAsia" w:hAnsiTheme="minorEastAsia" w:eastAsiaTheme="minorEastAsia"/>
          <w:bCs/>
          <w:sz w:val="24"/>
          <w:szCs w:val="24"/>
        </w:rPr>
      </w:pPr>
    </w:p>
    <w:p>
      <w:pPr>
        <w:spacing w:line="520" w:lineRule="exact"/>
        <w:rPr>
          <w:rFonts w:cs="宋体" w:asciiTheme="minorEastAsia" w:hAnsiTheme="minorEastAsia" w:eastAsiaTheme="minorEastAsia"/>
          <w:bCs/>
          <w:szCs w:val="30"/>
        </w:rPr>
      </w:pPr>
      <w:r>
        <w:rPr>
          <w:rFonts w:hint="eastAsia" w:cs="宋体" w:asciiTheme="minorEastAsia" w:hAnsiTheme="minorEastAsia" w:eastAsiaTheme="minorEastAsia"/>
          <w:bCs/>
          <w:szCs w:val="30"/>
        </w:rPr>
        <w:br w:type="page"/>
      </w:r>
    </w:p>
    <w:p>
      <w:pPr>
        <w:pStyle w:val="3"/>
        <w:spacing w:before="0" w:after="0" w:line="480" w:lineRule="exact"/>
        <w:rPr>
          <w:rFonts w:cs="宋体" w:asciiTheme="minorEastAsia" w:hAnsiTheme="minorEastAsia" w:eastAsiaTheme="minorEastAsia"/>
          <w:bCs/>
          <w:sz w:val="30"/>
          <w:szCs w:val="30"/>
        </w:rPr>
      </w:pPr>
      <w:bookmarkStart w:id="312" w:name="_Toc26376"/>
      <w:r>
        <w:rPr>
          <w:rFonts w:hint="eastAsia" w:cs="宋体" w:asciiTheme="minorEastAsia" w:hAnsiTheme="minorEastAsia" w:eastAsiaTheme="minorEastAsia"/>
          <w:bCs/>
          <w:sz w:val="30"/>
          <w:szCs w:val="30"/>
        </w:rPr>
        <w:t>五、</w:t>
      </w:r>
      <w:bookmarkEnd w:id="311"/>
      <w:bookmarkStart w:id="313" w:name="_Toc35233731"/>
      <w:bookmarkStart w:id="314" w:name="_Toc480021092"/>
      <w:bookmarkStart w:id="315" w:name="_Toc464021124"/>
      <w:bookmarkStart w:id="316" w:name="_Toc468157577"/>
      <w:bookmarkStart w:id="317" w:name="_Toc468606072"/>
      <w:bookmarkStart w:id="318" w:name="_Toc467236781"/>
      <w:bookmarkStart w:id="319" w:name="_Toc480010749"/>
      <w:bookmarkStart w:id="320" w:name="_Toc480020296"/>
      <w:bookmarkStart w:id="321" w:name="_Toc479991624"/>
      <w:bookmarkStart w:id="322" w:name="_Toc467035692"/>
      <w:bookmarkStart w:id="323" w:name="_Toc467987864"/>
      <w:bookmarkStart w:id="324" w:name="_Toc480171921"/>
      <w:r>
        <w:rPr>
          <w:rFonts w:hint="eastAsia" w:cs="宋体" w:asciiTheme="minorEastAsia" w:hAnsiTheme="minorEastAsia" w:eastAsiaTheme="minorEastAsia"/>
          <w:bCs/>
          <w:sz w:val="30"/>
          <w:szCs w:val="30"/>
        </w:rPr>
        <w:t>授权委托书</w:t>
      </w:r>
      <w:bookmarkEnd w:id="312"/>
    </w:p>
    <w:p>
      <w:pPr>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本授权书声明：注册于</w:t>
      </w:r>
      <w:r>
        <w:rPr>
          <w:rFonts w:hint="eastAsia" w:cs="宋体" w:asciiTheme="minorEastAsia" w:hAnsiTheme="minorEastAsia" w:eastAsiaTheme="minorEastAsia"/>
          <w:sz w:val="28"/>
          <w:u w:val="single"/>
        </w:rPr>
        <w:t>（投标人注册地）</w:t>
      </w:r>
      <w:r>
        <w:rPr>
          <w:rFonts w:hint="eastAsia" w:cs="宋体" w:asciiTheme="minorEastAsia" w:hAnsiTheme="minorEastAsia" w:eastAsiaTheme="minorEastAsia"/>
          <w:sz w:val="28"/>
        </w:rPr>
        <w:t>的</w:t>
      </w:r>
      <w:r>
        <w:rPr>
          <w:rFonts w:hint="eastAsia" w:cs="宋体" w:asciiTheme="minorEastAsia" w:hAnsiTheme="minorEastAsia" w:eastAsiaTheme="minorEastAsia"/>
          <w:sz w:val="28"/>
          <w:u w:val="single"/>
        </w:rPr>
        <w:t>（投标人名称）</w:t>
      </w:r>
      <w:r>
        <w:rPr>
          <w:rFonts w:hint="eastAsia" w:cs="宋体" w:asciiTheme="minorEastAsia" w:hAnsiTheme="minorEastAsia" w:eastAsiaTheme="minorEastAsia"/>
          <w:sz w:val="28"/>
        </w:rPr>
        <w:t>的在下面签字（或盖私章）的</w:t>
      </w:r>
      <w:r>
        <w:rPr>
          <w:rFonts w:hint="eastAsia" w:cs="宋体" w:asciiTheme="minorEastAsia" w:hAnsiTheme="minorEastAsia" w:eastAsiaTheme="minorEastAsia"/>
          <w:sz w:val="28"/>
          <w:u w:val="single"/>
        </w:rPr>
        <w:t>（法定代表人</w:t>
      </w:r>
      <w:r>
        <w:rPr>
          <w:rFonts w:cs="宋体" w:asciiTheme="minorEastAsia" w:hAnsiTheme="minorEastAsia" w:eastAsiaTheme="minorEastAsia"/>
          <w:sz w:val="28"/>
          <w:u w:val="single"/>
        </w:rPr>
        <w:t>/负责人/投资人姓名、职务）</w:t>
      </w:r>
      <w:r>
        <w:rPr>
          <w:rFonts w:hint="eastAsia" w:cs="宋体" w:asciiTheme="minorEastAsia" w:hAnsiTheme="minorEastAsia" w:eastAsiaTheme="minorEastAsia"/>
          <w:sz w:val="28"/>
        </w:rPr>
        <w:t>代表本单位授权在下面签字（或盖私章）的</w:t>
      </w:r>
      <w:r>
        <w:rPr>
          <w:rFonts w:hint="eastAsia" w:cs="宋体" w:asciiTheme="minorEastAsia" w:hAnsiTheme="minorEastAsia" w:eastAsiaTheme="minorEastAsia"/>
          <w:sz w:val="28"/>
          <w:u w:val="single"/>
        </w:rPr>
        <w:t>（被授权人的姓名）</w:t>
      </w:r>
      <w:r>
        <w:rPr>
          <w:rFonts w:hint="eastAsia" w:cs="宋体" w:asciiTheme="minorEastAsia" w:hAnsiTheme="minorEastAsia" w:eastAsiaTheme="minorEastAsia"/>
          <w:sz w:val="28"/>
        </w:rPr>
        <w:t>为本单位的合法代理人，就</w:t>
      </w:r>
      <w:r>
        <w:rPr>
          <w:rFonts w:cs="宋体" w:asciiTheme="minorEastAsia" w:hAnsiTheme="minorEastAsia" w:eastAsiaTheme="minorEastAsia"/>
          <w:sz w:val="28"/>
          <w:u w:val="single"/>
        </w:rPr>
        <w:t>江门市本级</w:t>
      </w:r>
      <w:r>
        <w:rPr>
          <w:rFonts w:hint="eastAsia" w:cs="宋体" w:asciiTheme="minorEastAsia" w:hAnsiTheme="minorEastAsia" w:eastAsiaTheme="minorEastAsia"/>
          <w:sz w:val="28"/>
          <w:u w:val="single"/>
        </w:rPr>
        <w:t>非税收入代收银行资格</w:t>
      </w:r>
      <w:r>
        <w:rPr>
          <w:rFonts w:cs="宋体" w:asciiTheme="minorEastAsia" w:hAnsiTheme="minorEastAsia" w:eastAsiaTheme="minorEastAsia"/>
          <w:sz w:val="28"/>
          <w:u w:val="single"/>
        </w:rPr>
        <w:t>服务项目（</w:t>
      </w:r>
      <w:r>
        <w:rPr>
          <w:rFonts w:cs="宋体" w:asciiTheme="minorEastAsia" w:hAnsiTheme="minorEastAsia" w:eastAsiaTheme="minorEastAsia"/>
          <w:color w:val="000000" w:themeColor="text1"/>
          <w:sz w:val="28"/>
          <w:u w:val="single"/>
          <w14:textFill>
            <w14:solidFill>
              <w14:schemeClr w14:val="tx1"/>
            </w14:solidFill>
          </w14:textFill>
        </w:rPr>
        <w:t>采购</w:t>
      </w:r>
      <w:r>
        <w:rPr>
          <w:rFonts w:cs="宋体" w:asciiTheme="minorEastAsia" w:hAnsiTheme="minorEastAsia" w:eastAsiaTheme="minorEastAsia"/>
          <w:sz w:val="28"/>
          <w:u w:val="single"/>
        </w:rPr>
        <w:t>编号：</w:t>
      </w:r>
      <w:r>
        <w:rPr>
          <w:rFonts w:hint="eastAsia" w:cs="宋体" w:asciiTheme="minorEastAsia" w:hAnsiTheme="minorEastAsia" w:eastAsiaTheme="minorEastAsia"/>
          <w:sz w:val="28"/>
          <w:u w:val="single"/>
        </w:rPr>
        <w:t>JMGPC-202201</w:t>
      </w:r>
      <w:r>
        <w:rPr>
          <w:rFonts w:cs="宋体" w:asciiTheme="minorEastAsia" w:hAnsiTheme="minorEastAsia" w:eastAsiaTheme="minorEastAsia"/>
          <w:sz w:val="28"/>
          <w:u w:val="single"/>
        </w:rPr>
        <w:t>）</w:t>
      </w:r>
      <w:r>
        <w:rPr>
          <w:rFonts w:hint="eastAsia" w:cs="宋体" w:asciiTheme="minorEastAsia" w:hAnsiTheme="minorEastAsia" w:eastAsiaTheme="minorEastAsia"/>
          <w:sz w:val="28"/>
        </w:rPr>
        <w:t>的投标，以本单位名义处理一切与之有关的事务。</w:t>
      </w:r>
    </w:p>
    <w:p>
      <w:pPr>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本授权书于</w:t>
      </w:r>
      <w:r>
        <w:rPr>
          <w:rFonts w:cs="宋体" w:asciiTheme="minorEastAsia" w:hAnsiTheme="minorEastAsia" w:eastAsiaTheme="minorEastAsia"/>
          <w:sz w:val="28"/>
        </w:rPr>
        <w:t>202</w:t>
      </w:r>
      <w:r>
        <w:rPr>
          <w:rFonts w:hint="eastAsia" w:cs="宋体" w:asciiTheme="minorEastAsia" w:hAnsiTheme="minorEastAsia" w:eastAsiaTheme="minorEastAsia"/>
          <w:sz w:val="28"/>
        </w:rPr>
        <w:t>2</w:t>
      </w:r>
      <w:r>
        <w:rPr>
          <w:rFonts w:cs="宋体" w:asciiTheme="minorEastAsia" w:hAnsiTheme="minorEastAsia" w:eastAsiaTheme="minorEastAsia"/>
          <w:sz w:val="28"/>
        </w:rPr>
        <w:t xml:space="preserve">年    </w:t>
      </w:r>
      <w:r>
        <w:rPr>
          <w:rFonts w:hint="eastAsia" w:cs="宋体" w:asciiTheme="minorEastAsia" w:hAnsiTheme="minorEastAsia" w:eastAsiaTheme="minorEastAsia"/>
          <w:sz w:val="28"/>
        </w:rPr>
        <w:t>月</w:t>
      </w:r>
      <w:r>
        <w:rPr>
          <w:rFonts w:cs="宋体" w:asciiTheme="minorEastAsia" w:hAnsiTheme="minorEastAsia" w:eastAsiaTheme="minorEastAsia"/>
          <w:sz w:val="28"/>
        </w:rPr>
        <w:t xml:space="preserve">    </w:t>
      </w:r>
      <w:r>
        <w:rPr>
          <w:rFonts w:hint="eastAsia" w:cs="宋体" w:asciiTheme="minorEastAsia" w:hAnsiTheme="minorEastAsia" w:eastAsiaTheme="minorEastAsia"/>
          <w:sz w:val="28"/>
        </w:rPr>
        <w:t>日签字（或盖私章）生效，特此声明。</w:t>
      </w:r>
    </w:p>
    <w:p>
      <w:pPr>
        <w:spacing w:line="520" w:lineRule="exact"/>
        <w:ind w:firstLine="562" w:firstLineChars="200"/>
        <w:rPr>
          <w:rFonts w:cs="宋体" w:asciiTheme="minorEastAsia" w:hAnsiTheme="minorEastAsia" w:eastAsiaTheme="minorEastAsia"/>
          <w:b/>
          <w:bCs/>
          <w:sz w:val="28"/>
        </w:rPr>
      </w:pPr>
      <w:r>
        <w:rPr>
          <w:rFonts w:hint="eastAsia" w:cs="宋体" w:asciiTheme="minorEastAsia" w:hAnsiTheme="minorEastAsia" w:eastAsiaTheme="minorEastAsia"/>
          <w:b/>
          <w:bCs/>
          <w:sz w:val="28"/>
        </w:rPr>
        <w:t>投标人名称（盖公章）：</w:t>
      </w:r>
      <w:r>
        <w:rPr>
          <w:rFonts w:cs="宋体" w:asciiTheme="minorEastAsia" w:hAnsiTheme="minorEastAsia" w:eastAsiaTheme="minorEastAsia"/>
          <w:b/>
          <w:sz w:val="28"/>
          <w:u w:val="single"/>
        </w:rPr>
        <w:t xml:space="preserve">                             </w:t>
      </w:r>
    </w:p>
    <w:p>
      <w:pPr>
        <w:spacing w:line="520" w:lineRule="exact"/>
        <w:ind w:firstLine="562" w:firstLineChars="200"/>
        <w:rPr>
          <w:rFonts w:cs="宋体" w:asciiTheme="minorEastAsia" w:hAnsiTheme="minorEastAsia" w:eastAsiaTheme="minorEastAsia"/>
          <w:b/>
          <w:bCs/>
          <w:sz w:val="28"/>
        </w:rPr>
      </w:pPr>
      <w:r>
        <w:rPr>
          <w:rFonts w:hint="eastAsia" w:cs="宋体" w:asciiTheme="minorEastAsia" w:hAnsiTheme="minorEastAsia" w:eastAsiaTheme="minorEastAsia"/>
          <w:b/>
          <w:bCs/>
          <w:sz w:val="28"/>
        </w:rPr>
        <w:t>法定代表人</w:t>
      </w:r>
      <w:r>
        <w:rPr>
          <w:rFonts w:cs="宋体" w:asciiTheme="minorEastAsia" w:hAnsiTheme="minorEastAsia" w:eastAsiaTheme="minorEastAsia"/>
          <w:b/>
          <w:bCs/>
          <w:sz w:val="28"/>
        </w:rPr>
        <w:t>/负责人/投资人签字（或盖私章）：</w:t>
      </w:r>
      <w:r>
        <w:rPr>
          <w:rFonts w:cs="宋体" w:asciiTheme="minorEastAsia" w:hAnsiTheme="minorEastAsia" w:eastAsiaTheme="minorEastAsia"/>
          <w:b/>
          <w:sz w:val="28"/>
          <w:u w:val="single"/>
        </w:rPr>
        <w:t xml:space="preserve">                           </w:t>
      </w:r>
    </w:p>
    <w:p>
      <w:pPr>
        <w:spacing w:line="520" w:lineRule="exact"/>
        <w:ind w:firstLine="562" w:firstLineChars="200"/>
        <w:rPr>
          <w:rFonts w:cs="宋体" w:asciiTheme="minorEastAsia" w:hAnsiTheme="minorEastAsia" w:eastAsiaTheme="minorEastAsia"/>
          <w:b/>
          <w:sz w:val="28"/>
        </w:rPr>
      </w:pPr>
      <w:r>
        <w:rPr>
          <w:rFonts w:hint="eastAsia" w:cs="宋体" w:asciiTheme="minorEastAsia" w:hAnsiTheme="minorEastAsia" w:eastAsiaTheme="minorEastAsia"/>
          <w:b/>
          <w:sz w:val="28"/>
        </w:rPr>
        <w:t>被授权人签字</w:t>
      </w:r>
      <w:r>
        <w:rPr>
          <w:rFonts w:hint="eastAsia" w:cs="宋体" w:asciiTheme="minorEastAsia" w:hAnsiTheme="minorEastAsia" w:eastAsiaTheme="minorEastAsia"/>
          <w:b/>
          <w:bCs/>
          <w:sz w:val="28"/>
        </w:rPr>
        <w:t>（或盖私章）</w:t>
      </w:r>
      <w:r>
        <w:rPr>
          <w:rFonts w:hint="eastAsia" w:cs="宋体" w:asciiTheme="minorEastAsia" w:hAnsiTheme="minorEastAsia" w:eastAsiaTheme="minorEastAsia"/>
          <w:b/>
          <w:sz w:val="28"/>
        </w:rPr>
        <w:t>：</w:t>
      </w:r>
      <w:r>
        <w:rPr>
          <w:rFonts w:cs="宋体" w:asciiTheme="minorEastAsia" w:hAnsiTheme="minorEastAsia" w:eastAsiaTheme="minorEastAsia"/>
          <w:b/>
          <w:sz w:val="28"/>
          <w:u w:val="single"/>
        </w:rPr>
        <w:t xml:space="preserve">                                          </w:t>
      </w:r>
    </w:p>
    <w:p>
      <w:pPr>
        <w:spacing w:line="520" w:lineRule="exact"/>
        <w:rPr>
          <w:rFonts w:cs="宋体" w:asciiTheme="minorEastAsia" w:hAnsiTheme="minorEastAsia" w:eastAsiaTheme="minorEastAsia"/>
          <w:sz w:val="28"/>
          <w:u w:val="single"/>
        </w:rPr>
      </w:pPr>
      <w:r>
        <w:rPr>
          <w:rFonts w:cs="宋体" w:asciiTheme="minorEastAsia" w:hAnsiTheme="minorEastAsia" w:eastAsiaTheme="minorEastAsia"/>
          <w:sz w:val="28"/>
        </w:rPr>
        <w:t xml:space="preserve">    </w:t>
      </w:r>
      <w:r>
        <w:rPr>
          <w:rFonts w:hint="eastAsia" w:cs="宋体" w:asciiTheme="minorEastAsia" w:hAnsiTheme="minorEastAsia" w:eastAsiaTheme="minorEastAsia"/>
          <w:b/>
          <w:sz w:val="28"/>
        </w:rPr>
        <w:t>被授权人联系电话：</w:t>
      </w:r>
      <w:r>
        <w:rPr>
          <w:rFonts w:cs="宋体" w:asciiTheme="minorEastAsia" w:hAnsiTheme="minorEastAsia" w:eastAsiaTheme="minorEastAsia"/>
          <w:b/>
          <w:sz w:val="28"/>
          <w:u w:val="single"/>
        </w:rPr>
        <w:t xml:space="preserve">                                    </w:t>
      </w:r>
    </w:p>
    <w:p>
      <w:pPr>
        <w:spacing w:line="52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要求：</w:t>
      </w:r>
    </w:p>
    <w:p>
      <w:pPr>
        <w:spacing w:line="520" w:lineRule="exact"/>
        <w:ind w:firstLine="481" w:firstLineChars="200"/>
        <w:rPr>
          <w:rFonts w:cs="宋体" w:asciiTheme="minorEastAsia" w:hAnsiTheme="minorEastAsia" w:eastAsiaTheme="minorEastAsia"/>
          <w:b/>
          <w:bCs/>
          <w:sz w:val="24"/>
        </w:rPr>
      </w:pPr>
      <w:r>
        <w:rPr>
          <w:rFonts w:cs="宋体" w:asciiTheme="minorEastAsia" w:hAnsiTheme="minorEastAsia" w:eastAsiaTheme="minorEastAsia"/>
          <w:b/>
          <w:bCs/>
          <w:sz w:val="24"/>
        </w:rPr>
        <w:t>1.如投标人由法定代表人/负责人/投资人参加投标及签署投标文件，则应当提交《法定代表人/负责人/投资人证明书》（参考工商行政管理局统一印制的法定代表人证明书格式，加盖单位公章）代替《授权委托书》。</w:t>
      </w:r>
    </w:p>
    <w:p>
      <w:pPr>
        <w:spacing w:line="520" w:lineRule="exact"/>
        <w:ind w:firstLine="481" w:firstLineChars="200"/>
        <w:rPr>
          <w:rFonts w:cs="宋体" w:asciiTheme="minorEastAsia" w:hAnsiTheme="minorEastAsia" w:eastAsiaTheme="minorEastAsia"/>
          <w:sz w:val="24"/>
          <w:u w:val="single"/>
        </w:rPr>
      </w:pPr>
      <w:r>
        <w:rPr>
          <w:rFonts w:cs="宋体" w:asciiTheme="minorEastAsia" w:hAnsiTheme="minorEastAsia" w:eastAsiaTheme="minorEastAsia"/>
          <w:b/>
          <w:sz w:val="24"/>
        </w:rPr>
        <w:t>2.投标人应在投标文件中提供法定代表人/负责人/投资人、被授权人的有效身份证复印件以核实其身份。</w:t>
      </w:r>
    </w:p>
    <w:p>
      <w:pPr>
        <w:pStyle w:val="4"/>
        <w:spacing w:line="480" w:lineRule="exact"/>
        <w:ind w:firstLine="0"/>
        <w:rPr>
          <w:rFonts w:cs="宋体" w:asciiTheme="minorEastAsia" w:hAnsiTheme="minorEastAsia" w:eastAsiaTheme="minorEastAsia"/>
          <w:sz w:val="24"/>
          <w:szCs w:val="24"/>
          <w:u w:val="single"/>
        </w:rPr>
      </w:pPr>
      <w:r>
        <w:rPr>
          <w:rFonts w:cs="宋体" w:asciiTheme="minorEastAsia" w:hAnsiTheme="minorEastAsia" w:eastAsiaTheme="minorEastAsia"/>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2985135</wp:posOffset>
                </wp:positionH>
                <wp:positionV relativeFrom="paragraph">
                  <wp:posOffset>86360</wp:posOffset>
                </wp:positionV>
                <wp:extent cx="2169795" cy="1228090"/>
                <wp:effectExtent l="13335" t="10160" r="7620" b="9525"/>
                <wp:wrapNone/>
                <wp:docPr id="4" name="自选图形 6"/>
                <wp:cNvGraphicFramePr/>
                <a:graphic xmlns:a="http://schemas.openxmlformats.org/drawingml/2006/main">
                  <a:graphicData uri="http://schemas.microsoft.com/office/word/2010/wordprocessingShape">
                    <wps:wsp>
                      <wps:cNvSpPr>
                        <a:spLocks noChangeArrowheads="true"/>
                      </wps:cNvSpPr>
                      <wps:spPr bwMode="auto">
                        <a:xfrm>
                          <a:off x="0" y="0"/>
                          <a:ext cx="2169795" cy="1228090"/>
                        </a:xfrm>
                        <a:prstGeom prst="flowChartProcess">
                          <a:avLst/>
                        </a:prstGeom>
                        <a:solidFill>
                          <a:srgbClr val="FFFFFF"/>
                        </a:solidFill>
                        <a:ln w="9525">
                          <a:solidFill>
                            <a:srgbClr val="000000"/>
                          </a:solidFill>
                          <a:miter lim="800000"/>
                        </a:ln>
                      </wps:spPr>
                      <wps:txbx>
                        <w:txbxContent>
                          <w:p>
                            <w:pPr>
                              <w:rPr>
                                <w:rFonts w:ascii="宋体" w:hAnsi="宋体"/>
                                <w:b/>
                                <w:szCs w:val="21"/>
                              </w:rPr>
                            </w:pPr>
                          </w:p>
                          <w:p>
                            <w:pPr>
                              <w:rPr>
                                <w:rFonts w:ascii="宋体" w:hAnsi="宋体"/>
                                <w:b/>
                                <w:szCs w:val="21"/>
                              </w:rPr>
                            </w:pPr>
                          </w:p>
                          <w:p>
                            <w:pPr>
                              <w:jc w:val="center"/>
                              <w:rPr>
                                <w:rFonts w:ascii="宋体" w:hAnsi="宋体"/>
                                <w:b/>
                                <w:szCs w:val="21"/>
                              </w:rPr>
                            </w:pPr>
                            <w:r>
                              <w:rPr>
                                <w:rFonts w:hint="eastAsia" w:ascii="宋体" w:hAnsi="宋体"/>
                                <w:b/>
                                <w:szCs w:val="21"/>
                              </w:rPr>
                              <w:t>被授权人的</w:t>
                            </w:r>
                          </w:p>
                          <w:p>
                            <w:pPr>
                              <w:jc w:val="center"/>
                            </w:pPr>
                            <w:r>
                              <w:rPr>
                                <w:rFonts w:hint="eastAsia" w:ascii="宋体" w:hAnsi="宋体"/>
                                <w:b/>
                                <w:szCs w:val="21"/>
                              </w:rPr>
                              <w:t>有效身份证复印件正面</w:t>
                            </w:r>
                          </w:p>
                        </w:txbxContent>
                      </wps:txbx>
                      <wps:bodyPr rot="0" vert="horz" wrap="square" lIns="91440" tIns="45720" rIns="91440" bIns="45720" anchor="t" anchorCtr="false" upright="true">
                        <a:noAutofit/>
                      </wps:bodyPr>
                    </wps:wsp>
                  </a:graphicData>
                </a:graphic>
              </wp:anchor>
            </w:drawing>
          </mc:Choice>
          <mc:Fallback>
            <w:pict>
              <v:shape id="自选图形 6" o:spid="_x0000_s1026" o:spt="109" type="#_x0000_t109" style="position:absolute;left:0pt;margin-left:235.05pt;margin-top:6.8pt;height:96.7pt;width:170.85pt;z-index:251660288;mso-width-relative:page;mso-height-relative:page;" fillcolor="#FFFFFF" filled="t" stroked="t" coordsize="21600,21600" o:gfxdata="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X7vP02AAAAAoBAAAPAAAA&#10;AAAAAAEAIAAAADgAAABkcnMvZG93bnJldi54bWxQSwECFAAUAAAACACHTuJAKXpAHjgCAABJBAAA&#10;DgAAAAAAAAABACAAAAA9AQAAZHJzL2Uyb0RvYy54bWxQSwUGAAAAAAYABgBZAQAA5wUAAAAA&#10;">
                <v:fill on="t" focussize="0,0"/>
                <v:stroke color="#000000" miterlimit="8" joinstyle="miter"/>
                <v:imagedata o:title=""/>
                <o:lock v:ext="edit" aspectratio="f"/>
                <v:textbox>
                  <w:txbxContent>
                    <w:p>
                      <w:pPr>
                        <w:rPr>
                          <w:rFonts w:ascii="宋体" w:hAnsi="宋体"/>
                          <w:b/>
                          <w:szCs w:val="21"/>
                        </w:rPr>
                      </w:pPr>
                    </w:p>
                    <w:p>
                      <w:pPr>
                        <w:rPr>
                          <w:rFonts w:ascii="宋体" w:hAnsi="宋体"/>
                          <w:b/>
                          <w:szCs w:val="21"/>
                        </w:rPr>
                      </w:pPr>
                    </w:p>
                    <w:p>
                      <w:pPr>
                        <w:jc w:val="center"/>
                        <w:rPr>
                          <w:rFonts w:ascii="宋体" w:hAnsi="宋体"/>
                          <w:b/>
                          <w:szCs w:val="21"/>
                        </w:rPr>
                      </w:pPr>
                      <w:r>
                        <w:rPr>
                          <w:rFonts w:hint="eastAsia" w:ascii="宋体" w:hAnsi="宋体"/>
                          <w:b/>
                          <w:szCs w:val="21"/>
                        </w:rPr>
                        <w:t>被授权人的</w:t>
                      </w:r>
                    </w:p>
                    <w:p>
                      <w:pPr>
                        <w:jc w:val="center"/>
                      </w:pPr>
                      <w:r>
                        <w:rPr>
                          <w:rFonts w:hint="eastAsia" w:ascii="宋体" w:hAnsi="宋体"/>
                          <w:b/>
                          <w:szCs w:val="21"/>
                        </w:rPr>
                        <w:t>有效身份证复印件正面</w:t>
                      </w:r>
                    </w:p>
                  </w:txbxContent>
                </v:textbox>
              </v:shape>
            </w:pict>
          </mc:Fallback>
        </mc:AlternateContent>
      </w:r>
      <w:r>
        <w:rPr>
          <w:rFonts w:cs="宋体" w:asciiTheme="minorEastAsia" w:hAnsiTheme="minorEastAsia" w:eastAsiaTheme="minorEastAsia"/>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86360</wp:posOffset>
                </wp:positionV>
                <wp:extent cx="2074545" cy="1200785"/>
                <wp:effectExtent l="11430" t="10160" r="9525" b="8255"/>
                <wp:wrapNone/>
                <wp:docPr id="3" name="矩形 7"/>
                <wp:cNvGraphicFramePr/>
                <a:graphic xmlns:a="http://schemas.openxmlformats.org/drawingml/2006/main">
                  <a:graphicData uri="http://schemas.microsoft.com/office/word/2010/wordprocessingShape">
                    <wps:wsp>
                      <wps:cNvSpPr>
                        <a:spLocks noChangeArrowheads="true"/>
                      </wps:cNvSpPr>
                      <wps:spPr bwMode="auto">
                        <a:xfrm>
                          <a:off x="0" y="0"/>
                          <a:ext cx="2074545" cy="1200785"/>
                        </a:xfrm>
                        <a:prstGeom prst="rect">
                          <a:avLst/>
                        </a:prstGeom>
                        <a:solidFill>
                          <a:srgbClr val="FFFFFF"/>
                        </a:solidFill>
                        <a:ln w="9525">
                          <a:solidFill>
                            <a:srgbClr val="000000"/>
                          </a:solidFill>
                          <a:miter lim="800000"/>
                        </a:ln>
                      </wps:spPr>
                      <wps:txbx>
                        <w:txbxContent>
                          <w:p>
                            <w:pPr>
                              <w:rPr>
                                <w:rFonts w:ascii="宋体" w:hAnsi="宋体"/>
                                <w:b/>
                                <w:sz w:val="24"/>
                              </w:rPr>
                            </w:pPr>
                          </w:p>
                          <w:p>
                            <w:pPr>
                              <w:rPr>
                                <w:rFonts w:ascii="宋体" w:hAnsi="宋体"/>
                                <w:b/>
                                <w:szCs w:val="21"/>
                              </w:rPr>
                            </w:pPr>
                          </w:p>
                          <w:p>
                            <w:pPr>
                              <w:jc w:val="center"/>
                              <w:rPr>
                                <w:rFonts w:ascii="宋体" w:hAnsi="宋体"/>
                                <w:b/>
                                <w:szCs w:val="21"/>
                              </w:rPr>
                            </w:pPr>
                            <w:r>
                              <w:rPr>
                                <w:rFonts w:hint="eastAsia" w:ascii="宋体" w:hAnsi="宋体"/>
                                <w:b/>
                                <w:szCs w:val="21"/>
                              </w:rPr>
                              <w:t>法定代表人/负责人/投资人的</w:t>
                            </w:r>
                          </w:p>
                          <w:p>
                            <w:pPr>
                              <w:jc w:val="center"/>
                            </w:pPr>
                            <w:r>
                              <w:rPr>
                                <w:rFonts w:hint="eastAsia" w:ascii="宋体" w:hAnsi="宋体"/>
                                <w:b/>
                                <w:szCs w:val="21"/>
                              </w:rPr>
                              <w:t>有效身份证复印件正面</w:t>
                            </w:r>
                          </w:p>
                        </w:txbxContent>
                      </wps:txbx>
                      <wps:bodyPr rot="0" vert="horz" wrap="square" lIns="91440" tIns="45720" rIns="91440" bIns="45720" anchor="t" anchorCtr="false" upright="true">
                        <a:noAutofit/>
                      </wps:bodyPr>
                    </wps:wsp>
                  </a:graphicData>
                </a:graphic>
              </wp:anchor>
            </w:drawing>
          </mc:Choice>
          <mc:Fallback>
            <w:pict>
              <v:rect id="矩形 7" o:spid="_x0000_s1026" o:spt="1" style="position:absolute;left:0pt;margin-left:2.4pt;margin-top:6.8pt;height:94.55pt;width:163.35pt;z-index:251659264;mso-width-relative:page;mso-height-relative:page;" fillcolor="#FFFFFF" filled="t" stroked="t" coordsize="21600,21600" o:gfxdata="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vzhL5tcAAAAIAQAADwAAAAAAAAABACAAAAA4AAAAZHJzL2Rvd25y&#10;ZXYueG1sUEsBAhQAFAAAAAgAh07iQDhq2mEiAgAANwQAAA4AAAAAAAAAAQAgAAAAPAEAAGRycy9l&#10;Mm9Eb2MueG1sUEsFBgAAAAAGAAYAWQEAANAFAAAAAA==&#10;">
                <v:fill on="t" focussize="0,0"/>
                <v:stroke color="#000000" miterlimit="8" joinstyle="miter"/>
                <v:imagedata o:title=""/>
                <o:lock v:ext="edit" aspectratio="f"/>
                <v:textbox>
                  <w:txbxContent>
                    <w:p>
                      <w:pPr>
                        <w:rPr>
                          <w:rFonts w:ascii="宋体" w:hAnsi="宋体"/>
                          <w:b/>
                          <w:sz w:val="24"/>
                        </w:rPr>
                      </w:pPr>
                    </w:p>
                    <w:p>
                      <w:pPr>
                        <w:rPr>
                          <w:rFonts w:ascii="宋体" w:hAnsi="宋体"/>
                          <w:b/>
                          <w:szCs w:val="21"/>
                        </w:rPr>
                      </w:pPr>
                    </w:p>
                    <w:p>
                      <w:pPr>
                        <w:jc w:val="center"/>
                        <w:rPr>
                          <w:rFonts w:ascii="宋体" w:hAnsi="宋体"/>
                          <w:b/>
                          <w:szCs w:val="21"/>
                        </w:rPr>
                      </w:pPr>
                      <w:r>
                        <w:rPr>
                          <w:rFonts w:hint="eastAsia" w:ascii="宋体" w:hAnsi="宋体"/>
                          <w:b/>
                          <w:szCs w:val="21"/>
                        </w:rPr>
                        <w:t>法定代表人/负责人/投资人的</w:t>
                      </w:r>
                    </w:p>
                    <w:p>
                      <w:pPr>
                        <w:jc w:val="center"/>
                      </w:pPr>
                      <w:r>
                        <w:rPr>
                          <w:rFonts w:hint="eastAsia" w:ascii="宋体" w:hAnsi="宋体"/>
                          <w:b/>
                          <w:szCs w:val="21"/>
                        </w:rPr>
                        <w:t>有效身份证复印件正面</w:t>
                      </w:r>
                    </w:p>
                  </w:txbxContent>
                </v:textbox>
              </v:rect>
            </w:pict>
          </mc:Fallback>
        </mc:AlternateContent>
      </w:r>
    </w:p>
    <w:p>
      <w:pPr>
        <w:pStyle w:val="4"/>
        <w:spacing w:line="480" w:lineRule="exact"/>
        <w:ind w:firstLine="0"/>
        <w:rPr>
          <w:rFonts w:cs="宋体" w:asciiTheme="minorEastAsia" w:hAnsiTheme="minorEastAsia" w:eastAsiaTheme="minorEastAsia"/>
          <w:sz w:val="24"/>
          <w:szCs w:val="24"/>
          <w:u w:val="single"/>
        </w:rPr>
      </w:pPr>
    </w:p>
    <w:p>
      <w:pPr>
        <w:pStyle w:val="4"/>
        <w:spacing w:line="480" w:lineRule="exact"/>
        <w:ind w:firstLine="0"/>
        <w:rPr>
          <w:rFonts w:cs="宋体" w:asciiTheme="minorEastAsia" w:hAnsiTheme="minorEastAsia" w:eastAsiaTheme="minorEastAsia"/>
          <w:sz w:val="24"/>
          <w:szCs w:val="24"/>
          <w:u w:val="single"/>
        </w:rPr>
      </w:pPr>
    </w:p>
    <w:p>
      <w:pPr>
        <w:pStyle w:val="4"/>
        <w:spacing w:line="480" w:lineRule="exact"/>
        <w:ind w:firstLine="0"/>
        <w:rPr>
          <w:rFonts w:cs="宋体" w:asciiTheme="minorEastAsia" w:hAnsiTheme="minorEastAsia" w:eastAsiaTheme="minorEastAsia"/>
          <w:sz w:val="24"/>
          <w:szCs w:val="24"/>
          <w:u w:val="single"/>
        </w:rPr>
      </w:pPr>
    </w:p>
    <w:p>
      <w:pPr>
        <w:pStyle w:val="4"/>
        <w:spacing w:line="480" w:lineRule="exact"/>
        <w:ind w:firstLine="0"/>
        <w:rPr>
          <w:rFonts w:cs="宋体" w:asciiTheme="minorEastAsia" w:hAnsiTheme="minorEastAsia" w:eastAsiaTheme="minorEastAsia"/>
          <w:sz w:val="24"/>
          <w:szCs w:val="24"/>
          <w:u w:val="single"/>
        </w:rPr>
      </w:pPr>
      <w:r>
        <w:rPr>
          <w:rFonts w:cs="宋体" w:asciiTheme="minorEastAsia" w:hAnsiTheme="minorEastAsia" w:eastAsiaTheme="minorEastAsia"/>
          <w:sz w:val="24"/>
          <w:szCs w:val="24"/>
          <w:u w:val="single"/>
        </w:rPr>
        <mc:AlternateContent>
          <mc:Choice Requires="wps">
            <w:drawing>
              <wp:anchor distT="0" distB="0" distL="114300" distR="114300" simplePos="0" relativeHeight="251662336" behindDoc="0" locked="0" layoutInCell="1" allowOverlap="1">
                <wp:simplePos x="0" y="0"/>
                <wp:positionH relativeFrom="column">
                  <wp:posOffset>2985135</wp:posOffset>
                </wp:positionH>
                <wp:positionV relativeFrom="paragraph">
                  <wp:posOffset>220345</wp:posOffset>
                </wp:positionV>
                <wp:extent cx="2169795" cy="1228090"/>
                <wp:effectExtent l="13335" t="10795" r="7620" b="8890"/>
                <wp:wrapNone/>
                <wp:docPr id="2" name="自选图形 8"/>
                <wp:cNvGraphicFramePr/>
                <a:graphic xmlns:a="http://schemas.openxmlformats.org/drawingml/2006/main">
                  <a:graphicData uri="http://schemas.microsoft.com/office/word/2010/wordprocessingShape">
                    <wps:wsp>
                      <wps:cNvSpPr>
                        <a:spLocks noChangeArrowheads="true"/>
                      </wps:cNvSpPr>
                      <wps:spPr bwMode="auto">
                        <a:xfrm>
                          <a:off x="0" y="0"/>
                          <a:ext cx="2169795" cy="1228090"/>
                        </a:xfrm>
                        <a:prstGeom prst="flowChartProcess">
                          <a:avLst/>
                        </a:prstGeom>
                        <a:solidFill>
                          <a:srgbClr val="FFFFFF"/>
                        </a:solidFill>
                        <a:ln w="9525">
                          <a:solidFill>
                            <a:srgbClr val="000000"/>
                          </a:solidFill>
                          <a:miter lim="800000"/>
                        </a:ln>
                      </wps:spPr>
                      <wps:txbx>
                        <w:txbxContent>
                          <w:p>
                            <w:pPr>
                              <w:rPr>
                                <w:rFonts w:ascii="宋体" w:hAnsi="宋体"/>
                                <w:b/>
                                <w:sz w:val="24"/>
                              </w:rPr>
                            </w:pPr>
                          </w:p>
                          <w:p>
                            <w:pPr>
                              <w:rPr>
                                <w:rFonts w:ascii="宋体" w:hAnsi="宋体"/>
                                <w:b/>
                                <w:szCs w:val="21"/>
                              </w:rPr>
                            </w:pPr>
                          </w:p>
                          <w:p>
                            <w:pPr>
                              <w:jc w:val="center"/>
                              <w:rPr>
                                <w:rFonts w:ascii="宋体" w:hAnsi="宋体"/>
                                <w:b/>
                                <w:szCs w:val="21"/>
                              </w:rPr>
                            </w:pPr>
                            <w:r>
                              <w:rPr>
                                <w:rFonts w:hint="eastAsia" w:ascii="宋体" w:hAnsi="宋体"/>
                                <w:b/>
                                <w:szCs w:val="21"/>
                              </w:rPr>
                              <w:t>被授权人的</w:t>
                            </w:r>
                          </w:p>
                          <w:p>
                            <w:pPr>
                              <w:jc w:val="center"/>
                            </w:pPr>
                            <w:r>
                              <w:rPr>
                                <w:rFonts w:hint="eastAsia" w:ascii="宋体" w:hAnsi="宋体"/>
                                <w:b/>
                                <w:szCs w:val="21"/>
                              </w:rPr>
                              <w:t>有效身份证复印件背面</w:t>
                            </w:r>
                          </w:p>
                        </w:txbxContent>
                      </wps:txbx>
                      <wps:bodyPr rot="0" vert="horz" wrap="square" lIns="91440" tIns="45720" rIns="91440" bIns="45720" anchor="t" anchorCtr="false" upright="true">
                        <a:noAutofit/>
                      </wps:bodyPr>
                    </wps:wsp>
                  </a:graphicData>
                </a:graphic>
              </wp:anchor>
            </w:drawing>
          </mc:Choice>
          <mc:Fallback>
            <w:pict>
              <v:shape id="自选图形 8" o:spid="_x0000_s1026" o:spt="109" type="#_x0000_t109" style="position:absolute;left:0pt;margin-left:235.05pt;margin-top:17.35pt;height:96.7pt;width:170.85pt;z-index:251662336;mso-width-relative:page;mso-height-relative:page;" fillcolor="#FFFFFF" filled="t" stroked="t" coordsize="21600,21600" o:gfxdata="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y4vCw2QAAAAoBAAAPAAAA&#10;AAAAAAEAIAAAADgAAABkcnMvZG93bnJldi54bWxQSwECFAAUAAAACACHTuJAQXdTnzcCAABJBAAA&#10;DgAAAAAAAAABACAAAAA+AQAAZHJzL2Uyb0RvYy54bWxQSwUGAAAAAAYABgBZAQAA5wUAAAAA&#10;">
                <v:fill on="t" focussize="0,0"/>
                <v:stroke color="#000000" miterlimit="8" joinstyle="miter"/>
                <v:imagedata o:title=""/>
                <o:lock v:ext="edit" aspectratio="f"/>
                <v:textbox>
                  <w:txbxContent>
                    <w:p>
                      <w:pPr>
                        <w:rPr>
                          <w:rFonts w:ascii="宋体" w:hAnsi="宋体"/>
                          <w:b/>
                          <w:sz w:val="24"/>
                        </w:rPr>
                      </w:pPr>
                    </w:p>
                    <w:p>
                      <w:pPr>
                        <w:rPr>
                          <w:rFonts w:ascii="宋体" w:hAnsi="宋体"/>
                          <w:b/>
                          <w:szCs w:val="21"/>
                        </w:rPr>
                      </w:pPr>
                    </w:p>
                    <w:p>
                      <w:pPr>
                        <w:jc w:val="center"/>
                        <w:rPr>
                          <w:rFonts w:ascii="宋体" w:hAnsi="宋体"/>
                          <w:b/>
                          <w:szCs w:val="21"/>
                        </w:rPr>
                      </w:pPr>
                      <w:r>
                        <w:rPr>
                          <w:rFonts w:hint="eastAsia" w:ascii="宋体" w:hAnsi="宋体"/>
                          <w:b/>
                          <w:szCs w:val="21"/>
                        </w:rPr>
                        <w:t>被授权人的</w:t>
                      </w:r>
                    </w:p>
                    <w:p>
                      <w:pPr>
                        <w:jc w:val="center"/>
                      </w:pPr>
                      <w:r>
                        <w:rPr>
                          <w:rFonts w:hint="eastAsia" w:ascii="宋体" w:hAnsi="宋体"/>
                          <w:b/>
                          <w:szCs w:val="21"/>
                        </w:rPr>
                        <w:t>有效身份证复印件背面</w:t>
                      </w:r>
                    </w:p>
                  </w:txbxContent>
                </v:textbox>
              </v:shape>
            </w:pict>
          </mc:Fallback>
        </mc:AlternateContent>
      </w:r>
      <w:r>
        <w:rPr>
          <w:rFonts w:cs="宋体" w:asciiTheme="minorEastAsia" w:hAnsiTheme="minorEastAsia" w:eastAsiaTheme="minorEastAsia"/>
          <w:sz w:val="24"/>
          <w:szCs w:val="24"/>
          <w:u w:val="single"/>
        </w:rPr>
        <mc:AlternateContent>
          <mc:Choice Requires="wps">
            <w:drawing>
              <wp:anchor distT="0" distB="0" distL="114300" distR="114300" simplePos="0" relativeHeight="251661312" behindDoc="0" locked="0" layoutInCell="1" allowOverlap="1">
                <wp:simplePos x="0" y="0"/>
                <wp:positionH relativeFrom="column">
                  <wp:posOffset>30480</wp:posOffset>
                </wp:positionH>
                <wp:positionV relativeFrom="paragraph">
                  <wp:posOffset>220345</wp:posOffset>
                </wp:positionV>
                <wp:extent cx="2074545" cy="1200785"/>
                <wp:effectExtent l="11430" t="10795" r="9525" b="7620"/>
                <wp:wrapNone/>
                <wp:docPr id="1" name="矩形 9"/>
                <wp:cNvGraphicFramePr/>
                <a:graphic xmlns:a="http://schemas.openxmlformats.org/drawingml/2006/main">
                  <a:graphicData uri="http://schemas.microsoft.com/office/word/2010/wordprocessingShape">
                    <wps:wsp>
                      <wps:cNvSpPr>
                        <a:spLocks noChangeArrowheads="true"/>
                      </wps:cNvSpPr>
                      <wps:spPr bwMode="auto">
                        <a:xfrm>
                          <a:off x="0" y="0"/>
                          <a:ext cx="2074545" cy="1200785"/>
                        </a:xfrm>
                        <a:prstGeom prst="rect">
                          <a:avLst/>
                        </a:prstGeom>
                        <a:solidFill>
                          <a:srgbClr val="FFFFFF"/>
                        </a:solidFill>
                        <a:ln w="9525">
                          <a:solidFill>
                            <a:srgbClr val="000000"/>
                          </a:solidFill>
                          <a:miter lim="800000"/>
                        </a:ln>
                      </wps:spPr>
                      <wps:txbx>
                        <w:txbxContent>
                          <w:p>
                            <w:pPr>
                              <w:rPr>
                                <w:rFonts w:ascii="宋体" w:hAnsi="宋体"/>
                                <w:b/>
                                <w:sz w:val="24"/>
                              </w:rPr>
                            </w:pPr>
                          </w:p>
                          <w:p>
                            <w:pPr>
                              <w:rPr>
                                <w:rFonts w:ascii="宋体" w:hAnsi="宋体"/>
                                <w:b/>
                                <w:szCs w:val="21"/>
                              </w:rPr>
                            </w:pPr>
                          </w:p>
                          <w:p>
                            <w:pPr>
                              <w:jc w:val="center"/>
                              <w:rPr>
                                <w:rFonts w:ascii="宋体" w:hAnsi="宋体"/>
                                <w:b/>
                                <w:szCs w:val="21"/>
                              </w:rPr>
                            </w:pPr>
                            <w:r>
                              <w:rPr>
                                <w:rFonts w:hint="eastAsia" w:ascii="宋体" w:hAnsi="宋体"/>
                                <w:b/>
                                <w:szCs w:val="21"/>
                              </w:rPr>
                              <w:t>法定代表人/负责人/投资人的</w:t>
                            </w:r>
                          </w:p>
                          <w:p>
                            <w:pPr>
                              <w:jc w:val="center"/>
                            </w:pPr>
                            <w:r>
                              <w:rPr>
                                <w:rFonts w:hint="eastAsia" w:ascii="宋体" w:hAnsi="宋体"/>
                                <w:b/>
                                <w:szCs w:val="21"/>
                              </w:rPr>
                              <w:t>有效身份证复印件背面</w:t>
                            </w:r>
                          </w:p>
                        </w:txbxContent>
                      </wps:txbx>
                      <wps:bodyPr rot="0" vert="horz" wrap="square" lIns="91440" tIns="45720" rIns="91440" bIns="45720" anchor="t" anchorCtr="false" upright="true">
                        <a:noAutofit/>
                      </wps:bodyPr>
                    </wps:wsp>
                  </a:graphicData>
                </a:graphic>
              </wp:anchor>
            </w:drawing>
          </mc:Choice>
          <mc:Fallback>
            <w:pict>
              <v:rect id="矩形 9" o:spid="_x0000_s1026" o:spt="1" style="position:absolute;left:0pt;margin-left:2.4pt;margin-top:17.35pt;height:94.55pt;width:163.35pt;z-index:251661312;mso-width-relative:page;mso-height-relative:page;" fillcolor="#FFFFFF" filled="t" stroked="t" coordsize="21600,21600" o:gfxdata="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rac0v1wAAAAgBAAAPAAAAAAAAAAEAIAAAADgAAABkcnMvZG93bnJl&#10;di54bWxQSwECFAAUAAAACACHTuJAoF1PwiECAAA3BAAADgAAAAAAAAABACAAAAA8AQAAZHJzL2Uy&#10;b0RvYy54bWxQSwUGAAAAAAYABgBZAQAAzwUAAAAA&#10;">
                <v:fill on="t" focussize="0,0"/>
                <v:stroke color="#000000" miterlimit="8" joinstyle="miter"/>
                <v:imagedata o:title=""/>
                <o:lock v:ext="edit" aspectratio="f"/>
                <v:textbox>
                  <w:txbxContent>
                    <w:p>
                      <w:pPr>
                        <w:rPr>
                          <w:rFonts w:ascii="宋体" w:hAnsi="宋体"/>
                          <w:b/>
                          <w:sz w:val="24"/>
                        </w:rPr>
                      </w:pPr>
                    </w:p>
                    <w:p>
                      <w:pPr>
                        <w:rPr>
                          <w:rFonts w:ascii="宋体" w:hAnsi="宋体"/>
                          <w:b/>
                          <w:szCs w:val="21"/>
                        </w:rPr>
                      </w:pPr>
                    </w:p>
                    <w:p>
                      <w:pPr>
                        <w:jc w:val="center"/>
                        <w:rPr>
                          <w:rFonts w:ascii="宋体" w:hAnsi="宋体"/>
                          <w:b/>
                          <w:szCs w:val="21"/>
                        </w:rPr>
                      </w:pPr>
                      <w:r>
                        <w:rPr>
                          <w:rFonts w:hint="eastAsia" w:ascii="宋体" w:hAnsi="宋体"/>
                          <w:b/>
                          <w:szCs w:val="21"/>
                        </w:rPr>
                        <w:t>法定代表人/负责人/投资人的</w:t>
                      </w:r>
                    </w:p>
                    <w:p>
                      <w:pPr>
                        <w:jc w:val="center"/>
                      </w:pPr>
                      <w:r>
                        <w:rPr>
                          <w:rFonts w:hint="eastAsia" w:ascii="宋体" w:hAnsi="宋体"/>
                          <w:b/>
                          <w:szCs w:val="21"/>
                        </w:rPr>
                        <w:t>有效身份证复印件背面</w:t>
                      </w:r>
                    </w:p>
                  </w:txbxContent>
                </v:textbox>
              </v:rect>
            </w:pict>
          </mc:Fallback>
        </mc:AlternateContent>
      </w:r>
    </w:p>
    <w:p>
      <w:pPr>
        <w:pStyle w:val="4"/>
        <w:spacing w:line="480" w:lineRule="exact"/>
        <w:ind w:firstLine="0"/>
        <w:rPr>
          <w:rFonts w:cs="宋体" w:asciiTheme="minorEastAsia" w:hAnsiTheme="minorEastAsia" w:eastAsiaTheme="minorEastAsia"/>
          <w:sz w:val="24"/>
          <w:szCs w:val="24"/>
          <w:u w:val="single"/>
        </w:rPr>
      </w:pPr>
    </w:p>
    <w:p>
      <w:pPr>
        <w:pStyle w:val="3"/>
        <w:spacing w:before="0" w:after="0" w:line="480" w:lineRule="exact"/>
        <w:rPr>
          <w:rFonts w:cs="宋体" w:asciiTheme="minorEastAsia" w:hAnsiTheme="minorEastAsia" w:eastAsiaTheme="minorEastAsia"/>
          <w:bCs/>
          <w:sz w:val="24"/>
          <w:szCs w:val="24"/>
        </w:rPr>
      </w:pPr>
      <w:bookmarkStart w:id="325" w:name="_Hlt503877219"/>
      <w:bookmarkEnd w:id="325"/>
      <w:r>
        <w:rPr>
          <w:rFonts w:cs="宋体" w:asciiTheme="minorEastAsia" w:hAnsiTheme="minorEastAsia" w:eastAsiaTheme="minorEastAsia"/>
          <w:bCs/>
          <w:sz w:val="24"/>
          <w:szCs w:val="24"/>
        </w:rPr>
        <w:br w:type="page"/>
      </w:r>
    </w:p>
    <w:p>
      <w:pPr>
        <w:pStyle w:val="3"/>
        <w:spacing w:before="0" w:after="0" w:line="480" w:lineRule="exact"/>
        <w:rPr>
          <w:rFonts w:asciiTheme="minorEastAsia" w:hAnsiTheme="minorEastAsia" w:eastAsiaTheme="minorEastAsia"/>
          <w:bCs/>
          <w:sz w:val="28"/>
          <w:szCs w:val="28"/>
        </w:rPr>
      </w:pPr>
      <w:bookmarkStart w:id="326" w:name="_Toc6268"/>
      <w:bookmarkStart w:id="327" w:name="_Toc9996"/>
      <w:bookmarkStart w:id="328" w:name="_Toc6145"/>
      <w:bookmarkStart w:id="329" w:name="_Toc9185"/>
      <w:bookmarkStart w:id="330" w:name="_Toc7662"/>
      <w:r>
        <w:rPr>
          <w:rFonts w:hint="eastAsia" w:cs="宋体" w:asciiTheme="minorEastAsia" w:hAnsiTheme="minorEastAsia" w:eastAsiaTheme="minorEastAsia"/>
          <w:bCs/>
          <w:sz w:val="30"/>
          <w:szCs w:val="30"/>
        </w:rPr>
        <w:t>六、法定代表人/负责人/个人独资企业投资人证明书</w:t>
      </w:r>
      <w:bookmarkEnd w:id="326"/>
      <w:bookmarkEnd w:id="327"/>
      <w:bookmarkEnd w:id="328"/>
      <w:bookmarkEnd w:id="329"/>
      <w:bookmarkEnd w:id="330"/>
    </w:p>
    <w:p>
      <w:pPr>
        <w:pStyle w:val="4"/>
        <w:spacing w:line="520" w:lineRule="exact"/>
        <w:ind w:firstLine="0"/>
        <w:rPr>
          <w:rFonts w:asciiTheme="minorEastAsia" w:hAnsiTheme="minorEastAsia" w:eastAsiaTheme="minorEastAsia"/>
          <w:b/>
          <w:bCs/>
          <w:sz w:val="28"/>
          <w:szCs w:val="28"/>
        </w:rPr>
      </w:pPr>
    </w:p>
    <w:p>
      <w:pPr>
        <w:spacing w:line="52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u w:val="single"/>
        </w:rPr>
        <w:t xml:space="preserve">     （姓名）      </w:t>
      </w:r>
      <w:r>
        <w:rPr>
          <w:rFonts w:hint="eastAsia" w:cs="宋体" w:asciiTheme="minorEastAsia" w:hAnsiTheme="minorEastAsia" w:eastAsiaTheme="minorEastAsia"/>
          <w:bCs/>
          <w:sz w:val="28"/>
          <w:szCs w:val="28"/>
        </w:rPr>
        <w:t>现任我单位</w:t>
      </w:r>
      <w:r>
        <w:rPr>
          <w:rFonts w:hint="eastAsia" w:cs="宋体" w:asciiTheme="minorEastAsia" w:hAnsiTheme="minorEastAsia" w:eastAsiaTheme="minorEastAsia"/>
          <w:bCs/>
          <w:sz w:val="28"/>
          <w:szCs w:val="28"/>
          <w:u w:val="single"/>
        </w:rPr>
        <w:t xml:space="preserve">     （公司名）      </w:t>
      </w:r>
      <w:r>
        <w:rPr>
          <w:rFonts w:hint="eastAsia" w:cs="宋体" w:asciiTheme="minorEastAsia" w:hAnsiTheme="minorEastAsia" w:eastAsiaTheme="minorEastAsia"/>
          <w:bCs/>
          <w:sz w:val="28"/>
          <w:szCs w:val="28"/>
        </w:rPr>
        <w:t xml:space="preserve"> 的法定代表人/负责人/个人独资企业投资人，现作为本单位的合法代理人，就</w:t>
      </w:r>
      <w:r>
        <w:rPr>
          <w:rFonts w:hint="eastAsia" w:cs="宋体" w:asciiTheme="minorEastAsia" w:hAnsiTheme="minorEastAsia" w:eastAsiaTheme="minorEastAsia"/>
          <w:bCs/>
          <w:sz w:val="28"/>
          <w:szCs w:val="28"/>
          <w:u w:val="single"/>
        </w:rPr>
        <w:t xml:space="preserve">            （项目名称）        </w:t>
      </w:r>
      <w:r>
        <w:rPr>
          <w:rFonts w:hint="eastAsia" w:cs="宋体" w:asciiTheme="minorEastAsia" w:hAnsiTheme="minorEastAsia" w:eastAsiaTheme="minorEastAsia"/>
          <w:bCs/>
          <w:sz w:val="28"/>
          <w:szCs w:val="28"/>
        </w:rPr>
        <w:t>（采购编号：      ）的响应，以本单位名义处理一切与之有关的事务。</w:t>
      </w:r>
    </w:p>
    <w:p>
      <w:pPr>
        <w:spacing w:line="52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有效期限：</w:t>
      </w:r>
      <w:r>
        <w:rPr>
          <w:rFonts w:hint="eastAsia" w:cs="宋体" w:asciiTheme="minorEastAsia" w:hAnsiTheme="minorEastAsia" w:eastAsiaTheme="minorEastAsia"/>
          <w:bCs/>
          <w:sz w:val="28"/>
          <w:szCs w:val="28"/>
          <w:u w:val="single"/>
        </w:rPr>
        <w:t xml:space="preserve">                             </w:t>
      </w:r>
    </w:p>
    <w:p>
      <w:pPr>
        <w:spacing w:line="52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附：法定代表人/负责人/个人独资企业投资人</w:t>
      </w:r>
    </w:p>
    <w:p>
      <w:pPr>
        <w:spacing w:line="52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性别：</w:t>
      </w:r>
      <w:r>
        <w:rPr>
          <w:rFonts w:hint="eastAsia"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年龄：</w:t>
      </w:r>
      <w:r>
        <w:rPr>
          <w:rFonts w:hint="eastAsia"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 xml:space="preserve">身份证号码：_________       </w:t>
      </w:r>
    </w:p>
    <w:p>
      <w:pPr>
        <w:spacing w:line="52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要求：</w:t>
      </w:r>
    </w:p>
    <w:p>
      <w:pPr>
        <w:spacing w:line="520" w:lineRule="exact"/>
        <w:ind w:firstLine="481"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1.如供应商由授权代表签署响应文件，则应当提交《授权委托书》代替《法定代表人/负责人/个人独资企业投资人证明书》。</w:t>
      </w:r>
    </w:p>
    <w:p>
      <w:pPr>
        <w:spacing w:line="520" w:lineRule="exact"/>
        <w:ind w:firstLine="481" w:firstLineChars="200"/>
        <w:rPr>
          <w:rFonts w:cs="宋体" w:asciiTheme="minorEastAsia" w:hAnsiTheme="minorEastAsia" w:eastAsiaTheme="minorEastAsia"/>
          <w:sz w:val="24"/>
          <w:u w:val="single"/>
        </w:rPr>
      </w:pPr>
      <w:r>
        <w:rPr>
          <w:rFonts w:hint="eastAsia" w:cs="宋体" w:asciiTheme="minorEastAsia" w:hAnsiTheme="minorEastAsia" w:eastAsiaTheme="minorEastAsia"/>
          <w:b/>
          <w:sz w:val="24"/>
        </w:rPr>
        <w:t>2.供应商应在响应文件中提供法定代表人/负责人/个人独资企业投资人的有效身份证复印件以核实其身份。</w:t>
      </w:r>
    </w:p>
    <w:p>
      <w:pPr>
        <w:pStyle w:val="4"/>
        <w:spacing w:line="480" w:lineRule="exact"/>
        <w:ind w:firstLine="480" w:firstLineChars="200"/>
        <w:rPr>
          <w:rFonts w:asciiTheme="minorEastAsia" w:hAnsiTheme="minorEastAsia" w:eastAsiaTheme="minorEastAsia"/>
          <w:sz w:val="21"/>
          <w:szCs w:val="21"/>
        </w:rPr>
      </w:pPr>
      <w:r>
        <w:rPr>
          <w:rFonts w:cs="宋体" w:asciiTheme="minorEastAsia" w:hAnsiTheme="minorEastAsia" w:eastAsia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63500</wp:posOffset>
                </wp:positionH>
                <wp:positionV relativeFrom="paragraph">
                  <wp:posOffset>142875</wp:posOffset>
                </wp:positionV>
                <wp:extent cx="2382520" cy="1542415"/>
                <wp:effectExtent l="0" t="0" r="17780" b="19685"/>
                <wp:wrapNone/>
                <wp:docPr id="6" name="矩形 6"/>
                <wp:cNvGraphicFramePr/>
                <a:graphic xmlns:a="http://schemas.openxmlformats.org/drawingml/2006/main">
                  <a:graphicData uri="http://schemas.microsoft.com/office/word/2010/wordprocessingShape">
                    <wps:wsp>
                      <wps:cNvSpPr/>
                      <wps:spPr>
                        <a:xfrm>
                          <a:off x="0" y="0"/>
                          <a:ext cx="2382520" cy="1542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b/>
                                <w:szCs w:val="21"/>
                              </w:rPr>
                            </w:pPr>
                          </w:p>
                          <w:p>
                            <w:pPr>
                              <w:rPr>
                                <w:rFonts w:ascii="宋体" w:hAnsi="宋体"/>
                                <w:b/>
                                <w:szCs w:val="21"/>
                              </w:rPr>
                            </w:pPr>
                          </w:p>
                          <w:p>
                            <w:pPr>
                              <w:rPr>
                                <w:rFonts w:ascii="宋体" w:hAnsi="宋体"/>
                                <w:b/>
                                <w:szCs w:val="21"/>
                              </w:rPr>
                            </w:pPr>
                          </w:p>
                          <w:p>
                            <w:r>
                              <w:rPr>
                                <w:rFonts w:hint="eastAsia" w:ascii="宋体" w:hAnsi="宋体"/>
                                <w:b/>
                                <w:szCs w:val="21"/>
                              </w:rPr>
                              <w:t>法定代表人/负责人/个人独资企业投资人的有效身份证复印件正面</w:t>
                            </w:r>
                          </w:p>
                        </w:txbxContent>
                      </wps:txbx>
                      <wps:bodyPr upright="true"/>
                    </wps:wsp>
                  </a:graphicData>
                </a:graphic>
              </wp:anchor>
            </w:drawing>
          </mc:Choice>
          <mc:Fallback>
            <w:pict>
              <v:rect id="_x0000_s1026" o:spid="_x0000_s1026" o:spt="1" style="position:absolute;left:0pt;margin-left:5pt;margin-top:11.25pt;height:121.45pt;width:187.6pt;z-index:251663360;mso-width-relative:page;mso-height-relative:page;" fillcolor="#FFFFFF" filled="t" stroked="t" coordsize="21600,21600" o:gfxdata="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mS4Gf9cAAAAJAQAADwAAAAAAAAABACAAAAA4AAAAZHJzL2Rvd25y&#10;ZXYueG1sUEsBAhQAFAAAAAgAh07iQG6t1BfpAQAA3wMAAA4AAAAAAAAAAQAgAAAAPAEAAGRycy9l&#10;Mm9Eb2MueG1sUEsFBgAAAAAGAAYAWQEAAJcFAAAAAA==&#10;">
                <v:fill on="t" focussize="0,0"/>
                <v:stroke color="#000000" joinstyle="miter"/>
                <v:imagedata o:title=""/>
                <o:lock v:ext="edit" aspectratio="f"/>
                <v:textbox>
                  <w:txbxContent>
                    <w:p>
                      <w:pPr>
                        <w:rPr>
                          <w:rFonts w:ascii="宋体" w:hAnsi="宋体"/>
                          <w:b/>
                          <w:szCs w:val="21"/>
                        </w:rPr>
                      </w:pPr>
                    </w:p>
                    <w:p>
                      <w:pPr>
                        <w:rPr>
                          <w:rFonts w:ascii="宋体" w:hAnsi="宋体"/>
                          <w:b/>
                          <w:szCs w:val="21"/>
                        </w:rPr>
                      </w:pPr>
                    </w:p>
                    <w:p>
                      <w:pPr>
                        <w:rPr>
                          <w:rFonts w:ascii="宋体" w:hAnsi="宋体"/>
                          <w:b/>
                          <w:szCs w:val="21"/>
                        </w:rPr>
                      </w:pPr>
                    </w:p>
                    <w:p>
                      <w:r>
                        <w:rPr>
                          <w:rFonts w:hint="eastAsia" w:ascii="宋体" w:hAnsi="宋体"/>
                          <w:b/>
                          <w:szCs w:val="21"/>
                        </w:rPr>
                        <w:t>法定代表人/负责人/个人独资企业投资人的有效身份证复印件正面</w:t>
                      </w:r>
                    </w:p>
                  </w:txbxContent>
                </v:textbox>
              </v:rect>
            </w:pict>
          </mc:Fallback>
        </mc:AlternateContent>
      </w:r>
      <w:r>
        <w:rPr>
          <w:rFonts w:asciiTheme="minorEastAsia" w:hAnsiTheme="minorEastAsia" w:eastAsiaTheme="minorEastAsia"/>
          <w:sz w:val="21"/>
          <w:szCs w:val="21"/>
        </w:rPr>
        <mc:AlternateContent>
          <mc:Choice Requires="wps">
            <w:drawing>
              <wp:anchor distT="0" distB="0" distL="114300" distR="114300" simplePos="0" relativeHeight="251664384" behindDoc="0" locked="0" layoutInCell="1" allowOverlap="1">
                <wp:simplePos x="0" y="0"/>
                <wp:positionH relativeFrom="column">
                  <wp:posOffset>2895600</wp:posOffset>
                </wp:positionH>
                <wp:positionV relativeFrom="paragraph">
                  <wp:posOffset>142875</wp:posOffset>
                </wp:positionV>
                <wp:extent cx="2382520" cy="1542415"/>
                <wp:effectExtent l="0" t="0" r="17780" b="19685"/>
                <wp:wrapNone/>
                <wp:docPr id="5" name="矩形 5"/>
                <wp:cNvGraphicFramePr/>
                <a:graphic xmlns:a="http://schemas.openxmlformats.org/drawingml/2006/main">
                  <a:graphicData uri="http://schemas.microsoft.com/office/word/2010/wordprocessingShape">
                    <wps:wsp>
                      <wps:cNvSpPr/>
                      <wps:spPr>
                        <a:xfrm>
                          <a:off x="0" y="0"/>
                          <a:ext cx="2382520" cy="1542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b/>
                                <w:szCs w:val="21"/>
                              </w:rPr>
                            </w:pPr>
                          </w:p>
                          <w:p>
                            <w:pPr>
                              <w:rPr>
                                <w:rFonts w:ascii="宋体" w:hAnsi="宋体"/>
                                <w:b/>
                                <w:szCs w:val="21"/>
                              </w:rPr>
                            </w:pPr>
                          </w:p>
                          <w:p>
                            <w:pPr>
                              <w:rPr>
                                <w:rFonts w:ascii="宋体" w:hAnsi="宋体"/>
                                <w:b/>
                                <w:szCs w:val="21"/>
                              </w:rPr>
                            </w:pPr>
                          </w:p>
                          <w:p>
                            <w:r>
                              <w:rPr>
                                <w:rFonts w:hint="eastAsia" w:ascii="宋体" w:hAnsi="宋体"/>
                                <w:b/>
                                <w:szCs w:val="21"/>
                              </w:rPr>
                              <w:t>法定代表人/负责人/个人独资企业投资人的有效身份证复印件背面</w:t>
                            </w:r>
                          </w:p>
                        </w:txbxContent>
                      </wps:txbx>
                      <wps:bodyPr upright="true"/>
                    </wps:wsp>
                  </a:graphicData>
                </a:graphic>
              </wp:anchor>
            </w:drawing>
          </mc:Choice>
          <mc:Fallback>
            <w:pict>
              <v:rect id="_x0000_s1026" o:spid="_x0000_s1026" o:spt="1" style="position:absolute;left:0pt;margin-left:228pt;margin-top:11.25pt;height:121.45pt;width:187.6pt;z-index:251664384;mso-width-relative:page;mso-height-relative:page;" fillcolor="#FFFFFF" filled="t" stroked="t" coordsize="21600,21600" o:gfxdata="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7AsEDZAAAACgEAAA8AAAAAAAAAAQAgAAAAOAAAAGRycy9k&#10;b3ducmV2LnhtbFBLAQIUABQAAAAIAIdO4kDszSO36wEAAN8DAAAOAAAAAAAAAAEAIAAAAD4BAABk&#10;cnMvZTJvRG9jLnhtbFBLBQYAAAAABgAGAFkBAACbBQAAAAA=&#10;">
                <v:fill on="t" focussize="0,0"/>
                <v:stroke color="#000000" joinstyle="miter"/>
                <v:imagedata o:title=""/>
                <o:lock v:ext="edit" aspectratio="f"/>
                <v:textbox>
                  <w:txbxContent>
                    <w:p>
                      <w:pPr>
                        <w:rPr>
                          <w:rFonts w:ascii="宋体" w:hAnsi="宋体"/>
                          <w:b/>
                          <w:szCs w:val="21"/>
                        </w:rPr>
                      </w:pPr>
                    </w:p>
                    <w:p>
                      <w:pPr>
                        <w:rPr>
                          <w:rFonts w:ascii="宋体" w:hAnsi="宋体"/>
                          <w:b/>
                          <w:szCs w:val="21"/>
                        </w:rPr>
                      </w:pPr>
                    </w:p>
                    <w:p>
                      <w:pPr>
                        <w:rPr>
                          <w:rFonts w:ascii="宋体" w:hAnsi="宋体"/>
                          <w:b/>
                          <w:szCs w:val="21"/>
                        </w:rPr>
                      </w:pPr>
                    </w:p>
                    <w:p>
                      <w:r>
                        <w:rPr>
                          <w:rFonts w:hint="eastAsia" w:ascii="宋体" w:hAnsi="宋体"/>
                          <w:b/>
                          <w:szCs w:val="21"/>
                        </w:rPr>
                        <w:t>法定代表人/负责人/个人独资企业投资人的有效身份证复印件背面</w:t>
                      </w:r>
                    </w:p>
                  </w:txbxContent>
                </v:textbox>
              </v:rect>
            </w:pict>
          </mc:Fallback>
        </mc:AlternateContent>
      </w:r>
    </w:p>
    <w:p>
      <w:pPr>
        <w:pStyle w:val="4"/>
        <w:spacing w:line="480" w:lineRule="exact"/>
        <w:ind w:firstLineChars="200"/>
        <w:rPr>
          <w:rFonts w:asciiTheme="minorEastAsia" w:hAnsiTheme="minorEastAsia" w:eastAsiaTheme="minorEastAsia"/>
          <w:sz w:val="21"/>
          <w:szCs w:val="21"/>
        </w:rPr>
      </w:pPr>
    </w:p>
    <w:p>
      <w:pPr>
        <w:pStyle w:val="4"/>
        <w:spacing w:line="480" w:lineRule="exact"/>
        <w:ind w:firstLineChars="200"/>
        <w:rPr>
          <w:rFonts w:asciiTheme="minorEastAsia" w:hAnsiTheme="minorEastAsia" w:eastAsiaTheme="minorEastAsia"/>
          <w:sz w:val="21"/>
          <w:szCs w:val="21"/>
        </w:rPr>
      </w:pPr>
    </w:p>
    <w:p>
      <w:pPr>
        <w:pStyle w:val="4"/>
        <w:spacing w:line="480" w:lineRule="exact"/>
        <w:ind w:firstLineChars="200"/>
        <w:rPr>
          <w:rFonts w:asciiTheme="minorEastAsia" w:hAnsiTheme="minorEastAsia" w:eastAsiaTheme="minorEastAsia"/>
          <w:sz w:val="21"/>
          <w:szCs w:val="21"/>
        </w:rPr>
      </w:pPr>
    </w:p>
    <w:p>
      <w:pPr>
        <w:pStyle w:val="4"/>
        <w:spacing w:line="480" w:lineRule="exact"/>
        <w:ind w:firstLineChars="200"/>
        <w:rPr>
          <w:rFonts w:asciiTheme="minorEastAsia" w:hAnsiTheme="minorEastAsia" w:eastAsiaTheme="minorEastAsia"/>
          <w:sz w:val="21"/>
          <w:szCs w:val="21"/>
        </w:rPr>
      </w:pPr>
    </w:p>
    <w:p>
      <w:pPr>
        <w:pStyle w:val="4"/>
        <w:spacing w:line="480" w:lineRule="exact"/>
        <w:ind w:firstLineChars="200"/>
        <w:rPr>
          <w:rFonts w:asciiTheme="minorEastAsia" w:hAnsiTheme="minorEastAsia" w:eastAsiaTheme="minorEastAsia"/>
          <w:sz w:val="21"/>
          <w:szCs w:val="21"/>
        </w:rPr>
      </w:pPr>
    </w:p>
    <w:p>
      <w:pPr>
        <w:pStyle w:val="4"/>
        <w:spacing w:line="480" w:lineRule="exact"/>
        <w:ind w:firstLineChars="200"/>
        <w:rPr>
          <w:rFonts w:asciiTheme="minorEastAsia" w:hAnsiTheme="minorEastAsia" w:eastAsiaTheme="minorEastAsia"/>
          <w:sz w:val="21"/>
          <w:szCs w:val="21"/>
        </w:rPr>
      </w:pPr>
    </w:p>
    <w:p>
      <w:pPr>
        <w:pStyle w:val="4"/>
        <w:spacing w:line="480" w:lineRule="exact"/>
        <w:ind w:firstLine="421" w:firstLineChars="200"/>
        <w:rPr>
          <w:rFonts w:asciiTheme="minorEastAsia" w:hAnsiTheme="minorEastAsia" w:eastAsiaTheme="minorEastAsia"/>
          <w:b/>
          <w:bCs/>
          <w:sz w:val="21"/>
          <w:szCs w:val="21"/>
        </w:rPr>
      </w:pPr>
    </w:p>
    <w:p>
      <w:pPr>
        <w:pStyle w:val="4"/>
        <w:spacing w:line="480" w:lineRule="exact"/>
        <w:ind w:firstLine="0"/>
        <w:rPr>
          <w:rFonts w:asciiTheme="minorEastAsia" w:hAnsiTheme="minorEastAsia" w:eastAsiaTheme="minorEastAsia"/>
          <w:b/>
          <w:bCs/>
          <w:sz w:val="28"/>
          <w:szCs w:val="24"/>
        </w:rPr>
      </w:pPr>
      <w:r>
        <w:rPr>
          <w:rFonts w:hint="eastAsia" w:cs="宋体" w:asciiTheme="minorEastAsia" w:hAnsiTheme="minorEastAsia" w:eastAsiaTheme="minorEastAsia"/>
          <w:b/>
          <w:bCs/>
          <w:sz w:val="28"/>
          <w:szCs w:val="24"/>
        </w:rPr>
        <w:t>投标人名称</w:t>
      </w:r>
      <w:r>
        <w:rPr>
          <w:rFonts w:hint="eastAsia" w:asciiTheme="minorEastAsia" w:hAnsiTheme="minorEastAsia" w:eastAsiaTheme="minorEastAsia"/>
          <w:b/>
          <w:bCs/>
          <w:sz w:val="28"/>
          <w:szCs w:val="24"/>
        </w:rPr>
        <w:t>（盖章）：</w:t>
      </w:r>
      <w:r>
        <w:rPr>
          <w:rFonts w:hint="eastAsia" w:asciiTheme="minorEastAsia" w:hAnsiTheme="minorEastAsia" w:eastAsiaTheme="minorEastAsia"/>
          <w:b/>
          <w:bCs/>
          <w:sz w:val="28"/>
          <w:szCs w:val="24"/>
          <w:u w:val="single"/>
        </w:rPr>
        <w:t xml:space="preserve">                       </w:t>
      </w:r>
    </w:p>
    <w:p>
      <w:pPr>
        <w:pStyle w:val="4"/>
        <w:spacing w:line="480" w:lineRule="exact"/>
        <w:ind w:firstLine="562" w:firstLineChars="200"/>
        <w:rPr>
          <w:rFonts w:asciiTheme="minorEastAsia" w:hAnsiTheme="minorEastAsia" w:eastAsiaTheme="minorEastAsia"/>
          <w:b/>
          <w:bCs/>
          <w:sz w:val="28"/>
          <w:szCs w:val="24"/>
        </w:rPr>
      </w:pPr>
    </w:p>
    <w:p>
      <w:pPr>
        <w:pStyle w:val="4"/>
        <w:spacing w:line="480" w:lineRule="exact"/>
        <w:ind w:firstLine="0"/>
        <w:rPr>
          <w:rFonts w:asciiTheme="minorEastAsia" w:hAnsiTheme="minorEastAsia" w:eastAsiaTheme="minorEastAsia"/>
          <w:b/>
          <w:bCs/>
          <w:sz w:val="28"/>
          <w:szCs w:val="24"/>
          <w:u w:val="single"/>
        </w:rPr>
      </w:pPr>
      <w:r>
        <w:rPr>
          <w:rFonts w:hint="eastAsia" w:asciiTheme="minorEastAsia" w:hAnsiTheme="minorEastAsia" w:eastAsiaTheme="minorEastAsia"/>
          <w:b/>
          <w:bCs/>
          <w:sz w:val="28"/>
          <w:szCs w:val="24"/>
        </w:rPr>
        <w:t>法定代表人/负责人/个人独资企业投资人（签字或盖私章）：</w:t>
      </w:r>
      <w:r>
        <w:rPr>
          <w:rFonts w:hint="eastAsia" w:asciiTheme="minorEastAsia" w:hAnsiTheme="minorEastAsia" w:eastAsiaTheme="minorEastAsia"/>
          <w:b/>
          <w:bCs/>
          <w:sz w:val="28"/>
          <w:szCs w:val="24"/>
          <w:u w:val="single"/>
        </w:rPr>
        <w:t xml:space="preserve">              </w:t>
      </w:r>
    </w:p>
    <w:p>
      <w:pPr>
        <w:pStyle w:val="4"/>
        <w:spacing w:line="480" w:lineRule="exact"/>
        <w:ind w:firstLine="481" w:firstLineChars="200"/>
        <w:rPr>
          <w:rFonts w:asciiTheme="minorEastAsia" w:hAnsiTheme="minorEastAsia" w:eastAsiaTheme="minorEastAsia"/>
          <w:b/>
          <w:bCs/>
          <w:sz w:val="24"/>
          <w:szCs w:val="24"/>
          <w:u w:val="single"/>
        </w:rPr>
      </w:pPr>
    </w:p>
    <w:p>
      <w:pPr>
        <w:pStyle w:val="4"/>
        <w:spacing w:line="480" w:lineRule="exact"/>
        <w:ind w:firstLine="481" w:firstLineChars="200"/>
        <w:rPr>
          <w:rFonts w:asciiTheme="minorEastAsia" w:hAnsiTheme="minorEastAsia" w:eastAsiaTheme="minorEastAsia"/>
          <w:b/>
          <w:bCs/>
          <w:sz w:val="24"/>
          <w:szCs w:val="24"/>
          <w:u w:val="single"/>
        </w:rPr>
      </w:pPr>
    </w:p>
    <w:p>
      <w:pPr>
        <w:pStyle w:val="4"/>
        <w:spacing w:line="480" w:lineRule="exact"/>
        <w:ind w:firstLine="481" w:firstLineChars="200"/>
        <w:rPr>
          <w:rFonts w:asciiTheme="minorEastAsia" w:hAnsiTheme="minorEastAsia" w:eastAsiaTheme="minorEastAsia"/>
          <w:b/>
          <w:bCs/>
          <w:sz w:val="24"/>
          <w:szCs w:val="24"/>
          <w:u w:val="single"/>
        </w:rPr>
      </w:pPr>
    </w:p>
    <w:bookmarkEnd w:id="313"/>
    <w:bookmarkEnd w:id="314"/>
    <w:bookmarkEnd w:id="315"/>
    <w:bookmarkEnd w:id="316"/>
    <w:bookmarkEnd w:id="317"/>
    <w:bookmarkEnd w:id="318"/>
    <w:bookmarkEnd w:id="319"/>
    <w:bookmarkEnd w:id="320"/>
    <w:bookmarkEnd w:id="321"/>
    <w:bookmarkEnd w:id="322"/>
    <w:bookmarkEnd w:id="323"/>
    <w:bookmarkEnd w:id="324"/>
    <w:p>
      <w:pPr>
        <w:pStyle w:val="3"/>
        <w:spacing w:before="0" w:after="0" w:line="480" w:lineRule="exact"/>
        <w:rPr>
          <w:rFonts w:cs="宋体" w:asciiTheme="minorEastAsia" w:hAnsiTheme="minorEastAsia" w:eastAsiaTheme="minorEastAsia"/>
          <w:bCs/>
          <w:sz w:val="36"/>
          <w:szCs w:val="36"/>
        </w:rPr>
      </w:pPr>
      <w:bookmarkStart w:id="331" w:name="_Toc4697"/>
      <w:bookmarkStart w:id="332" w:name="_Toc1468"/>
      <w:r>
        <w:rPr>
          <w:rFonts w:hint="eastAsia" w:cs="宋体" w:asciiTheme="minorEastAsia" w:hAnsiTheme="minorEastAsia" w:eastAsiaTheme="minorEastAsia"/>
          <w:bCs/>
          <w:sz w:val="30"/>
          <w:szCs w:val="30"/>
        </w:rPr>
        <w:t>七、资格证明书</w:t>
      </w:r>
      <w:bookmarkEnd w:id="331"/>
      <w:bookmarkEnd w:id="332"/>
    </w:p>
    <w:p>
      <w:pPr>
        <w:tabs>
          <w:tab w:val="left" w:pos="993"/>
        </w:tabs>
        <w:snapToGrid w:val="0"/>
        <w:spacing w:line="520" w:lineRule="exact"/>
        <w:ind w:firstLine="560" w:firstLineChars="200"/>
        <w:rPr>
          <w:rFonts w:cs="宋体" w:asciiTheme="minorEastAsia" w:hAnsiTheme="minorEastAsia" w:eastAsiaTheme="minorEastAsia"/>
          <w:sz w:val="28"/>
        </w:rPr>
      </w:pPr>
      <w:r>
        <w:rPr>
          <w:rFonts w:cs="宋体" w:asciiTheme="minorEastAsia" w:hAnsiTheme="minorEastAsia" w:eastAsiaTheme="minorEastAsia"/>
          <w:sz w:val="28"/>
        </w:rPr>
        <w:t>1.营业执照（副本）；</w:t>
      </w:r>
    </w:p>
    <w:p>
      <w:pPr>
        <w:tabs>
          <w:tab w:val="left" w:pos="993"/>
        </w:tabs>
        <w:snapToGrid w:val="0"/>
        <w:spacing w:line="520" w:lineRule="exact"/>
        <w:ind w:firstLine="560" w:firstLineChars="200"/>
        <w:rPr>
          <w:rFonts w:cs="宋体" w:asciiTheme="minorEastAsia" w:hAnsiTheme="minorEastAsia" w:eastAsiaTheme="minorEastAsia"/>
          <w:sz w:val="28"/>
        </w:rPr>
      </w:pPr>
      <w:r>
        <w:rPr>
          <w:rFonts w:cs="宋体" w:asciiTheme="minorEastAsia" w:hAnsiTheme="minorEastAsia" w:eastAsiaTheme="minorEastAsia"/>
          <w:sz w:val="28"/>
        </w:rPr>
        <w:t>2.税务登记证（副本）；（如果是多合一的营业执照，可以不提供税务登记证）</w:t>
      </w:r>
    </w:p>
    <w:p>
      <w:pPr>
        <w:tabs>
          <w:tab w:val="left" w:pos="993"/>
        </w:tabs>
        <w:snapToGrid w:val="0"/>
        <w:spacing w:line="520" w:lineRule="exact"/>
        <w:ind w:firstLine="560" w:firstLineChars="200"/>
        <w:rPr>
          <w:rFonts w:cs="宋体" w:asciiTheme="minorEastAsia" w:hAnsiTheme="minorEastAsia" w:eastAsiaTheme="minorEastAsia"/>
          <w:sz w:val="28"/>
        </w:rPr>
      </w:pPr>
      <w:r>
        <w:rPr>
          <w:rFonts w:cs="宋体" w:asciiTheme="minorEastAsia" w:hAnsiTheme="minorEastAsia" w:eastAsiaTheme="minorEastAsia"/>
          <w:sz w:val="28"/>
        </w:rPr>
        <w:t>3.</w:t>
      </w:r>
      <w:r>
        <w:rPr>
          <w:rFonts w:hint="eastAsia" w:cs="宋体" w:asciiTheme="minorEastAsia" w:hAnsiTheme="minorEastAsia" w:eastAsiaTheme="minorEastAsia"/>
          <w:sz w:val="28"/>
        </w:rPr>
        <w:t>相关证明文件：</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w:t>
      </w:r>
      <w:r>
        <w:rPr>
          <w:rFonts w:cs="宋体" w:asciiTheme="minorEastAsia" w:hAnsiTheme="minorEastAsia" w:eastAsiaTheme="minorEastAsia"/>
          <w:sz w:val="28"/>
        </w:rPr>
        <w:t>1）</w:t>
      </w:r>
      <w:r>
        <w:rPr>
          <w:rFonts w:hint="eastAsia" w:cs="宋体" w:asciiTheme="minorEastAsia" w:hAnsiTheme="minorEastAsia" w:eastAsiaTheme="minorEastAsia"/>
          <w:sz w:val="28"/>
        </w:rPr>
        <w:t>投标人的2021 年财务报表(新成立公司提供成立至今的月或季度财务报表）复印件，加盖投标人公章。</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w:t>
      </w:r>
      <w:r>
        <w:rPr>
          <w:rFonts w:cs="宋体" w:asciiTheme="minorEastAsia" w:hAnsiTheme="minorEastAsia" w:eastAsiaTheme="minorEastAsia"/>
          <w:sz w:val="28"/>
        </w:rPr>
        <w:t>2）投标截止日前6个月内任意1个月依法缴纳税收证明</w:t>
      </w:r>
      <w:r>
        <w:rPr>
          <w:rFonts w:hint="eastAsia" w:cs="宋体" w:asciiTheme="minorEastAsia" w:hAnsiTheme="minorEastAsia" w:eastAsiaTheme="minorEastAsia"/>
          <w:sz w:val="28"/>
        </w:rPr>
        <w:t>和缴纳</w:t>
      </w:r>
      <w:r>
        <w:rPr>
          <w:rFonts w:cs="宋体" w:asciiTheme="minorEastAsia" w:hAnsiTheme="minorEastAsia" w:eastAsiaTheme="minorEastAsia"/>
          <w:sz w:val="28"/>
        </w:rPr>
        <w:t>社会保障资金证明。新成立的供应商提供成立至今的有关证明资料。如依法免税或不须要缴纳社会保障资金的，提供相应证明材料；</w:t>
      </w:r>
    </w:p>
    <w:p>
      <w:pPr>
        <w:tabs>
          <w:tab w:val="left" w:pos="993"/>
        </w:tabs>
        <w:snapToGrid w:val="0"/>
        <w:spacing w:line="520" w:lineRule="exact"/>
        <w:ind w:firstLine="560" w:firstLineChars="200"/>
        <w:rPr>
          <w:rFonts w:cs="宋体" w:asciiTheme="minorEastAsia" w:hAnsiTheme="minorEastAsia" w:eastAsiaTheme="minorEastAsia"/>
          <w:kern w:val="1"/>
          <w:sz w:val="28"/>
        </w:rPr>
      </w:pPr>
      <w:r>
        <w:rPr>
          <w:rFonts w:cs="宋体" w:asciiTheme="minorEastAsia" w:hAnsiTheme="minorEastAsia" w:eastAsiaTheme="minorEastAsia"/>
          <w:sz w:val="28"/>
        </w:rPr>
        <w:t>4.</w:t>
      </w:r>
      <w:r>
        <w:rPr>
          <w:rFonts w:hint="eastAsia"/>
        </w:rPr>
        <w:t xml:space="preserve"> </w:t>
      </w:r>
      <w:r>
        <w:rPr>
          <w:rFonts w:hint="eastAsia" w:cs="宋体" w:asciiTheme="minorEastAsia" w:hAnsiTheme="minorEastAsia" w:eastAsiaTheme="minorEastAsia"/>
          <w:kern w:val="1"/>
          <w:sz w:val="28"/>
        </w:rPr>
        <w:t>以评审当天评标小组在“信用中国”网站(www.creditchina.gov.cn)的查询结果（网页打印）为准。如相关失信记录已失效，投标人须提供相关证明材料。</w:t>
      </w:r>
    </w:p>
    <w:p>
      <w:pPr>
        <w:tabs>
          <w:tab w:val="left" w:pos="993"/>
        </w:tabs>
        <w:snapToGrid w:val="0"/>
        <w:spacing w:line="520" w:lineRule="exact"/>
        <w:ind w:firstLine="560" w:firstLineChars="200"/>
        <w:rPr>
          <w:rFonts w:cs="宋体" w:asciiTheme="minorEastAsia" w:hAnsiTheme="minorEastAsia" w:eastAsiaTheme="minorEastAsia"/>
          <w:kern w:val="1"/>
          <w:sz w:val="28"/>
        </w:rPr>
      </w:pPr>
      <w:r>
        <w:rPr>
          <w:rFonts w:cs="宋体" w:asciiTheme="minorEastAsia" w:hAnsiTheme="minorEastAsia" w:eastAsiaTheme="minorEastAsia"/>
          <w:kern w:val="1"/>
          <w:sz w:val="28"/>
        </w:rPr>
        <w:t>5.有效的《中华人民共和国金融许可证》。</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6</w:t>
      </w:r>
      <w:r>
        <w:rPr>
          <w:rFonts w:cs="宋体" w:asciiTheme="minorEastAsia" w:hAnsiTheme="minorEastAsia" w:eastAsiaTheme="minorEastAsia"/>
          <w:sz w:val="28"/>
        </w:rPr>
        <w:t>.招标文件要求的其他资料；</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7</w:t>
      </w:r>
      <w:r>
        <w:rPr>
          <w:rFonts w:cs="宋体" w:asciiTheme="minorEastAsia" w:hAnsiTheme="minorEastAsia" w:eastAsiaTheme="minorEastAsia"/>
          <w:sz w:val="28"/>
        </w:rPr>
        <w:t>.投标人认为须要提供的其他资料；</w:t>
      </w:r>
    </w:p>
    <w:p>
      <w:pPr>
        <w:spacing w:line="520" w:lineRule="exact"/>
        <w:rPr>
          <w:rFonts w:cs="宋体" w:asciiTheme="minorEastAsia" w:hAnsiTheme="minorEastAsia" w:eastAsiaTheme="minorEastAsia"/>
          <w:b/>
          <w:bCs/>
          <w:sz w:val="28"/>
        </w:rPr>
      </w:pPr>
    </w:p>
    <w:p>
      <w:pPr>
        <w:spacing w:line="520" w:lineRule="exact"/>
        <w:rPr>
          <w:rFonts w:cs="宋体" w:asciiTheme="minorEastAsia" w:hAnsiTheme="minorEastAsia" w:eastAsiaTheme="minorEastAsia"/>
          <w:b/>
          <w:bCs/>
          <w:sz w:val="28"/>
        </w:rPr>
      </w:pPr>
      <w:r>
        <w:rPr>
          <w:rFonts w:hint="eastAsia" w:cs="宋体" w:asciiTheme="minorEastAsia" w:hAnsiTheme="minorEastAsia" w:eastAsiaTheme="minorEastAsia"/>
          <w:b/>
          <w:bCs/>
          <w:sz w:val="28"/>
        </w:rPr>
        <w:t>要求：投标人应当在投标文件中提供以上证书或文件的复印件（复印件加盖公章）。</w:t>
      </w:r>
    </w:p>
    <w:p>
      <w:pPr>
        <w:spacing w:line="480" w:lineRule="exact"/>
        <w:ind w:firstLine="481" w:firstLineChars="200"/>
        <w:rPr>
          <w:rFonts w:cs="宋体" w:asciiTheme="minorEastAsia" w:hAnsiTheme="minorEastAsia" w:eastAsiaTheme="minorEastAsia"/>
          <w:b/>
          <w:bCs/>
          <w:sz w:val="24"/>
        </w:rPr>
      </w:pPr>
    </w:p>
    <w:p>
      <w:pPr>
        <w:spacing w:line="480" w:lineRule="exact"/>
        <w:ind w:firstLine="481" w:firstLineChars="200"/>
        <w:rPr>
          <w:rFonts w:cs="宋体" w:asciiTheme="minorEastAsia" w:hAnsiTheme="minorEastAsia" w:eastAsiaTheme="minorEastAsia"/>
          <w:b/>
          <w:bCs/>
          <w:sz w:val="24"/>
        </w:rPr>
      </w:pPr>
    </w:p>
    <w:p>
      <w:pPr>
        <w:spacing w:line="480" w:lineRule="exact"/>
        <w:ind w:firstLine="481" w:firstLineChars="200"/>
        <w:rPr>
          <w:rFonts w:cs="宋体" w:asciiTheme="minorEastAsia" w:hAnsiTheme="minorEastAsia" w:eastAsiaTheme="minorEastAsia"/>
          <w:b/>
          <w:bCs/>
          <w:sz w:val="24"/>
        </w:rPr>
      </w:pPr>
    </w:p>
    <w:p>
      <w:pPr>
        <w:spacing w:line="480" w:lineRule="exact"/>
        <w:ind w:firstLine="481" w:firstLineChars="200"/>
        <w:rPr>
          <w:rFonts w:cs="宋体" w:asciiTheme="minorEastAsia" w:hAnsiTheme="minorEastAsia" w:eastAsiaTheme="minorEastAsia"/>
          <w:b/>
          <w:bCs/>
          <w:sz w:val="24"/>
        </w:rPr>
      </w:pPr>
    </w:p>
    <w:p>
      <w:pPr>
        <w:spacing w:line="480" w:lineRule="exact"/>
        <w:ind w:firstLine="481" w:firstLineChars="200"/>
        <w:rPr>
          <w:rFonts w:cs="宋体" w:asciiTheme="minorEastAsia" w:hAnsiTheme="minorEastAsia" w:eastAsiaTheme="minorEastAsia"/>
          <w:b/>
          <w:bCs/>
          <w:sz w:val="24"/>
        </w:rPr>
      </w:pPr>
    </w:p>
    <w:p>
      <w:pPr>
        <w:spacing w:line="480" w:lineRule="exact"/>
        <w:ind w:firstLine="481" w:firstLineChars="200"/>
        <w:rPr>
          <w:rFonts w:cs="宋体" w:asciiTheme="minorEastAsia" w:hAnsiTheme="minorEastAsia" w:eastAsiaTheme="minorEastAsia"/>
          <w:b/>
          <w:bCs/>
          <w:sz w:val="24"/>
        </w:rPr>
      </w:pPr>
    </w:p>
    <w:p>
      <w:pPr>
        <w:pStyle w:val="3"/>
        <w:spacing w:before="0" w:after="0" w:line="480" w:lineRule="exact"/>
        <w:rPr>
          <w:rFonts w:cs="宋体" w:asciiTheme="minorEastAsia" w:hAnsiTheme="minorEastAsia" w:eastAsiaTheme="minorEastAsia"/>
          <w:bCs/>
          <w:sz w:val="30"/>
          <w:szCs w:val="30"/>
        </w:rPr>
      </w:pPr>
      <w:bookmarkStart w:id="333" w:name="_Toc27843"/>
      <w:bookmarkStart w:id="334" w:name="_Toc25605"/>
      <w:r>
        <w:rPr>
          <w:rFonts w:hint="eastAsia" w:cs="宋体" w:asciiTheme="minorEastAsia" w:hAnsiTheme="minorEastAsia" w:eastAsiaTheme="minorEastAsia"/>
          <w:bCs/>
          <w:sz w:val="30"/>
          <w:szCs w:val="30"/>
        </w:rPr>
        <w:t>八、设备及专业技术能力情况表</w:t>
      </w:r>
      <w:bookmarkEnd w:id="333"/>
      <w:bookmarkEnd w:id="334"/>
    </w:p>
    <w:p>
      <w:pPr>
        <w:pStyle w:val="4"/>
        <w:rPr>
          <w:rFonts w:cs="宋体" w:asciiTheme="minorEastAsia" w:hAnsiTheme="minorEastAsia" w:eastAsiaTheme="minorEastAsia"/>
        </w:rPr>
      </w:pPr>
    </w:p>
    <w:p>
      <w:pPr>
        <w:pStyle w:val="15"/>
        <w:spacing w:line="480" w:lineRule="exact"/>
        <w:rPr>
          <w:rFonts w:cs="宋体" w:asciiTheme="minorEastAsia" w:hAnsiTheme="minorEastAsia" w:eastAsiaTheme="minorEastAsia"/>
        </w:rPr>
      </w:pPr>
      <w:r>
        <w:rPr>
          <w:rFonts w:hint="eastAsia" w:cs="宋体" w:asciiTheme="minorEastAsia" w:hAnsiTheme="minorEastAsia" w:eastAsiaTheme="minorEastAsia"/>
          <w:b/>
          <w:bCs/>
          <w:sz w:val="24"/>
          <w:szCs w:val="24"/>
        </w:rPr>
        <w:t>投标人名称：</w:t>
      </w:r>
      <w:r>
        <w:rPr>
          <w:rFonts w:cs="宋体" w:asciiTheme="minorEastAsia" w:hAnsiTheme="minorEastAsia" w:eastAsiaTheme="minorEastAsia"/>
          <w:b/>
          <w:bCs/>
          <w:sz w:val="24"/>
          <w:szCs w:val="24"/>
          <w:u w:val="single"/>
        </w:rPr>
        <w:t xml:space="preserve">                                    </w:t>
      </w:r>
    </w:p>
    <w:tbl>
      <w:tblPr>
        <w:tblStyle w:val="37"/>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738"/>
        <w:gridCol w:w="3653"/>
        <w:gridCol w:w="1796"/>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8674" w:type="dxa"/>
            <w:gridSpan w:val="4"/>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我单位为本项目实施提供以下设备和专业技术能力：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序号</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设备名称</w:t>
            </w:r>
          </w:p>
        </w:tc>
        <w:tc>
          <w:tcPr>
            <w:tcW w:w="1796"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数量及单位</w:t>
            </w:r>
          </w:p>
        </w:tc>
        <w:tc>
          <w:tcPr>
            <w:tcW w:w="2487"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cs="宋体" w:asciiTheme="minorEastAsia" w:hAnsiTheme="minorEastAsia" w:eastAsiaTheme="minorEastAsia"/>
                <w:sz w:val="28"/>
              </w:rPr>
              <w:t>1</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1796"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2487"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cs="宋体" w:asciiTheme="minorEastAsia" w:hAnsiTheme="minorEastAsia" w:eastAsiaTheme="minorEastAsia"/>
                <w:sz w:val="28"/>
              </w:rPr>
              <w:t>2</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1796"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2487"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1796"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2487"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序号</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专业技术能力</w:t>
            </w:r>
          </w:p>
        </w:tc>
        <w:tc>
          <w:tcPr>
            <w:tcW w:w="1796"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数量及单位</w:t>
            </w:r>
          </w:p>
        </w:tc>
        <w:tc>
          <w:tcPr>
            <w:tcW w:w="2487"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cs="宋体" w:asciiTheme="minorEastAsia" w:hAnsiTheme="minorEastAsia" w:eastAsiaTheme="minorEastAsia"/>
                <w:sz w:val="28"/>
              </w:rPr>
              <w:t>1</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1796"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2487"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cs="宋体" w:asciiTheme="minorEastAsia" w:hAnsiTheme="minorEastAsia" w:eastAsiaTheme="minorEastAsia"/>
                <w:sz w:val="28"/>
              </w:rPr>
              <w:t>2</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1796"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2487"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jc w:val="center"/>
              <w:rPr>
                <w:rFonts w:cs="宋体" w:asciiTheme="minorEastAsia" w:hAnsiTheme="minorEastAsia" w:eastAsiaTheme="minorEastAsia"/>
                <w:sz w:val="28"/>
              </w:rPr>
            </w:pPr>
            <w:r>
              <w:rPr>
                <w:rFonts w:hint="eastAsia" w:cs="宋体" w:asciiTheme="minorEastAsia" w:hAnsiTheme="minorEastAsia" w:eastAsiaTheme="minorEastAsia"/>
                <w:sz w:val="28"/>
              </w:rPr>
              <w:t>…</w:t>
            </w:r>
          </w:p>
        </w:tc>
        <w:tc>
          <w:tcPr>
            <w:tcW w:w="3653"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1796"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c>
          <w:tcPr>
            <w:tcW w:w="2487" w:type="dxa"/>
            <w:tcBorders>
              <w:top w:val="single" w:color="auto" w:sz="4" w:space="0"/>
              <w:left w:val="single" w:color="auto" w:sz="4" w:space="0"/>
              <w:bottom w:val="single" w:color="auto" w:sz="4" w:space="0"/>
              <w:right w:val="single" w:color="auto" w:sz="4" w:space="0"/>
            </w:tcBorders>
            <w:vAlign w:val="center"/>
          </w:tcPr>
          <w:p>
            <w:pPr>
              <w:tabs>
                <w:tab w:val="left" w:pos="993"/>
              </w:tabs>
              <w:snapToGrid w:val="0"/>
              <w:ind w:firstLine="560" w:firstLineChars="200"/>
              <w:jc w:val="center"/>
              <w:rPr>
                <w:rFonts w:cs="宋体" w:asciiTheme="minorEastAsia" w:hAnsiTheme="minorEastAsia" w:eastAsiaTheme="minorEastAsia"/>
                <w:sz w:val="28"/>
              </w:rPr>
            </w:pPr>
          </w:p>
        </w:tc>
      </w:tr>
    </w:tbl>
    <w:p>
      <w:pPr>
        <w:tabs>
          <w:tab w:val="left" w:pos="993"/>
        </w:tabs>
        <w:snapToGrid w:val="0"/>
        <w:spacing w:line="520" w:lineRule="exact"/>
        <w:ind w:firstLine="480" w:firstLineChars="200"/>
        <w:rPr>
          <w:rFonts w:cs="宋体" w:asciiTheme="minorEastAsia" w:hAnsiTheme="minorEastAsia" w:eastAsiaTheme="minorEastAsia"/>
          <w:kern w:val="1"/>
          <w:sz w:val="24"/>
        </w:rPr>
      </w:pPr>
    </w:p>
    <w:p>
      <w:pPr>
        <w:tabs>
          <w:tab w:val="left" w:pos="993"/>
        </w:tabs>
        <w:snapToGrid w:val="0"/>
        <w:spacing w:line="520" w:lineRule="exact"/>
        <w:ind w:firstLine="481" w:firstLineChars="200"/>
        <w:rPr>
          <w:rFonts w:cs="宋体" w:asciiTheme="minorEastAsia" w:hAnsiTheme="minorEastAsia" w:eastAsiaTheme="minorEastAsia"/>
          <w:b/>
          <w:bCs/>
          <w:kern w:val="1"/>
          <w:sz w:val="24"/>
        </w:rPr>
      </w:pPr>
      <w:r>
        <w:rPr>
          <w:rFonts w:hint="eastAsia" w:cs="宋体" w:asciiTheme="minorEastAsia" w:hAnsiTheme="minorEastAsia" w:eastAsiaTheme="minorEastAsia"/>
          <w:b/>
          <w:bCs/>
          <w:kern w:val="1"/>
          <w:sz w:val="24"/>
        </w:rPr>
        <w:t>备注：供应商应具有履行合同所必需的设备和专业技术能力，并按上方表格填写。设备和</w:t>
      </w:r>
      <w:r>
        <w:rPr>
          <w:rFonts w:hint="eastAsia" w:cs="宋体" w:asciiTheme="minorEastAsia" w:hAnsiTheme="minorEastAsia" w:eastAsiaTheme="minorEastAsia"/>
          <w:b/>
          <w:bCs/>
          <w:sz w:val="24"/>
        </w:rPr>
        <w:t>专业技术能力必须同时填写。</w:t>
      </w:r>
      <w:r>
        <w:rPr>
          <w:rFonts w:hint="eastAsia" w:cs="宋体" w:asciiTheme="minorEastAsia" w:hAnsiTheme="minorEastAsia" w:eastAsiaTheme="minorEastAsia"/>
          <w:b/>
          <w:bCs/>
          <w:kern w:val="1"/>
          <w:sz w:val="24"/>
        </w:rPr>
        <w:t>此表不需要提供证明材料</w:t>
      </w:r>
      <w:r>
        <w:rPr>
          <w:rFonts w:hint="eastAsia" w:cs="宋体" w:asciiTheme="minorEastAsia" w:hAnsiTheme="minorEastAsia" w:eastAsiaTheme="minorEastAsia"/>
          <w:b/>
          <w:bCs/>
          <w:sz w:val="24"/>
        </w:rPr>
        <w:t>。</w:t>
      </w:r>
    </w:p>
    <w:p>
      <w:pPr>
        <w:tabs>
          <w:tab w:val="left" w:pos="654"/>
          <w:tab w:val="left" w:pos="1734"/>
          <w:tab w:val="left" w:pos="2814"/>
          <w:tab w:val="left" w:pos="3894"/>
          <w:tab w:val="left" w:pos="5334"/>
          <w:tab w:val="left" w:pos="6414"/>
          <w:tab w:val="left" w:pos="7254"/>
          <w:tab w:val="left" w:pos="8574"/>
          <w:tab w:val="left" w:pos="9654"/>
        </w:tabs>
        <w:spacing w:line="520" w:lineRule="exact"/>
        <w:ind w:left="850" w:hanging="850"/>
        <w:rPr>
          <w:rFonts w:cs="宋体" w:asciiTheme="minorEastAsia" w:hAnsiTheme="minorEastAsia" w:eastAsiaTheme="minorEastAsia"/>
          <w:b/>
          <w:sz w:val="24"/>
        </w:rPr>
      </w:pPr>
    </w:p>
    <w:p>
      <w:pPr>
        <w:tabs>
          <w:tab w:val="left" w:pos="654"/>
          <w:tab w:val="left" w:pos="1734"/>
          <w:tab w:val="left" w:pos="2814"/>
          <w:tab w:val="left" w:pos="3894"/>
          <w:tab w:val="left" w:pos="5334"/>
          <w:tab w:val="left" w:pos="6414"/>
          <w:tab w:val="left" w:pos="7254"/>
          <w:tab w:val="left" w:pos="8574"/>
          <w:tab w:val="left" w:pos="9654"/>
        </w:tabs>
        <w:spacing w:line="520" w:lineRule="exact"/>
        <w:ind w:left="850" w:hanging="850"/>
        <w:rPr>
          <w:rFonts w:cs="宋体" w:asciiTheme="minorEastAsia" w:hAnsiTheme="minorEastAsia" w:eastAsiaTheme="minorEastAsia"/>
          <w:b/>
          <w:sz w:val="24"/>
        </w:rPr>
      </w:pPr>
    </w:p>
    <w:p>
      <w:pPr>
        <w:tabs>
          <w:tab w:val="left" w:pos="654"/>
          <w:tab w:val="left" w:pos="1734"/>
          <w:tab w:val="left" w:pos="2814"/>
          <w:tab w:val="left" w:pos="3894"/>
          <w:tab w:val="left" w:pos="5334"/>
          <w:tab w:val="left" w:pos="6414"/>
          <w:tab w:val="left" w:pos="7254"/>
          <w:tab w:val="left" w:pos="8574"/>
          <w:tab w:val="left" w:pos="9654"/>
        </w:tabs>
        <w:spacing w:line="520" w:lineRule="exact"/>
        <w:ind w:left="850" w:hanging="850"/>
        <w:rPr>
          <w:rFonts w:cs="宋体" w:asciiTheme="minorEastAsia" w:hAnsiTheme="minorEastAsia" w:eastAsiaTheme="minorEastAsia"/>
          <w:b/>
          <w:sz w:val="24"/>
        </w:rPr>
      </w:pPr>
    </w:p>
    <w:p>
      <w:pPr>
        <w:tabs>
          <w:tab w:val="left" w:pos="654"/>
          <w:tab w:val="left" w:pos="1734"/>
          <w:tab w:val="left" w:pos="2814"/>
          <w:tab w:val="left" w:pos="3894"/>
          <w:tab w:val="left" w:pos="5334"/>
          <w:tab w:val="left" w:pos="6414"/>
          <w:tab w:val="left" w:pos="7254"/>
          <w:tab w:val="left" w:pos="8574"/>
          <w:tab w:val="left" w:pos="9654"/>
        </w:tabs>
        <w:spacing w:line="520" w:lineRule="exact"/>
        <w:ind w:left="850" w:hanging="850"/>
        <w:rPr>
          <w:rFonts w:cs="宋体" w:asciiTheme="minorEastAsia" w:hAnsiTheme="minorEastAsia" w:eastAsiaTheme="minorEastAsia"/>
          <w:b/>
          <w:sz w:val="24"/>
        </w:rPr>
      </w:pPr>
      <w:r>
        <w:rPr>
          <w:rFonts w:hint="eastAsia" w:cs="宋体" w:asciiTheme="minorEastAsia" w:hAnsiTheme="minorEastAsia" w:eastAsiaTheme="minorEastAsia"/>
          <w:b/>
          <w:sz w:val="24"/>
        </w:rPr>
        <w:t>投标人代表签字（或盖私章）及盖公章：</w:t>
      </w:r>
      <w:r>
        <w:rPr>
          <w:rFonts w:cs="宋体" w:asciiTheme="minorEastAsia" w:hAnsiTheme="minorEastAsia" w:eastAsiaTheme="minorEastAsia"/>
          <w:b/>
          <w:sz w:val="24"/>
          <w:u w:val="single"/>
        </w:rPr>
        <w:t xml:space="preserve">                                </w:t>
      </w:r>
    </w:p>
    <w:p>
      <w:pPr>
        <w:spacing w:line="520" w:lineRule="exact"/>
        <w:ind w:firstLine="481" w:firstLineChars="200"/>
        <w:rPr>
          <w:rFonts w:cs="宋体" w:asciiTheme="minorEastAsia" w:hAnsiTheme="minorEastAsia" w:eastAsiaTheme="minorEastAsia"/>
          <w:b/>
          <w:bCs/>
          <w:sz w:val="24"/>
        </w:rPr>
      </w:pPr>
    </w:p>
    <w:p>
      <w:pPr>
        <w:spacing w:line="480" w:lineRule="exact"/>
        <w:ind w:firstLine="481" w:firstLineChars="200"/>
        <w:rPr>
          <w:rFonts w:cs="宋体" w:asciiTheme="minorEastAsia" w:hAnsiTheme="minorEastAsia" w:eastAsiaTheme="minorEastAsia"/>
          <w:b/>
          <w:bCs/>
          <w:sz w:val="24"/>
        </w:rPr>
      </w:pPr>
    </w:p>
    <w:p>
      <w:pPr>
        <w:spacing w:line="480" w:lineRule="exact"/>
        <w:ind w:firstLine="481" w:firstLineChars="200"/>
        <w:rPr>
          <w:rFonts w:cs="宋体" w:asciiTheme="minorEastAsia" w:hAnsiTheme="minorEastAsia" w:eastAsiaTheme="minorEastAsia"/>
          <w:b/>
          <w:bCs/>
          <w:sz w:val="24"/>
        </w:rPr>
      </w:pPr>
    </w:p>
    <w:p>
      <w:pPr>
        <w:spacing w:line="480" w:lineRule="exact"/>
        <w:ind w:firstLine="481" w:firstLineChars="200"/>
        <w:rPr>
          <w:rFonts w:cs="宋体" w:asciiTheme="minorEastAsia" w:hAnsiTheme="minorEastAsia" w:eastAsiaTheme="minorEastAsia"/>
          <w:b/>
          <w:bCs/>
          <w:sz w:val="24"/>
        </w:rPr>
      </w:pPr>
    </w:p>
    <w:p>
      <w:pPr>
        <w:pStyle w:val="3"/>
        <w:spacing w:before="0" w:after="0" w:line="480" w:lineRule="exact"/>
        <w:rPr>
          <w:rFonts w:cs="宋体" w:asciiTheme="minorEastAsia" w:hAnsiTheme="minorEastAsia" w:eastAsiaTheme="minorEastAsia"/>
          <w:bCs/>
          <w:sz w:val="30"/>
          <w:szCs w:val="30"/>
        </w:rPr>
      </w:pPr>
      <w:bookmarkStart w:id="335" w:name="_Toc20623"/>
      <w:r>
        <w:rPr>
          <w:rFonts w:hint="eastAsia" w:cs="宋体" w:asciiTheme="minorEastAsia" w:hAnsiTheme="minorEastAsia" w:eastAsiaTheme="minorEastAsia"/>
          <w:bCs/>
          <w:sz w:val="30"/>
          <w:szCs w:val="30"/>
        </w:rPr>
        <w:t>九、</w:t>
      </w:r>
      <w:bookmarkStart w:id="336" w:name="_Toc35233732"/>
      <w:bookmarkStart w:id="337" w:name="_Toc480171922"/>
      <w:r>
        <w:rPr>
          <w:rFonts w:hint="eastAsia" w:cs="宋体" w:asciiTheme="minorEastAsia" w:hAnsiTheme="minorEastAsia" w:eastAsiaTheme="minorEastAsia"/>
          <w:bCs/>
          <w:sz w:val="30"/>
          <w:szCs w:val="30"/>
        </w:rPr>
        <w:t>廉政承诺书</w:t>
      </w:r>
      <w:bookmarkEnd w:id="335"/>
    </w:p>
    <w:p>
      <w:pPr>
        <w:pStyle w:val="4"/>
        <w:spacing w:line="520" w:lineRule="exact"/>
        <w:rPr>
          <w:rFonts w:asciiTheme="minorEastAsia" w:hAnsiTheme="minorEastAsia" w:eastAsiaTheme="minorEastAsia"/>
        </w:rPr>
      </w:pPr>
      <w:r>
        <w:rPr>
          <w:rFonts w:hint="eastAsia" w:cs="宋体" w:asciiTheme="minorEastAsia" w:hAnsiTheme="minorEastAsia" w:eastAsiaTheme="minorEastAsia"/>
          <w:bCs/>
          <w:sz w:val="24"/>
          <w:szCs w:val="24"/>
        </w:rPr>
        <w:t>（该承诺书中标后签合同前提供）</w:t>
      </w:r>
    </w:p>
    <w:p>
      <w:pPr>
        <w:adjustRightInd w:val="0"/>
        <w:snapToGrid w:val="0"/>
        <w:spacing w:line="520" w:lineRule="exact"/>
        <w:jc w:val="center"/>
        <w:rPr>
          <w:rFonts w:cs="宋体" w:asciiTheme="minorEastAsia" w:hAnsiTheme="minorEastAsia" w:eastAsiaTheme="minorEastAsia"/>
          <w:sz w:val="24"/>
        </w:rPr>
      </w:pPr>
    </w:p>
    <w:p>
      <w:pPr>
        <w:adjustRightInd w:val="0"/>
        <w:snapToGrid w:val="0"/>
        <w:spacing w:line="520" w:lineRule="exact"/>
        <w:jc w:val="center"/>
        <w:rPr>
          <w:rFonts w:cs="宋体" w:asciiTheme="minorEastAsia" w:hAnsiTheme="minorEastAsia" w:eastAsiaTheme="minorEastAsia"/>
          <w:b/>
          <w:sz w:val="28"/>
        </w:rPr>
      </w:pPr>
      <w:r>
        <w:rPr>
          <w:rFonts w:hint="eastAsia" w:cs="宋体" w:asciiTheme="minorEastAsia" w:hAnsiTheme="minorEastAsia" w:eastAsiaTheme="minorEastAsia"/>
          <w:b/>
          <w:sz w:val="28"/>
        </w:rPr>
        <w:t>廉政承诺书</w:t>
      </w:r>
    </w:p>
    <w:p>
      <w:pPr>
        <w:adjustRightInd w:val="0"/>
        <w:snapToGrid w:val="0"/>
        <w:spacing w:line="520" w:lineRule="exact"/>
        <w:ind w:firstLine="630" w:firstLineChars="225"/>
        <w:rPr>
          <w:rFonts w:cs="宋体" w:asciiTheme="minorEastAsia" w:hAnsiTheme="minorEastAsia" w:eastAsiaTheme="minorEastAsia"/>
          <w:snapToGrid w:val="0"/>
          <w:kern w:val="0"/>
          <w:sz w:val="28"/>
        </w:rPr>
      </w:pPr>
    </w:p>
    <w:p>
      <w:pPr>
        <w:tabs>
          <w:tab w:val="left" w:pos="993"/>
        </w:tabs>
        <w:snapToGrid w:val="0"/>
        <w:spacing w:line="520" w:lineRule="exact"/>
        <w:jc w:val="left"/>
        <w:rPr>
          <w:rFonts w:cs="宋体" w:asciiTheme="minorEastAsia" w:hAnsiTheme="minorEastAsia" w:eastAsiaTheme="minorEastAsia"/>
          <w:sz w:val="28"/>
        </w:rPr>
      </w:pPr>
      <w:r>
        <w:rPr>
          <w:rFonts w:hint="eastAsia" w:cs="宋体" w:asciiTheme="minorEastAsia" w:hAnsiTheme="minorEastAsia" w:eastAsiaTheme="minorEastAsia"/>
          <w:sz w:val="28"/>
        </w:rPr>
        <w:t>江门市财政局：</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本行本着对贵局负责认真的态度，郑重承诺：</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一、承诺不向财政非税业务主体相关负责人输送任何利益。</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二、承诺不向财政非税业务主体相关负责人员在本行亲属的业绩、收入挂钩。</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三、承诺严格执行中央</w:t>
      </w:r>
      <w:bookmarkStart w:id="344" w:name="_GoBack"/>
      <w:bookmarkEnd w:id="344"/>
      <w:r>
        <w:rPr>
          <w:rFonts w:hint="eastAsia" w:cs="宋体" w:asciiTheme="minorEastAsia" w:hAnsiTheme="minorEastAsia" w:eastAsiaTheme="minorEastAsia"/>
          <w:sz w:val="28"/>
        </w:rPr>
        <w:t>八项规定、省委“六个严格”、市委“八条禁令”的相关规定。</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四、承诺严格遵守财政纪律，认真落实财务公开、政务公开制度。</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五、承诺督促本行员工遵守行业行为规范，恪守职业道德操守，廉洁从业。</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六、承诺不违反廉洁自律的其他规定。</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本承诺书一式两份，分别由江门市财政局和</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银行分别持有。</w:t>
      </w: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right="120" w:firstLine="560" w:firstLineChars="200"/>
        <w:jc w:val="right"/>
        <w:rPr>
          <w:rFonts w:cs="宋体" w:asciiTheme="minorEastAsia" w:hAnsiTheme="minorEastAsia" w:eastAsiaTheme="minorEastAsia"/>
          <w:sz w:val="28"/>
        </w:rPr>
      </w:pPr>
      <w:r>
        <w:rPr>
          <w:rFonts w:hint="eastAsia" w:cs="宋体" w:asciiTheme="minorEastAsia" w:hAnsiTheme="minorEastAsia" w:eastAsiaTheme="minorEastAsia"/>
          <w:sz w:val="28"/>
        </w:rPr>
        <w:t>承诺人：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银行</w:t>
      </w:r>
    </w:p>
    <w:p>
      <w:pPr>
        <w:tabs>
          <w:tab w:val="left" w:pos="993"/>
        </w:tabs>
        <w:snapToGrid w:val="0"/>
        <w:spacing w:line="520" w:lineRule="exact"/>
        <w:ind w:right="120" w:firstLine="56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8"/>
        </w:rPr>
        <w:t xml:space="preserve">年　月  日 </w:t>
      </w:r>
      <w:r>
        <w:rPr>
          <w:rFonts w:cs="宋体" w:asciiTheme="minorEastAsia" w:hAnsiTheme="minorEastAsia" w:eastAsiaTheme="minorEastAsia"/>
          <w:sz w:val="28"/>
        </w:rPr>
        <w:t xml:space="preserve"> </w:t>
      </w:r>
      <w:r>
        <w:rPr>
          <w:rFonts w:cs="宋体" w:asciiTheme="minorEastAsia" w:hAnsiTheme="minorEastAsia" w:eastAsiaTheme="minorEastAsia"/>
          <w:sz w:val="24"/>
        </w:rPr>
        <w:t xml:space="preserve">          </w:t>
      </w:r>
    </w:p>
    <w:p>
      <w:pPr>
        <w:tabs>
          <w:tab w:val="left" w:pos="993"/>
        </w:tabs>
        <w:snapToGrid w:val="0"/>
        <w:spacing w:line="520" w:lineRule="exact"/>
        <w:ind w:firstLine="480" w:firstLineChars="200"/>
        <w:rPr>
          <w:rFonts w:cs="宋体" w:asciiTheme="minorEastAsia" w:hAnsiTheme="minorEastAsia" w:eastAsiaTheme="minorEastAsia"/>
          <w:sz w:val="24"/>
        </w:rPr>
      </w:pPr>
    </w:p>
    <w:p>
      <w:pPr>
        <w:spacing w:line="520" w:lineRule="exact"/>
        <w:jc w:val="right"/>
        <w:rPr>
          <w:rFonts w:cs="宋体" w:asciiTheme="minorEastAsia" w:hAnsiTheme="minorEastAsia" w:eastAsiaTheme="minorEastAsia"/>
          <w:b/>
          <w:sz w:val="24"/>
          <w:u w:val="single"/>
        </w:rPr>
      </w:pPr>
    </w:p>
    <w:p>
      <w:pPr>
        <w:jc w:val="right"/>
        <w:rPr>
          <w:rFonts w:cs="宋体" w:asciiTheme="minorEastAsia" w:hAnsiTheme="minorEastAsia" w:eastAsiaTheme="minorEastAsia"/>
          <w:b/>
          <w:sz w:val="24"/>
          <w:u w:val="single"/>
        </w:rPr>
      </w:pPr>
    </w:p>
    <w:p>
      <w:pPr>
        <w:jc w:val="right"/>
        <w:rPr>
          <w:rFonts w:cs="宋体" w:asciiTheme="minorEastAsia" w:hAnsiTheme="minorEastAsia" w:eastAsiaTheme="minorEastAsia"/>
          <w:b/>
          <w:sz w:val="24"/>
          <w:u w:val="single"/>
        </w:rPr>
      </w:pPr>
    </w:p>
    <w:p>
      <w:pPr>
        <w:jc w:val="right"/>
        <w:rPr>
          <w:rFonts w:cs="宋体" w:asciiTheme="minorEastAsia" w:hAnsiTheme="minorEastAsia" w:eastAsiaTheme="minorEastAsia"/>
          <w:b/>
          <w:sz w:val="24"/>
          <w:u w:val="single"/>
        </w:rPr>
      </w:pPr>
    </w:p>
    <w:p>
      <w:pPr>
        <w:jc w:val="right"/>
        <w:rPr>
          <w:rFonts w:cs="宋体" w:asciiTheme="minorEastAsia" w:hAnsiTheme="minorEastAsia" w:eastAsiaTheme="minorEastAsia"/>
          <w:b/>
          <w:sz w:val="24"/>
          <w:u w:val="single"/>
        </w:rPr>
      </w:pPr>
    </w:p>
    <w:p>
      <w:pPr>
        <w:pStyle w:val="3"/>
        <w:spacing w:before="0" w:after="0" w:line="480" w:lineRule="exact"/>
        <w:rPr>
          <w:rFonts w:cs="宋体" w:asciiTheme="minorEastAsia" w:hAnsiTheme="minorEastAsia" w:eastAsiaTheme="minorEastAsia"/>
          <w:bCs/>
          <w:sz w:val="30"/>
          <w:szCs w:val="30"/>
        </w:rPr>
      </w:pPr>
      <w:bookmarkStart w:id="338" w:name="_Toc15860"/>
      <w:r>
        <w:rPr>
          <w:rStyle w:val="49"/>
          <w:rFonts w:hint="eastAsia" w:asciiTheme="minorEastAsia" w:hAnsiTheme="minorEastAsia" w:eastAsiaTheme="minorEastAsia"/>
          <w:b/>
          <w:bCs/>
          <w:sz w:val="30"/>
          <w:szCs w:val="30"/>
        </w:rPr>
        <w:t>十</w:t>
      </w:r>
      <w:r>
        <w:rPr>
          <w:rStyle w:val="49"/>
          <w:rFonts w:hint="eastAsia" w:cs="宋体" w:asciiTheme="minorEastAsia" w:hAnsiTheme="minorEastAsia" w:eastAsiaTheme="minorEastAsia"/>
          <w:b/>
          <w:bCs/>
          <w:sz w:val="30"/>
          <w:szCs w:val="30"/>
        </w:rPr>
        <w:t>、</w:t>
      </w:r>
      <w:r>
        <w:rPr>
          <w:rFonts w:hint="eastAsia" w:cs="宋体" w:asciiTheme="minorEastAsia" w:hAnsiTheme="minorEastAsia" w:eastAsiaTheme="minorEastAsia"/>
          <w:bCs/>
          <w:sz w:val="30"/>
          <w:szCs w:val="30"/>
        </w:rPr>
        <w:t>中止原签订《江门市本级非税收入代收银行资格服务项目政府采购合同》承诺书</w:t>
      </w:r>
      <w:bookmarkEnd w:id="338"/>
    </w:p>
    <w:p>
      <w:pPr>
        <w:adjustRightInd w:val="0"/>
        <w:snapToGrid w:val="0"/>
        <w:spacing w:line="520" w:lineRule="exact"/>
        <w:ind w:firstLine="630" w:firstLineChars="225"/>
        <w:rPr>
          <w:rFonts w:cs="宋体" w:asciiTheme="minorEastAsia" w:hAnsiTheme="minorEastAsia" w:eastAsiaTheme="minorEastAsia"/>
          <w:snapToGrid w:val="0"/>
          <w:kern w:val="0"/>
          <w:sz w:val="28"/>
        </w:rPr>
      </w:pPr>
      <w:r>
        <w:rPr>
          <w:rFonts w:hint="eastAsia" w:cs="宋体" w:asciiTheme="minorEastAsia" w:hAnsiTheme="minorEastAsia" w:eastAsiaTheme="minorEastAsia"/>
          <w:snapToGrid w:val="0"/>
          <w:kern w:val="0"/>
          <w:sz w:val="28"/>
        </w:rPr>
        <w:t>（该承诺书中标后签合同前提供）</w:t>
      </w:r>
    </w:p>
    <w:p>
      <w:pPr>
        <w:adjustRightInd w:val="0"/>
        <w:snapToGrid w:val="0"/>
        <w:spacing w:line="520" w:lineRule="exact"/>
        <w:ind w:firstLine="630" w:firstLineChars="225"/>
        <w:rPr>
          <w:rFonts w:cs="宋体" w:asciiTheme="minorEastAsia" w:hAnsiTheme="minorEastAsia" w:eastAsiaTheme="minorEastAsia"/>
          <w:snapToGrid w:val="0"/>
          <w:kern w:val="0"/>
          <w:sz w:val="28"/>
        </w:rPr>
      </w:pPr>
    </w:p>
    <w:p>
      <w:pPr>
        <w:tabs>
          <w:tab w:val="left" w:pos="993"/>
        </w:tabs>
        <w:snapToGrid w:val="0"/>
        <w:spacing w:line="520" w:lineRule="exact"/>
        <w:jc w:val="left"/>
        <w:rPr>
          <w:rFonts w:cs="宋体" w:asciiTheme="minorEastAsia" w:hAnsiTheme="minorEastAsia" w:eastAsiaTheme="minorEastAsia"/>
          <w:sz w:val="28"/>
        </w:rPr>
      </w:pPr>
      <w:r>
        <w:rPr>
          <w:rFonts w:hint="eastAsia" w:cs="宋体" w:asciiTheme="minorEastAsia" w:hAnsiTheme="minorEastAsia" w:eastAsiaTheme="minorEastAsia"/>
          <w:sz w:val="28"/>
        </w:rPr>
        <w:t>江门市财政局：</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本行本着对贵局负责认真的态度，郑重承诺：</w:t>
      </w:r>
    </w:p>
    <w:p>
      <w:pPr>
        <w:tabs>
          <w:tab w:val="left" w:pos="993"/>
        </w:tabs>
        <w:snapToGrid w:val="0"/>
        <w:spacing w:line="520" w:lineRule="exact"/>
        <w:ind w:firstLine="560" w:firstLineChars="200"/>
        <w:jc w:val="left"/>
        <w:rPr>
          <w:rFonts w:cs="宋体" w:asciiTheme="minorEastAsia" w:hAnsiTheme="minorEastAsia" w:eastAsiaTheme="minorEastAsia"/>
          <w:sz w:val="28"/>
        </w:rPr>
      </w:pPr>
      <w:r>
        <w:rPr>
          <w:rFonts w:hint="eastAsia" w:cs="宋体" w:asciiTheme="minorEastAsia" w:hAnsiTheme="minorEastAsia" w:eastAsiaTheme="minorEastAsia"/>
          <w:sz w:val="28"/>
        </w:rPr>
        <w:t>本行与江门市财政局签订于20</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日签订的《江门市本级非税收入代收银行资格服务项目政府采购合同》，乙方承诺中止履行该协议，并按招标的条款签订新协议执行。</w:t>
      </w:r>
    </w:p>
    <w:p>
      <w:pPr>
        <w:tabs>
          <w:tab w:val="left" w:pos="993"/>
        </w:tabs>
        <w:snapToGrid w:val="0"/>
        <w:spacing w:line="520" w:lineRule="exact"/>
        <w:ind w:firstLine="560" w:firstLineChars="200"/>
        <w:rPr>
          <w:rFonts w:cs="宋体" w:asciiTheme="minorEastAsia" w:hAnsiTheme="minorEastAsia" w:eastAsiaTheme="minorEastAsia"/>
          <w:sz w:val="28"/>
        </w:rPr>
      </w:pPr>
      <w:r>
        <w:rPr>
          <w:rFonts w:hint="eastAsia" w:cs="宋体" w:asciiTheme="minorEastAsia" w:hAnsiTheme="minorEastAsia" w:eastAsiaTheme="minorEastAsia"/>
          <w:sz w:val="28"/>
        </w:rPr>
        <w:t>本承诺书一式两份，分别由江门市财政局和</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银行分别持有。</w:t>
      </w: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firstLine="560" w:firstLineChars="200"/>
        <w:rPr>
          <w:rFonts w:cs="宋体" w:asciiTheme="minorEastAsia" w:hAnsiTheme="minorEastAsia" w:eastAsiaTheme="minorEastAsia"/>
          <w:sz w:val="28"/>
        </w:rPr>
      </w:pPr>
    </w:p>
    <w:p>
      <w:pPr>
        <w:tabs>
          <w:tab w:val="left" w:pos="993"/>
        </w:tabs>
        <w:snapToGrid w:val="0"/>
        <w:spacing w:line="520" w:lineRule="exact"/>
        <w:ind w:firstLine="560" w:firstLineChars="200"/>
        <w:jc w:val="right"/>
        <w:rPr>
          <w:rFonts w:cs="宋体" w:asciiTheme="minorEastAsia" w:hAnsiTheme="minorEastAsia" w:eastAsiaTheme="minorEastAsia"/>
          <w:sz w:val="28"/>
        </w:rPr>
      </w:pPr>
      <w:r>
        <w:rPr>
          <w:rFonts w:hint="eastAsia" w:cs="宋体" w:asciiTheme="minorEastAsia" w:hAnsiTheme="minorEastAsia" w:eastAsiaTheme="minorEastAsia"/>
          <w:sz w:val="28"/>
        </w:rPr>
        <w:t>承诺人：</w:t>
      </w:r>
      <w:r>
        <w:rPr>
          <w:rFonts w:hint="eastAsia" w:cs="宋体" w:asciiTheme="minorEastAsia" w:hAnsiTheme="minorEastAsia" w:eastAsiaTheme="minorEastAsia"/>
          <w:sz w:val="28"/>
          <w:u w:val="single"/>
        </w:rPr>
        <w:t xml:space="preserve">      </w:t>
      </w:r>
      <w:r>
        <w:rPr>
          <w:rFonts w:hint="eastAsia" w:cs="宋体" w:asciiTheme="minorEastAsia" w:hAnsiTheme="minorEastAsia" w:eastAsiaTheme="minorEastAsia"/>
          <w:sz w:val="28"/>
        </w:rPr>
        <w:t>银行</w:t>
      </w:r>
    </w:p>
    <w:p>
      <w:pPr>
        <w:tabs>
          <w:tab w:val="left" w:pos="993"/>
        </w:tabs>
        <w:snapToGrid w:val="0"/>
        <w:spacing w:line="520" w:lineRule="exact"/>
        <w:ind w:firstLine="56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8"/>
        </w:rPr>
        <w:t xml:space="preserve">年　月  日     </w:t>
      </w:r>
      <w:r>
        <w:rPr>
          <w:rFonts w:hint="eastAsia" w:cs="宋体" w:asciiTheme="minorEastAsia" w:hAnsiTheme="minorEastAsia" w:eastAsiaTheme="minorEastAsia"/>
          <w:sz w:val="24"/>
        </w:rPr>
        <w:t xml:space="preserve">             </w:t>
      </w:r>
    </w:p>
    <w:p>
      <w:pPr>
        <w:spacing w:line="520" w:lineRule="exact"/>
        <w:ind w:right="964"/>
        <w:rPr>
          <w:rFonts w:cs="宋体" w:asciiTheme="minorEastAsia" w:hAnsiTheme="minorEastAsia" w:eastAsiaTheme="minorEastAsia"/>
          <w:b/>
          <w:sz w:val="24"/>
          <w:u w:val="single"/>
        </w:rPr>
      </w:pPr>
    </w:p>
    <w:p>
      <w:pPr>
        <w:pStyle w:val="4"/>
        <w:ind w:right="120"/>
        <w:jc w:val="right"/>
        <w:rPr>
          <w:rFonts w:cs="宋体" w:asciiTheme="minorEastAsia" w:hAnsiTheme="minorEastAsia" w:eastAsiaTheme="minorEastAsia"/>
          <w:sz w:val="24"/>
          <w:szCs w:val="24"/>
        </w:rPr>
      </w:pPr>
    </w:p>
    <w:p/>
    <w:p/>
    <w:p/>
    <w:p/>
    <w:p/>
    <w:p/>
    <w:p/>
    <w:p/>
    <w:p/>
    <w:p/>
    <w:p/>
    <w:p/>
    <w:p>
      <w:pPr>
        <w:tabs>
          <w:tab w:val="left" w:pos="941"/>
        </w:tabs>
        <w:jc w:val="left"/>
        <w:sectPr>
          <w:footerReference r:id="rId10" w:type="first"/>
          <w:footerReference r:id="rId9" w:type="default"/>
          <w:pgSz w:w="11907" w:h="16840"/>
          <w:pgMar w:top="1440" w:right="1842" w:bottom="1440" w:left="1800" w:header="851" w:footer="992" w:gutter="0"/>
          <w:pgNumType w:start="1"/>
          <w:cols w:space="720" w:num="1"/>
          <w:docGrid w:linePitch="410" w:charSpace="-6144"/>
        </w:sectPr>
      </w:pPr>
      <w:r>
        <w:rPr>
          <w:rFonts w:hint="eastAsia"/>
        </w:rPr>
        <w:tab/>
      </w:r>
    </w:p>
    <w:bookmarkEnd w:id="336"/>
    <w:bookmarkEnd w:id="337"/>
    <w:p>
      <w:pPr>
        <w:pStyle w:val="3"/>
        <w:spacing w:before="0" w:after="0" w:line="480" w:lineRule="exact"/>
        <w:rPr>
          <w:rFonts w:cs="宋体" w:asciiTheme="minorEastAsia" w:hAnsiTheme="minorEastAsia" w:eastAsiaTheme="minorEastAsia"/>
          <w:bCs/>
          <w:sz w:val="30"/>
          <w:szCs w:val="30"/>
        </w:rPr>
      </w:pPr>
      <w:bookmarkStart w:id="339" w:name="_Toc16665"/>
      <w:r>
        <w:rPr>
          <w:rFonts w:hint="eastAsia" w:cs="宋体" w:asciiTheme="minorEastAsia" w:hAnsiTheme="minorEastAsia" w:eastAsiaTheme="minorEastAsia"/>
          <w:bCs/>
          <w:sz w:val="30"/>
          <w:szCs w:val="30"/>
        </w:rPr>
        <w:t>十一、资格自查表</w:t>
      </w:r>
      <w:bookmarkEnd w:id="339"/>
    </w:p>
    <w:p>
      <w:pPr>
        <w:spacing w:line="480" w:lineRule="exact"/>
        <w:jc w:val="left"/>
        <w:rPr>
          <w:rFonts w:cs="宋体" w:asciiTheme="minorEastAsia" w:hAnsiTheme="minorEastAsia" w:eastAsiaTheme="minorEastAsia"/>
          <w:sz w:val="28"/>
        </w:rPr>
      </w:pPr>
      <w:r>
        <w:rPr>
          <w:rFonts w:hint="eastAsia" w:cs="宋体" w:asciiTheme="minorEastAsia" w:hAnsiTheme="minorEastAsia" w:eastAsiaTheme="minorEastAsia"/>
          <w:sz w:val="28"/>
        </w:rPr>
        <w:t>投标人名称（盖公章）：</w:t>
      </w:r>
      <w:r>
        <w:rPr>
          <w:rFonts w:cs="宋体" w:asciiTheme="minorEastAsia" w:hAnsiTheme="minorEastAsia" w:eastAsiaTheme="minorEastAsia"/>
          <w:sz w:val="28"/>
          <w:u w:val="single"/>
        </w:rPr>
        <w:t xml:space="preserve">                                              </w:t>
      </w:r>
      <w:r>
        <w:rPr>
          <w:rFonts w:cs="宋体" w:asciiTheme="minorEastAsia" w:hAnsiTheme="minorEastAsia" w:eastAsiaTheme="minorEastAsia"/>
          <w:sz w:val="28"/>
        </w:rPr>
        <w:t xml:space="preserve">                              </w:t>
      </w:r>
    </w:p>
    <w:tbl>
      <w:tblPr>
        <w:tblStyle w:val="37"/>
        <w:tblW w:w="8974"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689"/>
        <w:gridCol w:w="2496"/>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8"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序号</w:t>
            </w:r>
          </w:p>
        </w:tc>
        <w:tc>
          <w:tcPr>
            <w:tcW w:w="2689"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详见招标文件第四部分《资格审查表》各项</w:t>
            </w:r>
          </w:p>
        </w:tc>
        <w:tc>
          <w:tcPr>
            <w:tcW w:w="2496"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自查结论</w:t>
            </w:r>
          </w:p>
        </w:tc>
        <w:tc>
          <w:tcPr>
            <w:tcW w:w="2771"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8" w:type="dxa"/>
            <w:vAlign w:val="center"/>
          </w:tcPr>
          <w:p>
            <w:pPr>
              <w:jc w:val="center"/>
              <w:rPr>
                <w:rFonts w:cs="宋体" w:asciiTheme="minorEastAsia" w:hAnsiTheme="minorEastAsia" w:eastAsiaTheme="minorEastAsia"/>
                <w:sz w:val="28"/>
              </w:rPr>
            </w:pPr>
            <w:r>
              <w:rPr>
                <w:rFonts w:cs="宋体" w:asciiTheme="minorEastAsia" w:hAnsiTheme="minorEastAsia" w:eastAsiaTheme="minorEastAsia"/>
                <w:sz w:val="28"/>
              </w:rPr>
              <w:t>1</w:t>
            </w:r>
          </w:p>
        </w:tc>
        <w:tc>
          <w:tcPr>
            <w:tcW w:w="2689" w:type="dxa"/>
            <w:vAlign w:val="center"/>
          </w:tcPr>
          <w:p>
            <w:pPr>
              <w:widowControl/>
              <w:jc w:val="left"/>
              <w:rPr>
                <w:rFonts w:cs="宋体" w:asciiTheme="minorEastAsia" w:hAnsiTheme="minorEastAsia" w:eastAsiaTheme="minorEastAsia"/>
                <w:sz w:val="28"/>
              </w:rPr>
            </w:pPr>
          </w:p>
        </w:tc>
        <w:tc>
          <w:tcPr>
            <w:tcW w:w="2496"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□通过</w:t>
            </w:r>
            <w:r>
              <w:rPr>
                <w:rFonts w:cs="宋体" w:asciiTheme="minorEastAsia" w:hAnsiTheme="minorEastAsia" w:eastAsiaTheme="minorEastAsia"/>
                <w:sz w:val="28"/>
              </w:rPr>
              <w:t xml:space="preserve"> </w:t>
            </w:r>
            <w:r>
              <w:rPr>
                <w:rFonts w:cs="宋体" w:asciiTheme="minorEastAsia" w:hAnsiTheme="minorEastAsia" w:eastAsiaTheme="minorEastAsia"/>
                <w:sz w:val="28"/>
              </w:rPr>
              <w:sym w:font="Wingdings 2" w:char="00A3"/>
            </w:r>
            <w:r>
              <w:rPr>
                <w:rFonts w:hint="eastAsia" w:cs="宋体" w:asciiTheme="minorEastAsia" w:hAnsiTheme="minorEastAsia" w:eastAsiaTheme="minorEastAsia"/>
                <w:sz w:val="28"/>
              </w:rPr>
              <w:t>不通过</w:t>
            </w:r>
          </w:p>
        </w:tc>
        <w:tc>
          <w:tcPr>
            <w:tcW w:w="2771"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8" w:type="dxa"/>
            <w:vAlign w:val="center"/>
          </w:tcPr>
          <w:p>
            <w:pPr>
              <w:jc w:val="center"/>
              <w:rPr>
                <w:rFonts w:cs="宋体" w:asciiTheme="minorEastAsia" w:hAnsiTheme="minorEastAsia" w:eastAsiaTheme="minorEastAsia"/>
                <w:sz w:val="28"/>
              </w:rPr>
            </w:pPr>
            <w:r>
              <w:rPr>
                <w:rFonts w:cs="宋体" w:asciiTheme="minorEastAsia" w:hAnsiTheme="minorEastAsia" w:eastAsiaTheme="minorEastAsia"/>
                <w:sz w:val="28"/>
              </w:rPr>
              <w:t>2</w:t>
            </w:r>
          </w:p>
        </w:tc>
        <w:tc>
          <w:tcPr>
            <w:tcW w:w="2689" w:type="dxa"/>
            <w:vAlign w:val="center"/>
          </w:tcPr>
          <w:p>
            <w:pPr>
              <w:jc w:val="left"/>
              <w:rPr>
                <w:rFonts w:cs="宋体" w:asciiTheme="minorEastAsia" w:hAnsiTheme="minorEastAsia" w:eastAsiaTheme="minorEastAsia"/>
                <w:sz w:val="28"/>
              </w:rPr>
            </w:pPr>
          </w:p>
        </w:tc>
        <w:tc>
          <w:tcPr>
            <w:tcW w:w="2496"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□通过</w:t>
            </w:r>
            <w:r>
              <w:rPr>
                <w:rFonts w:cs="宋体" w:asciiTheme="minorEastAsia" w:hAnsiTheme="minorEastAsia" w:eastAsiaTheme="minorEastAsia"/>
                <w:sz w:val="28"/>
              </w:rPr>
              <w:t xml:space="preserve"> </w:t>
            </w:r>
            <w:r>
              <w:rPr>
                <w:rFonts w:hint="eastAsia" w:cs="宋体" w:asciiTheme="minorEastAsia" w:hAnsiTheme="minorEastAsia" w:eastAsiaTheme="minorEastAsia"/>
                <w:sz w:val="28"/>
              </w:rPr>
              <w:t>□不通过</w:t>
            </w:r>
          </w:p>
        </w:tc>
        <w:tc>
          <w:tcPr>
            <w:tcW w:w="2771"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8" w:type="dxa"/>
            <w:vAlign w:val="center"/>
          </w:tcPr>
          <w:p>
            <w:pPr>
              <w:jc w:val="center"/>
              <w:rPr>
                <w:rFonts w:cs="宋体" w:asciiTheme="minorEastAsia" w:hAnsiTheme="minorEastAsia" w:eastAsiaTheme="minorEastAsia"/>
                <w:sz w:val="28"/>
              </w:rPr>
            </w:pPr>
            <w:r>
              <w:rPr>
                <w:rFonts w:cs="宋体" w:asciiTheme="minorEastAsia" w:hAnsiTheme="minorEastAsia" w:eastAsiaTheme="minorEastAsia"/>
                <w:sz w:val="28"/>
              </w:rPr>
              <w:t>3</w:t>
            </w:r>
          </w:p>
        </w:tc>
        <w:tc>
          <w:tcPr>
            <w:tcW w:w="2689" w:type="dxa"/>
            <w:vAlign w:val="center"/>
          </w:tcPr>
          <w:p>
            <w:pPr>
              <w:pStyle w:val="20"/>
              <w:tabs>
                <w:tab w:val="left" w:pos="756"/>
                <w:tab w:val="left" w:pos="900"/>
                <w:tab w:val="left" w:pos="945"/>
              </w:tabs>
              <w:rPr>
                <w:rFonts w:cs="宋体" w:asciiTheme="minorEastAsia" w:hAnsiTheme="minorEastAsia" w:eastAsiaTheme="minorEastAsia"/>
                <w:sz w:val="28"/>
                <w:szCs w:val="24"/>
              </w:rPr>
            </w:pPr>
          </w:p>
        </w:tc>
        <w:tc>
          <w:tcPr>
            <w:tcW w:w="2496"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□通过</w:t>
            </w:r>
            <w:r>
              <w:rPr>
                <w:rFonts w:cs="宋体" w:asciiTheme="minorEastAsia" w:hAnsiTheme="minorEastAsia" w:eastAsiaTheme="minorEastAsia"/>
                <w:sz w:val="28"/>
              </w:rPr>
              <w:t xml:space="preserve"> </w:t>
            </w:r>
            <w:r>
              <w:rPr>
                <w:rFonts w:hint="eastAsia" w:cs="宋体" w:asciiTheme="minorEastAsia" w:hAnsiTheme="minorEastAsia" w:eastAsiaTheme="minorEastAsia"/>
                <w:sz w:val="28"/>
              </w:rPr>
              <w:t>□不通过</w:t>
            </w:r>
          </w:p>
        </w:tc>
        <w:tc>
          <w:tcPr>
            <w:tcW w:w="2771"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8" w:type="dxa"/>
            <w:vAlign w:val="center"/>
          </w:tcPr>
          <w:p>
            <w:pPr>
              <w:jc w:val="center"/>
              <w:rPr>
                <w:rFonts w:cs="宋体" w:asciiTheme="minorEastAsia" w:hAnsiTheme="minorEastAsia" w:eastAsiaTheme="minorEastAsia"/>
                <w:sz w:val="28"/>
              </w:rPr>
            </w:pPr>
            <w:r>
              <w:rPr>
                <w:rFonts w:cs="宋体" w:asciiTheme="minorEastAsia" w:hAnsiTheme="minorEastAsia" w:eastAsiaTheme="minorEastAsia"/>
                <w:sz w:val="28"/>
              </w:rPr>
              <w:t>...</w:t>
            </w:r>
          </w:p>
        </w:tc>
        <w:tc>
          <w:tcPr>
            <w:tcW w:w="2689" w:type="dxa"/>
            <w:vAlign w:val="center"/>
          </w:tcPr>
          <w:p>
            <w:pPr>
              <w:jc w:val="center"/>
              <w:rPr>
                <w:rFonts w:cs="宋体" w:asciiTheme="minorEastAsia" w:hAnsiTheme="minorEastAsia" w:eastAsiaTheme="minorEastAsia"/>
                <w:sz w:val="28"/>
              </w:rPr>
            </w:pPr>
            <w:r>
              <w:rPr>
                <w:rFonts w:cs="宋体" w:asciiTheme="minorEastAsia" w:hAnsiTheme="minorEastAsia" w:eastAsiaTheme="minorEastAsia"/>
                <w:sz w:val="28"/>
              </w:rPr>
              <w:t>......</w:t>
            </w:r>
          </w:p>
        </w:tc>
        <w:tc>
          <w:tcPr>
            <w:tcW w:w="2496"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□通过</w:t>
            </w:r>
            <w:r>
              <w:rPr>
                <w:rFonts w:cs="宋体" w:asciiTheme="minorEastAsia" w:hAnsiTheme="minorEastAsia" w:eastAsiaTheme="minorEastAsia"/>
                <w:sz w:val="28"/>
              </w:rPr>
              <w:t xml:space="preserve"> </w:t>
            </w:r>
            <w:r>
              <w:rPr>
                <w:rFonts w:hint="eastAsia" w:cs="宋体" w:asciiTheme="minorEastAsia" w:hAnsiTheme="minorEastAsia" w:eastAsiaTheme="minorEastAsia"/>
                <w:sz w:val="28"/>
              </w:rPr>
              <w:t>□不通过</w:t>
            </w:r>
          </w:p>
        </w:tc>
        <w:tc>
          <w:tcPr>
            <w:tcW w:w="2771" w:type="dxa"/>
            <w:vAlign w:val="center"/>
          </w:tcPr>
          <w:p>
            <w:pPr>
              <w:jc w:val="center"/>
              <w:rPr>
                <w:rFonts w:cs="宋体" w:asciiTheme="minorEastAsia" w:hAnsiTheme="minorEastAsia" w:eastAsiaTheme="minorEastAsia"/>
                <w:sz w:val="28"/>
              </w:rPr>
            </w:pPr>
            <w:r>
              <w:rPr>
                <w:rFonts w:hint="eastAsia" w:cs="宋体" w:asciiTheme="minorEastAsia" w:hAnsiTheme="minorEastAsia" w:eastAsiaTheme="minorEastAsia"/>
                <w:sz w:val="28"/>
              </w:rPr>
              <w:t>见投标文件第（）页</w:t>
            </w:r>
          </w:p>
        </w:tc>
      </w:tr>
    </w:tbl>
    <w:p>
      <w:pPr>
        <w:pStyle w:val="4"/>
        <w:spacing w:line="520" w:lineRule="exact"/>
        <w:rPr>
          <w:rFonts w:cs="宋体" w:asciiTheme="minorEastAsia" w:hAnsiTheme="minorEastAsia" w:eastAsiaTheme="minorEastAsia"/>
          <w:bCs/>
          <w:sz w:val="28"/>
          <w:szCs w:val="24"/>
        </w:rPr>
      </w:pPr>
      <w:r>
        <w:rPr>
          <w:rFonts w:hint="eastAsia" w:cs="宋体" w:asciiTheme="minorEastAsia" w:hAnsiTheme="minorEastAsia" w:eastAsiaTheme="minorEastAsia"/>
          <w:bCs/>
          <w:sz w:val="28"/>
          <w:szCs w:val="24"/>
        </w:rPr>
        <w:t>要求：</w:t>
      </w:r>
    </w:p>
    <w:p>
      <w:pPr>
        <w:spacing w:line="520" w:lineRule="exact"/>
        <w:ind w:firstLine="560" w:firstLineChars="200"/>
        <w:jc w:val="left"/>
        <w:rPr>
          <w:rFonts w:cs="宋体" w:asciiTheme="minorEastAsia" w:hAnsiTheme="minorEastAsia" w:eastAsiaTheme="minorEastAsia"/>
          <w:sz w:val="28"/>
        </w:rPr>
      </w:pPr>
      <w:r>
        <w:rPr>
          <w:rFonts w:cs="宋体" w:asciiTheme="minorEastAsia" w:hAnsiTheme="minorEastAsia" w:eastAsiaTheme="minorEastAsia"/>
          <w:sz w:val="28"/>
        </w:rPr>
        <w:t>1.投标人应根据招标文件第四部分《资格审查表》的内容填写此表；</w:t>
      </w:r>
    </w:p>
    <w:p>
      <w:pPr>
        <w:pStyle w:val="4"/>
        <w:spacing w:line="520" w:lineRule="exact"/>
        <w:ind w:firstLine="560" w:firstLineChars="200"/>
        <w:rPr>
          <w:rFonts w:cs="宋体" w:asciiTheme="minorEastAsia" w:hAnsiTheme="minorEastAsia" w:eastAsiaTheme="minorEastAsia"/>
          <w:bCs/>
          <w:sz w:val="28"/>
          <w:szCs w:val="24"/>
        </w:rPr>
      </w:pPr>
      <w:r>
        <w:rPr>
          <w:rFonts w:cs="宋体" w:asciiTheme="minorEastAsia" w:hAnsiTheme="minorEastAsia" w:eastAsiaTheme="minorEastAsia"/>
          <w:sz w:val="28"/>
          <w:szCs w:val="24"/>
        </w:rPr>
        <w:t>2.</w:t>
      </w:r>
      <w:bookmarkStart w:id="340" w:name="_Toc4353"/>
      <w:r>
        <w:rPr>
          <w:rFonts w:hint="eastAsia" w:cs="宋体" w:asciiTheme="minorEastAsia" w:hAnsiTheme="minorEastAsia" w:eastAsiaTheme="minorEastAsia"/>
          <w:bCs/>
          <w:sz w:val="28"/>
          <w:szCs w:val="24"/>
        </w:rPr>
        <w:t>此表须装订在投标文件中，并且另外附一份（非装订）随投标文件一起密封递交。</w:t>
      </w: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4"/>
        <w:spacing w:line="520" w:lineRule="exact"/>
        <w:rPr>
          <w:rFonts w:cs="宋体" w:asciiTheme="minorEastAsia" w:hAnsiTheme="minorEastAsia" w:eastAsiaTheme="minorEastAsia"/>
          <w:sz w:val="40"/>
          <w:szCs w:val="22"/>
        </w:rPr>
      </w:pPr>
    </w:p>
    <w:p>
      <w:pPr>
        <w:pStyle w:val="3"/>
        <w:spacing w:before="0" w:after="0" w:line="480" w:lineRule="exact"/>
        <w:rPr>
          <w:rFonts w:cs="宋体" w:asciiTheme="minorEastAsia" w:hAnsiTheme="minorEastAsia" w:eastAsiaTheme="minorEastAsia"/>
          <w:bCs/>
          <w:sz w:val="30"/>
          <w:szCs w:val="30"/>
        </w:rPr>
      </w:pPr>
      <w:bookmarkStart w:id="341" w:name="_Toc21663"/>
      <w:r>
        <w:rPr>
          <w:rFonts w:hint="eastAsia" w:cs="宋体" w:asciiTheme="minorEastAsia" w:hAnsiTheme="minorEastAsia" w:eastAsiaTheme="minorEastAsia"/>
          <w:bCs/>
          <w:sz w:val="30"/>
          <w:szCs w:val="30"/>
        </w:rPr>
        <w:t>十二、符合性自查表</w:t>
      </w:r>
      <w:bookmarkEnd w:id="341"/>
    </w:p>
    <w:p>
      <w:pPr>
        <w:spacing w:line="480" w:lineRule="exact"/>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投标人名称（盖公章）：</w:t>
      </w:r>
      <w:r>
        <w:rPr>
          <w:rFonts w:cs="宋体" w:asciiTheme="minorEastAsia" w:hAnsiTheme="minorEastAsia" w:eastAsiaTheme="minorEastAsia"/>
          <w:sz w:val="28"/>
          <w:szCs w:val="28"/>
          <w:u w:val="single"/>
        </w:rPr>
        <w:t xml:space="preserve">                                              </w:t>
      </w:r>
      <w:r>
        <w:rPr>
          <w:rFonts w:cs="宋体" w:asciiTheme="minorEastAsia" w:hAnsiTheme="minorEastAsia" w:eastAsiaTheme="minorEastAsia"/>
          <w:sz w:val="28"/>
          <w:szCs w:val="28"/>
        </w:rPr>
        <w:t xml:space="preserve"> </w:t>
      </w:r>
    </w:p>
    <w:tbl>
      <w:tblPr>
        <w:tblStyle w:val="37"/>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066"/>
        <w:gridCol w:w="2308"/>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18"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序号</w:t>
            </w:r>
          </w:p>
        </w:tc>
        <w:tc>
          <w:tcPr>
            <w:tcW w:w="306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详见招标文件第四部分</w:t>
            </w:r>
          </w:p>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《符合性审查表》各项</w:t>
            </w:r>
          </w:p>
        </w:tc>
        <w:tc>
          <w:tcPr>
            <w:tcW w:w="2308"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自查结论</w:t>
            </w:r>
          </w:p>
        </w:tc>
        <w:tc>
          <w:tcPr>
            <w:tcW w:w="2299"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18"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1</w:t>
            </w:r>
          </w:p>
        </w:tc>
        <w:tc>
          <w:tcPr>
            <w:tcW w:w="3066" w:type="dxa"/>
            <w:vAlign w:val="center"/>
          </w:tcPr>
          <w:p>
            <w:pPr>
              <w:widowControl/>
              <w:spacing w:line="480" w:lineRule="exact"/>
              <w:jc w:val="left"/>
              <w:rPr>
                <w:rFonts w:cs="宋体" w:asciiTheme="minorEastAsia" w:hAnsiTheme="minorEastAsia" w:eastAsiaTheme="minorEastAsia"/>
                <w:sz w:val="28"/>
                <w:szCs w:val="28"/>
              </w:rPr>
            </w:pPr>
          </w:p>
        </w:tc>
        <w:tc>
          <w:tcPr>
            <w:tcW w:w="2308"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□不通过</w:t>
            </w:r>
          </w:p>
        </w:tc>
        <w:tc>
          <w:tcPr>
            <w:tcW w:w="2299"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18"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2</w:t>
            </w:r>
          </w:p>
        </w:tc>
        <w:tc>
          <w:tcPr>
            <w:tcW w:w="3066" w:type="dxa"/>
            <w:vAlign w:val="center"/>
          </w:tcPr>
          <w:p>
            <w:pPr>
              <w:spacing w:line="480" w:lineRule="exact"/>
              <w:jc w:val="left"/>
              <w:rPr>
                <w:rFonts w:cs="宋体" w:asciiTheme="minorEastAsia" w:hAnsiTheme="minorEastAsia" w:eastAsiaTheme="minorEastAsia"/>
                <w:sz w:val="28"/>
                <w:szCs w:val="28"/>
              </w:rPr>
            </w:pPr>
          </w:p>
        </w:tc>
        <w:tc>
          <w:tcPr>
            <w:tcW w:w="2308"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□不通过</w:t>
            </w:r>
          </w:p>
        </w:tc>
        <w:tc>
          <w:tcPr>
            <w:tcW w:w="2299"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018"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3</w:t>
            </w:r>
          </w:p>
        </w:tc>
        <w:tc>
          <w:tcPr>
            <w:tcW w:w="3066" w:type="dxa"/>
            <w:vAlign w:val="center"/>
          </w:tcPr>
          <w:p>
            <w:pPr>
              <w:pStyle w:val="20"/>
              <w:tabs>
                <w:tab w:val="left" w:pos="756"/>
                <w:tab w:val="left" w:pos="900"/>
                <w:tab w:val="left" w:pos="945"/>
              </w:tabs>
              <w:spacing w:line="480" w:lineRule="exact"/>
              <w:rPr>
                <w:rFonts w:cs="宋体" w:asciiTheme="minorEastAsia" w:hAnsiTheme="minorEastAsia" w:eastAsiaTheme="minorEastAsia"/>
                <w:sz w:val="28"/>
                <w:szCs w:val="28"/>
              </w:rPr>
            </w:pPr>
          </w:p>
        </w:tc>
        <w:tc>
          <w:tcPr>
            <w:tcW w:w="2308"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w:t>
            </w:r>
            <w:r>
              <w:rPr>
                <w:rFonts w:cs="宋体" w:asciiTheme="minorEastAsia" w:hAnsiTheme="minorEastAsia" w:eastAsiaTheme="minorEastAsia"/>
                <w:sz w:val="28"/>
                <w:szCs w:val="28"/>
              </w:rPr>
              <w:t xml:space="preserve"> </w:t>
            </w:r>
            <w:r>
              <w:rPr>
                <w:rFonts w:cs="宋体" w:asciiTheme="minorEastAsia" w:hAnsiTheme="minorEastAsia" w:eastAsiaTheme="minorEastAsia"/>
                <w:sz w:val="28"/>
                <w:szCs w:val="28"/>
              </w:rPr>
              <w:sym w:font="Wingdings 2" w:char="00A3"/>
            </w:r>
            <w:r>
              <w:rPr>
                <w:rFonts w:hint="eastAsia" w:cs="宋体" w:asciiTheme="minorEastAsia" w:hAnsiTheme="minorEastAsia" w:eastAsiaTheme="minorEastAsia"/>
                <w:sz w:val="28"/>
                <w:szCs w:val="28"/>
              </w:rPr>
              <w:t>不通过</w:t>
            </w:r>
          </w:p>
        </w:tc>
        <w:tc>
          <w:tcPr>
            <w:tcW w:w="2299"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18"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w:t>
            </w:r>
          </w:p>
        </w:tc>
        <w:tc>
          <w:tcPr>
            <w:tcW w:w="3066"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w:t>
            </w:r>
          </w:p>
        </w:tc>
        <w:tc>
          <w:tcPr>
            <w:tcW w:w="2308"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w:t>
            </w:r>
            <w:r>
              <w:rPr>
                <w:rFonts w:cs="宋体" w:asciiTheme="minorEastAsia" w:hAnsiTheme="minorEastAsia" w:eastAsiaTheme="minorEastAsia"/>
                <w:sz w:val="28"/>
                <w:szCs w:val="28"/>
              </w:rPr>
              <w:t xml:space="preserve"> </w:t>
            </w:r>
            <w:r>
              <w:rPr>
                <w:rFonts w:hint="eastAsia" w:cs="宋体" w:asciiTheme="minorEastAsia" w:hAnsiTheme="minorEastAsia" w:eastAsiaTheme="minorEastAsia"/>
                <w:sz w:val="28"/>
                <w:szCs w:val="28"/>
              </w:rPr>
              <w:t>□不通过</w:t>
            </w:r>
          </w:p>
        </w:tc>
        <w:tc>
          <w:tcPr>
            <w:tcW w:w="2299"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bl>
    <w:p>
      <w:pPr>
        <w:pStyle w:val="4"/>
        <w:spacing w:line="52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要求：</w:t>
      </w:r>
    </w:p>
    <w:p>
      <w:pPr>
        <w:spacing w:line="520" w:lineRule="exact"/>
        <w:ind w:firstLine="560" w:firstLineChars="200"/>
        <w:jc w:val="left"/>
        <w:rPr>
          <w:rFonts w:cs="宋体" w:asciiTheme="minorEastAsia" w:hAnsiTheme="minorEastAsia" w:eastAsiaTheme="minorEastAsia"/>
          <w:sz w:val="28"/>
          <w:szCs w:val="28"/>
        </w:rPr>
      </w:pPr>
      <w:r>
        <w:rPr>
          <w:rFonts w:cs="宋体" w:asciiTheme="minorEastAsia" w:hAnsiTheme="minorEastAsia" w:eastAsiaTheme="minorEastAsia"/>
          <w:sz w:val="28"/>
          <w:szCs w:val="28"/>
        </w:rPr>
        <w:t>1.投标人应根据招标文件第四部分《符合性审查表》的内容填写此表；</w:t>
      </w:r>
    </w:p>
    <w:p>
      <w:pPr>
        <w:pStyle w:val="4"/>
        <w:spacing w:line="52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sz w:val="28"/>
          <w:szCs w:val="28"/>
        </w:rPr>
        <w:t>2.</w:t>
      </w:r>
      <w:r>
        <w:rPr>
          <w:rFonts w:hint="eastAsia" w:cs="宋体" w:asciiTheme="minorEastAsia" w:hAnsiTheme="minorEastAsia" w:eastAsiaTheme="minorEastAsia"/>
          <w:bCs/>
          <w:sz w:val="28"/>
          <w:szCs w:val="28"/>
        </w:rPr>
        <w:t>此表须装订在投标文件中，并且另外附七份（非装订）随投标文件一起密封递交。</w:t>
      </w:r>
    </w:p>
    <w:p>
      <w:pPr>
        <w:pStyle w:val="4"/>
        <w:spacing w:line="480" w:lineRule="exact"/>
        <w:ind w:firstLine="560" w:firstLineChars="200"/>
        <w:rPr>
          <w:rFonts w:cs="宋体" w:asciiTheme="minorEastAsia" w:hAnsiTheme="minorEastAsia" w:eastAsiaTheme="minorEastAsia"/>
          <w:bCs/>
          <w:sz w:val="28"/>
          <w:szCs w:val="28"/>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4"/>
        <w:spacing w:line="480" w:lineRule="exact"/>
        <w:ind w:firstLine="480" w:firstLineChars="200"/>
        <w:rPr>
          <w:rFonts w:cs="宋体" w:asciiTheme="minorEastAsia" w:hAnsiTheme="minorEastAsia" w:eastAsiaTheme="minorEastAsia"/>
          <w:bCs/>
          <w:sz w:val="24"/>
          <w:szCs w:val="24"/>
        </w:rPr>
      </w:pPr>
    </w:p>
    <w:p>
      <w:pPr>
        <w:pStyle w:val="3"/>
        <w:spacing w:before="0" w:after="0" w:line="480" w:lineRule="exact"/>
        <w:rPr>
          <w:rFonts w:cs="宋体" w:asciiTheme="minorEastAsia" w:hAnsiTheme="minorEastAsia" w:eastAsiaTheme="minorEastAsia"/>
          <w:bCs/>
          <w:sz w:val="30"/>
          <w:szCs w:val="30"/>
        </w:rPr>
      </w:pPr>
      <w:bookmarkStart w:id="342" w:name="_Toc30777"/>
      <w:bookmarkStart w:id="343" w:name="_Toc1625"/>
      <w:r>
        <w:rPr>
          <w:rFonts w:hint="eastAsia" w:cs="宋体" w:asciiTheme="minorEastAsia" w:hAnsiTheme="minorEastAsia" w:eastAsiaTheme="minorEastAsia"/>
          <w:bCs/>
          <w:sz w:val="30"/>
          <w:szCs w:val="30"/>
        </w:rPr>
        <w:t>十三、评分自查表</w:t>
      </w:r>
      <w:bookmarkEnd w:id="340"/>
      <w:bookmarkEnd w:id="342"/>
      <w:bookmarkEnd w:id="343"/>
    </w:p>
    <w:p>
      <w:pPr>
        <w:pStyle w:val="4"/>
        <w:spacing w:line="480" w:lineRule="exact"/>
        <w:ind w:firstLine="0"/>
        <w:rPr>
          <w:rFonts w:cs="宋体" w:asciiTheme="minorEastAsia" w:hAnsiTheme="minorEastAsia" w:eastAsiaTheme="minorEastAsia"/>
          <w:sz w:val="44"/>
          <w:szCs w:val="22"/>
        </w:rPr>
      </w:pPr>
      <w:r>
        <w:rPr>
          <w:rFonts w:hint="eastAsia" w:cs="宋体" w:asciiTheme="minorEastAsia" w:hAnsiTheme="minorEastAsia" w:eastAsiaTheme="minorEastAsia"/>
          <w:sz w:val="28"/>
          <w:szCs w:val="24"/>
        </w:rPr>
        <w:t>投标人名称（盖公章）：</w:t>
      </w:r>
      <w:r>
        <w:rPr>
          <w:rFonts w:cs="宋体" w:asciiTheme="minorEastAsia" w:hAnsiTheme="minorEastAsia" w:eastAsiaTheme="minorEastAsia"/>
          <w:sz w:val="28"/>
          <w:szCs w:val="24"/>
          <w:u w:val="single"/>
        </w:rPr>
        <w:t xml:space="preserve">                                              </w:t>
      </w:r>
      <w:r>
        <w:rPr>
          <w:rFonts w:cs="宋体" w:asciiTheme="minorEastAsia" w:hAnsiTheme="minorEastAsia" w:eastAsiaTheme="minorEastAsia"/>
          <w:sz w:val="28"/>
          <w:szCs w:val="24"/>
        </w:rPr>
        <w:t xml:space="preserve">   </w:t>
      </w:r>
    </w:p>
    <w:tbl>
      <w:tblPr>
        <w:tblStyle w:val="37"/>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3724"/>
        <w:gridCol w:w="1113"/>
        <w:gridCol w:w="1034"/>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dxa"/>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序号</w:t>
            </w:r>
          </w:p>
        </w:tc>
        <w:tc>
          <w:tcPr>
            <w:tcW w:w="3724"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评分项（详见招标文件第四部分）</w:t>
            </w:r>
          </w:p>
        </w:tc>
        <w:tc>
          <w:tcPr>
            <w:tcW w:w="1113"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内容</w:t>
            </w:r>
          </w:p>
        </w:tc>
        <w:tc>
          <w:tcPr>
            <w:tcW w:w="1034"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自评</w:t>
            </w:r>
          </w:p>
        </w:tc>
        <w:tc>
          <w:tcPr>
            <w:tcW w:w="227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6"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1</w:t>
            </w:r>
          </w:p>
        </w:tc>
        <w:tc>
          <w:tcPr>
            <w:tcW w:w="3724" w:type="dxa"/>
            <w:vAlign w:val="center"/>
          </w:tcPr>
          <w:p>
            <w:pPr>
              <w:spacing w:line="480" w:lineRule="exact"/>
              <w:jc w:val="center"/>
              <w:rPr>
                <w:rFonts w:cs="宋体" w:asciiTheme="minorEastAsia" w:hAnsiTheme="minorEastAsia" w:eastAsiaTheme="minorEastAsia"/>
                <w:sz w:val="28"/>
                <w:szCs w:val="28"/>
              </w:rPr>
            </w:pPr>
          </w:p>
        </w:tc>
        <w:tc>
          <w:tcPr>
            <w:tcW w:w="1113" w:type="dxa"/>
          </w:tcPr>
          <w:p>
            <w:pPr>
              <w:spacing w:line="480" w:lineRule="exact"/>
              <w:jc w:val="center"/>
              <w:rPr>
                <w:rFonts w:cs="宋体" w:asciiTheme="minorEastAsia" w:hAnsiTheme="minorEastAsia" w:eastAsiaTheme="minorEastAsia"/>
                <w:sz w:val="28"/>
                <w:szCs w:val="28"/>
              </w:rPr>
            </w:pPr>
          </w:p>
        </w:tc>
        <w:tc>
          <w:tcPr>
            <w:tcW w:w="1034" w:type="dxa"/>
          </w:tcPr>
          <w:p>
            <w:pPr>
              <w:spacing w:line="480" w:lineRule="exact"/>
              <w:jc w:val="center"/>
              <w:rPr>
                <w:rFonts w:cs="宋体" w:asciiTheme="minorEastAsia" w:hAnsiTheme="minorEastAsia" w:eastAsiaTheme="minorEastAsia"/>
                <w:sz w:val="28"/>
                <w:szCs w:val="28"/>
              </w:rPr>
            </w:pPr>
          </w:p>
        </w:tc>
        <w:tc>
          <w:tcPr>
            <w:tcW w:w="227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6"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2</w:t>
            </w:r>
          </w:p>
        </w:tc>
        <w:tc>
          <w:tcPr>
            <w:tcW w:w="3724" w:type="dxa"/>
            <w:vAlign w:val="center"/>
          </w:tcPr>
          <w:p>
            <w:pPr>
              <w:spacing w:line="480" w:lineRule="exact"/>
              <w:jc w:val="center"/>
              <w:rPr>
                <w:rFonts w:cs="宋体" w:asciiTheme="minorEastAsia" w:hAnsiTheme="minorEastAsia" w:eastAsiaTheme="minorEastAsia"/>
                <w:sz w:val="28"/>
                <w:szCs w:val="28"/>
              </w:rPr>
            </w:pPr>
          </w:p>
        </w:tc>
        <w:tc>
          <w:tcPr>
            <w:tcW w:w="1113" w:type="dxa"/>
          </w:tcPr>
          <w:p>
            <w:pPr>
              <w:spacing w:line="480" w:lineRule="exact"/>
              <w:jc w:val="center"/>
              <w:rPr>
                <w:rFonts w:cs="宋体" w:asciiTheme="minorEastAsia" w:hAnsiTheme="minorEastAsia" w:eastAsiaTheme="minorEastAsia"/>
                <w:sz w:val="28"/>
                <w:szCs w:val="28"/>
              </w:rPr>
            </w:pPr>
          </w:p>
        </w:tc>
        <w:tc>
          <w:tcPr>
            <w:tcW w:w="1034" w:type="dxa"/>
          </w:tcPr>
          <w:p>
            <w:pPr>
              <w:spacing w:line="480" w:lineRule="exact"/>
              <w:jc w:val="center"/>
              <w:rPr>
                <w:rFonts w:cs="宋体" w:asciiTheme="minorEastAsia" w:hAnsiTheme="minorEastAsia" w:eastAsiaTheme="minorEastAsia"/>
                <w:sz w:val="28"/>
                <w:szCs w:val="28"/>
              </w:rPr>
            </w:pPr>
          </w:p>
        </w:tc>
        <w:tc>
          <w:tcPr>
            <w:tcW w:w="227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6"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3</w:t>
            </w:r>
          </w:p>
        </w:tc>
        <w:tc>
          <w:tcPr>
            <w:tcW w:w="3724" w:type="dxa"/>
            <w:vAlign w:val="center"/>
          </w:tcPr>
          <w:p>
            <w:pPr>
              <w:spacing w:line="480" w:lineRule="exact"/>
              <w:jc w:val="center"/>
              <w:rPr>
                <w:rFonts w:cs="宋体" w:asciiTheme="minorEastAsia" w:hAnsiTheme="minorEastAsia" w:eastAsiaTheme="minorEastAsia"/>
                <w:sz w:val="28"/>
                <w:szCs w:val="28"/>
              </w:rPr>
            </w:pPr>
          </w:p>
        </w:tc>
        <w:tc>
          <w:tcPr>
            <w:tcW w:w="1113" w:type="dxa"/>
          </w:tcPr>
          <w:p>
            <w:pPr>
              <w:spacing w:line="480" w:lineRule="exact"/>
              <w:jc w:val="center"/>
              <w:rPr>
                <w:rFonts w:cs="宋体" w:asciiTheme="minorEastAsia" w:hAnsiTheme="minorEastAsia" w:eastAsiaTheme="minorEastAsia"/>
                <w:sz w:val="28"/>
                <w:szCs w:val="28"/>
              </w:rPr>
            </w:pPr>
          </w:p>
        </w:tc>
        <w:tc>
          <w:tcPr>
            <w:tcW w:w="1034" w:type="dxa"/>
          </w:tcPr>
          <w:p>
            <w:pPr>
              <w:spacing w:line="480" w:lineRule="exact"/>
              <w:jc w:val="center"/>
              <w:rPr>
                <w:rFonts w:cs="宋体" w:asciiTheme="minorEastAsia" w:hAnsiTheme="minorEastAsia" w:eastAsiaTheme="minorEastAsia"/>
                <w:sz w:val="28"/>
                <w:szCs w:val="28"/>
              </w:rPr>
            </w:pPr>
          </w:p>
        </w:tc>
        <w:tc>
          <w:tcPr>
            <w:tcW w:w="227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6"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4</w:t>
            </w:r>
          </w:p>
        </w:tc>
        <w:tc>
          <w:tcPr>
            <w:tcW w:w="3724" w:type="dxa"/>
            <w:vAlign w:val="center"/>
          </w:tcPr>
          <w:p>
            <w:pPr>
              <w:spacing w:line="480" w:lineRule="exact"/>
              <w:jc w:val="center"/>
              <w:rPr>
                <w:rFonts w:cs="宋体" w:asciiTheme="minorEastAsia" w:hAnsiTheme="minorEastAsia" w:eastAsiaTheme="minorEastAsia"/>
                <w:sz w:val="28"/>
                <w:szCs w:val="28"/>
              </w:rPr>
            </w:pPr>
          </w:p>
        </w:tc>
        <w:tc>
          <w:tcPr>
            <w:tcW w:w="1113" w:type="dxa"/>
          </w:tcPr>
          <w:p>
            <w:pPr>
              <w:spacing w:line="480" w:lineRule="exact"/>
              <w:jc w:val="center"/>
              <w:rPr>
                <w:rFonts w:cs="宋体" w:asciiTheme="minorEastAsia" w:hAnsiTheme="minorEastAsia" w:eastAsiaTheme="minorEastAsia"/>
                <w:sz w:val="28"/>
                <w:szCs w:val="28"/>
              </w:rPr>
            </w:pPr>
          </w:p>
        </w:tc>
        <w:tc>
          <w:tcPr>
            <w:tcW w:w="1034" w:type="dxa"/>
          </w:tcPr>
          <w:p>
            <w:pPr>
              <w:spacing w:line="480" w:lineRule="exact"/>
              <w:jc w:val="center"/>
              <w:rPr>
                <w:rFonts w:cs="宋体" w:asciiTheme="minorEastAsia" w:hAnsiTheme="minorEastAsia" w:eastAsiaTheme="minorEastAsia"/>
                <w:sz w:val="28"/>
                <w:szCs w:val="28"/>
              </w:rPr>
            </w:pPr>
          </w:p>
        </w:tc>
        <w:tc>
          <w:tcPr>
            <w:tcW w:w="227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6"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5</w:t>
            </w:r>
          </w:p>
        </w:tc>
        <w:tc>
          <w:tcPr>
            <w:tcW w:w="3724" w:type="dxa"/>
            <w:vAlign w:val="center"/>
          </w:tcPr>
          <w:p>
            <w:pPr>
              <w:spacing w:line="480" w:lineRule="exact"/>
              <w:jc w:val="center"/>
              <w:rPr>
                <w:rFonts w:cs="宋体" w:asciiTheme="minorEastAsia" w:hAnsiTheme="minorEastAsia" w:eastAsiaTheme="minorEastAsia"/>
                <w:sz w:val="28"/>
                <w:szCs w:val="28"/>
              </w:rPr>
            </w:pPr>
          </w:p>
        </w:tc>
        <w:tc>
          <w:tcPr>
            <w:tcW w:w="1113" w:type="dxa"/>
          </w:tcPr>
          <w:p>
            <w:pPr>
              <w:spacing w:line="480" w:lineRule="exact"/>
              <w:jc w:val="center"/>
              <w:rPr>
                <w:rFonts w:cs="宋体" w:asciiTheme="minorEastAsia" w:hAnsiTheme="minorEastAsia" w:eastAsiaTheme="minorEastAsia"/>
                <w:sz w:val="28"/>
                <w:szCs w:val="28"/>
              </w:rPr>
            </w:pPr>
          </w:p>
        </w:tc>
        <w:tc>
          <w:tcPr>
            <w:tcW w:w="1034" w:type="dxa"/>
          </w:tcPr>
          <w:p>
            <w:pPr>
              <w:spacing w:line="480" w:lineRule="exact"/>
              <w:jc w:val="center"/>
              <w:rPr>
                <w:rFonts w:cs="宋体" w:asciiTheme="minorEastAsia" w:hAnsiTheme="minorEastAsia" w:eastAsiaTheme="minorEastAsia"/>
                <w:sz w:val="28"/>
                <w:szCs w:val="28"/>
              </w:rPr>
            </w:pPr>
          </w:p>
        </w:tc>
        <w:tc>
          <w:tcPr>
            <w:tcW w:w="227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6" w:type="dxa"/>
            <w:vAlign w:val="center"/>
          </w:tcPr>
          <w:p>
            <w:pPr>
              <w:spacing w:line="480" w:lineRule="exact"/>
              <w:jc w:val="center"/>
              <w:rPr>
                <w:rFonts w:cs="宋体" w:asciiTheme="minorEastAsia" w:hAnsiTheme="minorEastAsia" w:eastAsiaTheme="minorEastAsia"/>
                <w:sz w:val="28"/>
                <w:szCs w:val="28"/>
              </w:rPr>
            </w:pPr>
            <w:r>
              <w:rPr>
                <w:rFonts w:cs="宋体" w:asciiTheme="minorEastAsia" w:hAnsiTheme="minorEastAsia" w:eastAsiaTheme="minorEastAsia"/>
                <w:sz w:val="28"/>
                <w:szCs w:val="28"/>
              </w:rPr>
              <w:t>6</w:t>
            </w:r>
          </w:p>
        </w:tc>
        <w:tc>
          <w:tcPr>
            <w:tcW w:w="3724" w:type="dxa"/>
            <w:vAlign w:val="center"/>
          </w:tcPr>
          <w:p>
            <w:pPr>
              <w:spacing w:line="480" w:lineRule="exact"/>
              <w:jc w:val="center"/>
              <w:rPr>
                <w:rFonts w:cs="宋体" w:asciiTheme="minorEastAsia" w:hAnsiTheme="minorEastAsia" w:eastAsiaTheme="minorEastAsia"/>
                <w:sz w:val="28"/>
                <w:szCs w:val="28"/>
              </w:rPr>
            </w:pPr>
          </w:p>
        </w:tc>
        <w:tc>
          <w:tcPr>
            <w:tcW w:w="1113" w:type="dxa"/>
          </w:tcPr>
          <w:p>
            <w:pPr>
              <w:spacing w:line="480" w:lineRule="exact"/>
              <w:jc w:val="center"/>
              <w:rPr>
                <w:rFonts w:cs="宋体" w:asciiTheme="minorEastAsia" w:hAnsiTheme="minorEastAsia" w:eastAsiaTheme="minorEastAsia"/>
                <w:sz w:val="28"/>
                <w:szCs w:val="28"/>
              </w:rPr>
            </w:pPr>
          </w:p>
        </w:tc>
        <w:tc>
          <w:tcPr>
            <w:tcW w:w="1034" w:type="dxa"/>
          </w:tcPr>
          <w:p>
            <w:pPr>
              <w:spacing w:line="480" w:lineRule="exact"/>
              <w:jc w:val="center"/>
              <w:rPr>
                <w:rFonts w:cs="宋体" w:asciiTheme="minorEastAsia" w:hAnsiTheme="minorEastAsia" w:eastAsiaTheme="minorEastAsia"/>
                <w:sz w:val="28"/>
                <w:szCs w:val="28"/>
              </w:rPr>
            </w:pPr>
          </w:p>
        </w:tc>
        <w:tc>
          <w:tcPr>
            <w:tcW w:w="227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6" w:type="dxa"/>
            <w:vAlign w:val="center"/>
          </w:tcPr>
          <w:p>
            <w:pPr>
              <w:spacing w:line="480" w:lineRule="exact"/>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w:t>
            </w:r>
          </w:p>
        </w:tc>
        <w:tc>
          <w:tcPr>
            <w:tcW w:w="3724" w:type="dxa"/>
            <w:vAlign w:val="center"/>
          </w:tcPr>
          <w:p>
            <w:pPr>
              <w:spacing w:line="480" w:lineRule="exact"/>
              <w:jc w:val="center"/>
              <w:rPr>
                <w:rFonts w:cs="宋体" w:asciiTheme="minorEastAsia" w:hAnsiTheme="minorEastAsia" w:eastAsiaTheme="minorEastAsia"/>
                <w:sz w:val="28"/>
                <w:szCs w:val="28"/>
              </w:rPr>
            </w:pPr>
          </w:p>
        </w:tc>
        <w:tc>
          <w:tcPr>
            <w:tcW w:w="1113" w:type="dxa"/>
          </w:tcPr>
          <w:p>
            <w:pPr>
              <w:spacing w:line="480" w:lineRule="exact"/>
              <w:jc w:val="center"/>
              <w:rPr>
                <w:rFonts w:cs="宋体" w:asciiTheme="minorEastAsia" w:hAnsiTheme="minorEastAsia" w:eastAsiaTheme="minorEastAsia"/>
                <w:sz w:val="28"/>
                <w:szCs w:val="28"/>
              </w:rPr>
            </w:pPr>
          </w:p>
        </w:tc>
        <w:tc>
          <w:tcPr>
            <w:tcW w:w="1034" w:type="dxa"/>
          </w:tcPr>
          <w:p>
            <w:pPr>
              <w:spacing w:line="480" w:lineRule="exact"/>
              <w:jc w:val="center"/>
              <w:rPr>
                <w:rFonts w:cs="宋体" w:asciiTheme="minorEastAsia" w:hAnsiTheme="minorEastAsia" w:eastAsiaTheme="minorEastAsia"/>
                <w:sz w:val="28"/>
                <w:szCs w:val="28"/>
              </w:rPr>
            </w:pPr>
          </w:p>
        </w:tc>
        <w:tc>
          <w:tcPr>
            <w:tcW w:w="2276" w:type="dxa"/>
          </w:tcPr>
          <w:p>
            <w:pPr>
              <w:spacing w:line="480" w:lineRule="exact"/>
              <w:jc w:val="center"/>
              <w:rPr>
                <w:rFonts w:cs="宋体" w:asciiTheme="minorEastAsia" w:hAnsiTheme="minorEastAsia" w:eastAsiaTheme="minorEastAsia"/>
                <w:sz w:val="28"/>
                <w:szCs w:val="28"/>
              </w:rPr>
            </w:pPr>
          </w:p>
        </w:tc>
      </w:tr>
    </w:tbl>
    <w:p>
      <w:pPr>
        <w:spacing w:line="520" w:lineRule="exact"/>
        <w:ind w:firstLine="560" w:firstLineChars="200"/>
        <w:jc w:val="left"/>
        <w:rPr>
          <w:rFonts w:cs="宋体" w:asciiTheme="minorEastAsia" w:hAnsiTheme="minorEastAsia" w:eastAsiaTheme="minorEastAsia"/>
          <w:bCs/>
          <w:sz w:val="28"/>
        </w:rPr>
      </w:pPr>
      <w:r>
        <w:rPr>
          <w:rFonts w:hint="eastAsia" w:cs="宋体" w:asciiTheme="minorEastAsia" w:hAnsiTheme="minorEastAsia" w:eastAsiaTheme="minorEastAsia"/>
          <w:bCs/>
          <w:sz w:val="28"/>
        </w:rPr>
        <w:t>要求：</w:t>
      </w:r>
    </w:p>
    <w:p>
      <w:pPr>
        <w:spacing w:line="520" w:lineRule="exact"/>
        <w:ind w:firstLine="560" w:firstLineChars="200"/>
        <w:jc w:val="left"/>
        <w:rPr>
          <w:rFonts w:cs="宋体" w:asciiTheme="minorEastAsia" w:hAnsiTheme="minorEastAsia" w:eastAsiaTheme="minorEastAsia"/>
          <w:sz w:val="28"/>
        </w:rPr>
      </w:pPr>
      <w:r>
        <w:rPr>
          <w:rFonts w:cs="宋体" w:asciiTheme="minorEastAsia" w:hAnsiTheme="minorEastAsia" w:eastAsiaTheme="minorEastAsia"/>
          <w:sz w:val="28"/>
        </w:rPr>
        <w:t>1.投标人应根据招标文件第四部分《评分表》的内容填写此表；</w:t>
      </w:r>
    </w:p>
    <w:p>
      <w:pPr>
        <w:pStyle w:val="4"/>
        <w:spacing w:line="520" w:lineRule="exact"/>
        <w:ind w:firstLine="560" w:firstLineChars="200"/>
        <w:rPr>
          <w:rFonts w:cs="宋体" w:asciiTheme="minorEastAsia" w:hAnsiTheme="minorEastAsia" w:eastAsiaTheme="minorEastAsia"/>
          <w:bCs/>
          <w:sz w:val="28"/>
          <w:szCs w:val="24"/>
        </w:rPr>
      </w:pPr>
      <w:r>
        <w:rPr>
          <w:rFonts w:cs="宋体" w:asciiTheme="minorEastAsia" w:hAnsiTheme="minorEastAsia" w:eastAsiaTheme="minorEastAsia"/>
          <w:sz w:val="28"/>
          <w:szCs w:val="24"/>
        </w:rPr>
        <w:t>2.</w:t>
      </w:r>
      <w:r>
        <w:rPr>
          <w:rFonts w:hint="eastAsia" w:cs="宋体" w:asciiTheme="minorEastAsia" w:hAnsiTheme="minorEastAsia" w:eastAsiaTheme="minorEastAsia"/>
          <w:bCs/>
          <w:sz w:val="28"/>
          <w:szCs w:val="24"/>
        </w:rPr>
        <w:t>此表须装订在投标文件中，并且另外附七份（非装订）随投标文件一起密封递交。</w:t>
      </w:r>
    </w:p>
    <w:p>
      <w:pPr>
        <w:spacing w:line="480" w:lineRule="exact"/>
        <w:ind w:firstLine="480" w:firstLineChars="200"/>
        <w:jc w:val="left"/>
        <w:rPr>
          <w:rFonts w:cs="宋体" w:asciiTheme="minorEastAsia" w:hAnsiTheme="minorEastAsia" w:eastAsiaTheme="minorEastAsia"/>
          <w:sz w:val="24"/>
        </w:rPr>
      </w:pPr>
    </w:p>
    <w:p>
      <w:pPr>
        <w:ind w:firstLine="420" w:firstLineChars="200"/>
        <w:jc w:val="left"/>
        <w:rPr>
          <w:rFonts w:cs="宋体" w:asciiTheme="minorEastAsia" w:hAnsiTheme="minorEastAsia" w:eastAsiaTheme="minorEastAsia"/>
          <w:szCs w:val="21"/>
        </w:rPr>
      </w:pPr>
    </w:p>
    <w:p>
      <w:pPr>
        <w:rPr>
          <w:rFonts w:ascii="仿宋_GB2312" w:eastAsia="仿宋_GB2312"/>
          <w:sz w:val="32"/>
          <w:szCs w:val="32"/>
        </w:rPr>
      </w:pPr>
    </w:p>
    <w:sectPr>
      <w:pgSz w:w="11907" w:h="16840"/>
      <w:pgMar w:top="1440" w:right="1800" w:bottom="1440" w:left="1800" w:header="851" w:footer="992" w:gutter="0"/>
      <w:cols w:space="720" w:num="1"/>
      <w:titlePg/>
      <w:docGrid w:linePitch="41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altName w:val="微软雅黑"/>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Style w:val="41"/>
        <w:rFonts w:hint="eastAsia"/>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1"/>
      </w:rPr>
    </w:pPr>
    <w:r>
      <w:fldChar w:fldCharType="begin"/>
    </w:r>
    <w:r>
      <w:rPr>
        <w:rStyle w:val="41"/>
      </w:rPr>
      <w:instrText xml:space="preserve">PAGE  </w:instrTex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9027"/>
      </w:tabs>
      <w:ind w:right="-18"/>
      <w:rPr>
        <w:rStyle w:val="41"/>
        <w:szCs w:val="21"/>
      </w:rPr>
    </w:pPr>
    <w:r>
      <w:rPr>
        <w:rStyle w:val="41"/>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8359" w:h="616" w:hRule="exact" w:wrap="around" w:vAnchor="text" w:hAnchor="page" w:x="1798" w:y="-52"/>
      <w:tabs>
        <w:tab w:val="left" w:pos="9027"/>
      </w:tabs>
      <w:ind w:right="-18"/>
      <w:rPr>
        <w:rStyle w:val="41"/>
        <w:rFonts w:ascii="仿宋" w:hAnsi="仿宋" w:eastAsia="仿宋"/>
        <w:sz w:val="21"/>
        <w:szCs w:val="21"/>
      </w:rPr>
    </w:pPr>
    <w:r>
      <w:rPr>
        <w:rStyle w:val="41"/>
        <w:rFonts w:hint="eastAsia" w:ascii="仿宋" w:hAnsi="仿宋" w:eastAsia="仿宋"/>
        <w:sz w:val="21"/>
        <w:szCs w:val="21"/>
      </w:rPr>
      <w:t>江门市</w:t>
    </w:r>
    <w:r>
      <w:rPr>
        <w:rFonts w:hint="eastAsia" w:ascii="仿宋" w:hAnsi="仿宋" w:eastAsia="仿宋"/>
        <w:sz w:val="21"/>
        <w:szCs w:val="21"/>
      </w:rPr>
      <w:t>政府</w:t>
    </w:r>
    <w:r>
      <w:rPr>
        <w:rFonts w:hint="eastAsia" w:ascii="仿宋" w:hAnsi="仿宋" w:eastAsia="仿宋"/>
        <w:color w:val="000000" w:themeColor="text1"/>
        <w:sz w:val="21"/>
        <w:szCs w:val="21"/>
        <w14:textFill>
          <w14:solidFill>
            <w14:schemeClr w14:val="tx1"/>
          </w14:solidFill>
        </w14:textFill>
      </w:rPr>
      <w:t>采购</w:t>
    </w:r>
    <w:r>
      <w:rPr>
        <w:rStyle w:val="41"/>
        <w:rFonts w:hint="eastAsia" w:ascii="仿宋" w:hAnsi="仿宋" w:eastAsia="仿宋"/>
        <w:sz w:val="21"/>
        <w:szCs w:val="21"/>
      </w:rPr>
      <w:t xml:space="preserve">中心                                           第 </w:t>
    </w:r>
    <w:r>
      <w:rPr>
        <w:rFonts w:ascii="仿宋" w:hAnsi="仿宋" w:eastAsia="仿宋"/>
        <w:sz w:val="21"/>
        <w:szCs w:val="21"/>
      </w:rPr>
      <w:fldChar w:fldCharType="begin"/>
    </w:r>
    <w:r>
      <w:rPr>
        <w:rStyle w:val="41"/>
        <w:rFonts w:ascii="仿宋" w:hAnsi="仿宋" w:eastAsia="仿宋"/>
        <w:sz w:val="21"/>
        <w:szCs w:val="21"/>
      </w:rPr>
      <w:instrText xml:space="preserve">PAGE   \* MERGEFORMAT</w:instrText>
    </w:r>
    <w:r>
      <w:rPr>
        <w:rFonts w:ascii="仿宋" w:hAnsi="仿宋" w:eastAsia="仿宋"/>
        <w:sz w:val="21"/>
        <w:szCs w:val="21"/>
      </w:rPr>
      <w:fldChar w:fldCharType="separate"/>
    </w:r>
    <w:r>
      <w:rPr>
        <w:rStyle w:val="41"/>
        <w:rFonts w:ascii="仿宋" w:hAnsi="仿宋" w:eastAsia="仿宋"/>
        <w:sz w:val="21"/>
        <w:szCs w:val="21"/>
        <w:lang w:val="zh-CN"/>
      </w:rPr>
      <w:t>49</w:t>
    </w:r>
    <w:r>
      <w:rPr>
        <w:rFonts w:ascii="仿宋" w:hAnsi="仿宋" w:eastAsia="仿宋"/>
        <w:sz w:val="21"/>
        <w:szCs w:val="21"/>
      </w:rPr>
      <w:fldChar w:fldCharType="end"/>
    </w:r>
    <w:r>
      <w:rPr>
        <w:rStyle w:val="41"/>
        <w:rFonts w:hint="eastAsia" w:ascii="仿宋" w:hAnsi="仿宋" w:eastAsia="仿宋"/>
        <w:sz w:val="21"/>
        <w:szCs w:val="21"/>
      </w:rPr>
      <w:t xml:space="preserve"> 页 共 58 页</w:t>
    </w:r>
  </w:p>
  <w:p>
    <w:pPr>
      <w:pStyle w:val="25"/>
      <w:rPr>
        <w:rFonts w:ascii="仿宋" w:hAnsi="仿宋" w:eastAsia="仿宋"/>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9027"/>
      </w:tabs>
      <w:ind w:right="-18"/>
      <w:rPr>
        <w:rStyle w:val="41"/>
        <w:rFonts w:ascii="仿宋" w:hAnsi="仿宋" w:eastAsia="仿宋"/>
        <w:sz w:val="21"/>
        <w:szCs w:val="21"/>
      </w:rPr>
    </w:pPr>
    <w:r>
      <w:rPr>
        <w:rStyle w:val="41"/>
        <w:rFonts w:hint="eastAsia" w:ascii="仿宋" w:hAnsi="仿宋" w:eastAsia="仿宋"/>
        <w:sz w:val="21"/>
        <w:szCs w:val="21"/>
      </w:rPr>
      <w:t>江门市</w:t>
    </w:r>
    <w:r>
      <w:rPr>
        <w:rFonts w:hint="eastAsia" w:ascii="仿宋" w:hAnsi="仿宋" w:eastAsia="仿宋"/>
        <w:sz w:val="21"/>
        <w:szCs w:val="21"/>
      </w:rPr>
      <w:t>政府</w:t>
    </w:r>
    <w:r>
      <w:rPr>
        <w:rFonts w:hint="eastAsia" w:ascii="仿宋" w:hAnsi="仿宋" w:eastAsia="仿宋"/>
        <w:color w:val="000000" w:themeColor="text1"/>
        <w:sz w:val="21"/>
        <w:szCs w:val="21"/>
        <w14:textFill>
          <w14:solidFill>
            <w14:schemeClr w14:val="tx1"/>
          </w14:solidFill>
        </w14:textFill>
      </w:rPr>
      <w:t>采购</w:t>
    </w:r>
    <w:r>
      <w:rPr>
        <w:rStyle w:val="41"/>
        <w:rFonts w:hint="eastAsia" w:ascii="仿宋" w:hAnsi="仿宋" w:eastAsia="仿宋"/>
        <w:sz w:val="21"/>
        <w:szCs w:val="21"/>
      </w:rPr>
      <w:t xml:space="preserve">中心                                           第 </w:t>
    </w:r>
    <w:r>
      <w:rPr>
        <w:rFonts w:ascii="仿宋" w:hAnsi="仿宋" w:eastAsia="仿宋"/>
        <w:sz w:val="21"/>
        <w:szCs w:val="21"/>
      </w:rPr>
      <w:fldChar w:fldCharType="begin"/>
    </w:r>
    <w:r>
      <w:rPr>
        <w:rStyle w:val="41"/>
        <w:rFonts w:ascii="仿宋" w:hAnsi="仿宋" w:eastAsia="仿宋"/>
        <w:sz w:val="21"/>
        <w:szCs w:val="21"/>
      </w:rPr>
      <w:instrText xml:space="preserve">PAGE   \* MERGEFORMAT</w:instrText>
    </w:r>
    <w:r>
      <w:rPr>
        <w:rFonts w:ascii="仿宋" w:hAnsi="仿宋" w:eastAsia="仿宋"/>
        <w:sz w:val="21"/>
        <w:szCs w:val="21"/>
      </w:rPr>
      <w:fldChar w:fldCharType="separate"/>
    </w:r>
    <w:r>
      <w:rPr>
        <w:rStyle w:val="41"/>
        <w:rFonts w:ascii="仿宋" w:hAnsi="仿宋" w:eastAsia="仿宋"/>
        <w:sz w:val="21"/>
        <w:szCs w:val="21"/>
        <w:lang w:val="zh-CN"/>
      </w:rPr>
      <w:t>49</w:t>
    </w:r>
    <w:r>
      <w:rPr>
        <w:rFonts w:ascii="仿宋" w:hAnsi="仿宋" w:eastAsia="仿宋"/>
        <w:sz w:val="21"/>
        <w:szCs w:val="21"/>
      </w:rPr>
      <w:fldChar w:fldCharType="end"/>
    </w:r>
    <w:r>
      <w:rPr>
        <w:rStyle w:val="41"/>
        <w:rFonts w:hint="eastAsia" w:ascii="仿宋" w:hAnsi="仿宋" w:eastAsia="仿宋"/>
        <w:sz w:val="21"/>
        <w:szCs w:val="21"/>
      </w:rPr>
      <w:t xml:space="preserve"> 页 共 58 页</w:t>
    </w:r>
  </w:p>
  <w:p>
    <w:pPr>
      <w:pStyle w:val="25"/>
      <w:tabs>
        <w:tab w:val="left" w:pos="9027"/>
      </w:tabs>
      <w:ind w:right="-18" w:firstLine="180" w:firstLineChars="100"/>
      <w:rPr>
        <w:rStyle w:val="4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8400" w:hanging="8400" w:hangingChars="4200"/>
      <w:jc w:val="left"/>
      <w:rPr>
        <w:rFonts w:ascii="宋体" w:hAnsi="宋体" w:cs="宋体"/>
        <w:sz w:val="20"/>
        <w:szCs w:val="22"/>
      </w:rPr>
    </w:pPr>
    <w:r>
      <w:rPr>
        <w:rFonts w:hint="eastAsia" w:ascii="宋体" w:hAnsi="宋体" w:cs="宋体"/>
        <w:sz w:val="20"/>
        <w:szCs w:val="22"/>
      </w:rPr>
      <w:t>江门市本级非税收入代收银行资格服务项目（JMGPC-202201）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11FC8"/>
    <w:multiLevelType w:val="singleLevel"/>
    <w:tmpl w:val="BBD11FC8"/>
    <w:lvl w:ilvl="0" w:tentative="0">
      <w:start w:val="5"/>
      <w:numFmt w:val="chineseCounting"/>
      <w:suff w:val="space"/>
      <w:lvlText w:val="第%1部分"/>
      <w:lvlJc w:val="left"/>
      <w:rPr>
        <w:rFonts w:hint="eastAsia"/>
      </w:rPr>
    </w:lvl>
  </w:abstractNum>
  <w:abstractNum w:abstractNumId="1">
    <w:nsid w:val="248D5D75"/>
    <w:multiLevelType w:val="multilevel"/>
    <w:tmpl w:val="248D5D75"/>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5EFD6AF7"/>
    <w:multiLevelType w:val="multilevel"/>
    <w:tmpl w:val="5EFD6AF7"/>
    <w:lvl w:ilvl="0" w:tentative="0">
      <w:start w:val="3"/>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518F8"/>
    <w:rsid w:val="00083BB7"/>
    <w:rsid w:val="00145CE3"/>
    <w:rsid w:val="00190B90"/>
    <w:rsid w:val="00217151"/>
    <w:rsid w:val="00225427"/>
    <w:rsid w:val="0025308C"/>
    <w:rsid w:val="00274789"/>
    <w:rsid w:val="002E404C"/>
    <w:rsid w:val="002F21E8"/>
    <w:rsid w:val="00305B13"/>
    <w:rsid w:val="00323044"/>
    <w:rsid w:val="00325EE4"/>
    <w:rsid w:val="003472F2"/>
    <w:rsid w:val="003C187F"/>
    <w:rsid w:val="003F0D2F"/>
    <w:rsid w:val="0040446E"/>
    <w:rsid w:val="00406C00"/>
    <w:rsid w:val="004168CE"/>
    <w:rsid w:val="00455A37"/>
    <w:rsid w:val="004607B1"/>
    <w:rsid w:val="004E09C5"/>
    <w:rsid w:val="005037BC"/>
    <w:rsid w:val="00545A4B"/>
    <w:rsid w:val="00591835"/>
    <w:rsid w:val="005B091A"/>
    <w:rsid w:val="0065277C"/>
    <w:rsid w:val="006D7DBE"/>
    <w:rsid w:val="006E3911"/>
    <w:rsid w:val="00705F7D"/>
    <w:rsid w:val="007159B3"/>
    <w:rsid w:val="00745FC0"/>
    <w:rsid w:val="00814FC3"/>
    <w:rsid w:val="008329EE"/>
    <w:rsid w:val="00850E58"/>
    <w:rsid w:val="008D606A"/>
    <w:rsid w:val="00957CDD"/>
    <w:rsid w:val="009D78C2"/>
    <w:rsid w:val="009E608B"/>
    <w:rsid w:val="009E65A5"/>
    <w:rsid w:val="009F7E8F"/>
    <w:rsid w:val="00A045B2"/>
    <w:rsid w:val="00A50574"/>
    <w:rsid w:val="00AE0CD7"/>
    <w:rsid w:val="00B11DF5"/>
    <w:rsid w:val="00B44557"/>
    <w:rsid w:val="00B848FB"/>
    <w:rsid w:val="00BB0508"/>
    <w:rsid w:val="00C90FEA"/>
    <w:rsid w:val="00CC48B5"/>
    <w:rsid w:val="00CE0B1D"/>
    <w:rsid w:val="00D37A1F"/>
    <w:rsid w:val="00D61D4A"/>
    <w:rsid w:val="00DE0DC6"/>
    <w:rsid w:val="00E04668"/>
    <w:rsid w:val="00E27F25"/>
    <w:rsid w:val="00E74646"/>
    <w:rsid w:val="00EA4C8F"/>
    <w:rsid w:val="00EB5C6A"/>
    <w:rsid w:val="00EB7C05"/>
    <w:rsid w:val="00EC5E0B"/>
    <w:rsid w:val="00ED4561"/>
    <w:rsid w:val="00EE311C"/>
    <w:rsid w:val="00F11236"/>
    <w:rsid w:val="00FD08EB"/>
    <w:rsid w:val="00FD0FA0"/>
    <w:rsid w:val="00FD3ED3"/>
    <w:rsid w:val="00FF1ED3"/>
    <w:rsid w:val="02DA3FC5"/>
    <w:rsid w:val="1C1309F2"/>
    <w:rsid w:val="27D84C08"/>
    <w:rsid w:val="2F510AFE"/>
    <w:rsid w:val="512107C7"/>
    <w:rsid w:val="513C66F0"/>
    <w:rsid w:val="6273172E"/>
    <w:rsid w:val="6C8F167D"/>
    <w:rsid w:val="723965AE"/>
    <w:rsid w:val="77A05953"/>
    <w:rsid w:val="ADBBC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utoSpaceDE w:val="0"/>
      <w:autoSpaceDN w:val="0"/>
      <w:adjustRightInd w:val="0"/>
      <w:spacing w:before="340" w:after="330" w:line="578" w:lineRule="auto"/>
      <w:jc w:val="left"/>
      <w:textAlignment w:val="baseline"/>
      <w:outlineLvl w:val="0"/>
    </w:pPr>
    <w:rPr>
      <w:rFonts w:ascii="宋体" w:hAnsi="Calibri"/>
      <w:b/>
      <w:kern w:val="44"/>
      <w:sz w:val="44"/>
      <w:szCs w:val="20"/>
    </w:rPr>
  </w:style>
  <w:style w:type="paragraph" w:styleId="3">
    <w:name w:val="heading 2"/>
    <w:basedOn w:val="1"/>
    <w:next w:val="4"/>
    <w:link w:val="49"/>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szCs w:val="20"/>
    </w:rPr>
  </w:style>
  <w:style w:type="paragraph" w:styleId="5">
    <w:name w:val="heading 3"/>
    <w:basedOn w:val="1"/>
    <w:next w:val="4"/>
    <w:link w:val="50"/>
    <w:qFormat/>
    <w:uiPriority w:val="9"/>
    <w:pPr>
      <w:keepNext/>
      <w:keepLines/>
      <w:autoSpaceDE w:val="0"/>
      <w:autoSpaceDN w:val="0"/>
      <w:adjustRightInd w:val="0"/>
      <w:spacing w:before="260" w:after="260" w:line="416" w:lineRule="auto"/>
      <w:jc w:val="left"/>
      <w:textAlignment w:val="baseline"/>
      <w:outlineLvl w:val="2"/>
    </w:pPr>
    <w:rPr>
      <w:rFonts w:ascii="宋体" w:hAnsi="Calibri"/>
      <w:b/>
      <w:kern w:val="0"/>
      <w:sz w:val="32"/>
      <w:szCs w:val="20"/>
    </w:rPr>
  </w:style>
  <w:style w:type="paragraph" w:styleId="6">
    <w:name w:val="heading 4"/>
    <w:basedOn w:val="1"/>
    <w:next w:val="1"/>
    <w:link w:val="51"/>
    <w:qFormat/>
    <w:uiPriority w:val="0"/>
    <w:pPr>
      <w:keepNext/>
      <w:keepLines/>
      <w:spacing w:before="280" w:after="290" w:line="374" w:lineRule="auto"/>
      <w:outlineLvl w:val="3"/>
    </w:pPr>
    <w:rPr>
      <w:rFonts w:ascii="Arial" w:hAnsi="Arial" w:eastAsia="黑体"/>
      <w:b/>
      <w:bCs/>
      <w:sz w:val="28"/>
      <w:szCs w:val="28"/>
    </w:rPr>
  </w:style>
  <w:style w:type="paragraph" w:styleId="7">
    <w:name w:val="heading 7"/>
    <w:basedOn w:val="1"/>
    <w:next w:val="4"/>
    <w:link w:val="52"/>
    <w:qFormat/>
    <w:uiPriority w:val="0"/>
    <w:pPr>
      <w:keepNext/>
      <w:tabs>
        <w:tab w:val="left" w:pos="360"/>
      </w:tabs>
      <w:autoSpaceDE w:val="0"/>
      <w:autoSpaceDN w:val="0"/>
      <w:adjustRightInd w:val="0"/>
      <w:spacing w:before="240" w:after="64" w:line="320" w:lineRule="auto"/>
      <w:outlineLvl w:val="6"/>
    </w:pPr>
    <w:rPr>
      <w:rFonts w:ascii="宋体" w:hAnsi="Calibri"/>
      <w:b/>
      <w:color w:val="000000"/>
      <w:sz w:val="24"/>
    </w:rPr>
  </w:style>
  <w:style w:type="paragraph" w:styleId="8">
    <w:name w:val="heading 8"/>
    <w:basedOn w:val="1"/>
    <w:next w:val="4"/>
    <w:link w:val="53"/>
    <w:qFormat/>
    <w:uiPriority w:val="0"/>
    <w:pPr>
      <w:keepNext/>
      <w:tabs>
        <w:tab w:val="left" w:pos="360"/>
      </w:tabs>
      <w:autoSpaceDE w:val="0"/>
      <w:autoSpaceDN w:val="0"/>
      <w:adjustRightInd w:val="0"/>
      <w:spacing w:before="240" w:after="64" w:line="320" w:lineRule="auto"/>
      <w:outlineLvl w:val="7"/>
    </w:pPr>
    <w:rPr>
      <w:rFonts w:ascii="Arial" w:hAnsi="Arial" w:eastAsia="黑体"/>
      <w:color w:val="000000"/>
      <w:sz w:val="24"/>
    </w:rPr>
  </w:style>
  <w:style w:type="paragraph" w:styleId="9">
    <w:name w:val="heading 9"/>
    <w:basedOn w:val="1"/>
    <w:next w:val="4"/>
    <w:link w:val="54"/>
    <w:qFormat/>
    <w:uiPriority w:val="0"/>
    <w:pPr>
      <w:keepNext/>
      <w:tabs>
        <w:tab w:val="left" w:pos="360"/>
      </w:tabs>
      <w:autoSpaceDE w:val="0"/>
      <w:autoSpaceDN w:val="0"/>
      <w:adjustRightInd w:val="0"/>
      <w:spacing w:before="240" w:after="64" w:line="320" w:lineRule="auto"/>
      <w:outlineLvl w:val="8"/>
    </w:pPr>
    <w:rPr>
      <w:rFonts w:ascii="Arial" w:hAnsi="Arial" w:eastAsia="黑体"/>
      <w:color w:val="000000"/>
      <w:sz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85"/>
    <w:qFormat/>
    <w:uiPriority w:val="0"/>
    <w:pPr>
      <w:autoSpaceDE w:val="0"/>
      <w:autoSpaceDN w:val="0"/>
      <w:adjustRightInd w:val="0"/>
      <w:ind w:firstLine="420"/>
      <w:jc w:val="left"/>
      <w:textAlignment w:val="baseline"/>
    </w:pPr>
    <w:rPr>
      <w:rFonts w:ascii="宋体" w:hAnsi="Calibri"/>
      <w:kern w:val="0"/>
      <w:sz w:val="34"/>
      <w:szCs w:val="20"/>
    </w:rPr>
  </w:style>
  <w:style w:type="paragraph" w:styleId="10">
    <w:name w:val="toc 7"/>
    <w:basedOn w:val="1"/>
    <w:next w:val="1"/>
    <w:unhideWhenUsed/>
    <w:qFormat/>
    <w:uiPriority w:val="39"/>
    <w:pPr>
      <w:ind w:left="2520" w:leftChars="1200"/>
    </w:pPr>
    <w:rPr>
      <w:rFonts w:ascii="Calibri" w:hAnsi="Calibri"/>
      <w:szCs w:val="22"/>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55"/>
    <w:qFormat/>
    <w:uiPriority w:val="0"/>
    <w:pPr>
      <w:shd w:val="clear" w:color="auto" w:fill="000080"/>
    </w:pPr>
    <w:rPr>
      <w:rFonts w:ascii="Calibri" w:hAnsi="Calibri" w:eastAsia="仿宋_GB2312"/>
      <w:kern w:val="0"/>
      <w:sz w:val="30"/>
      <w:szCs w:val="20"/>
      <w:shd w:val="clear" w:color="auto" w:fill="000080"/>
    </w:rPr>
  </w:style>
  <w:style w:type="paragraph" w:styleId="13">
    <w:name w:val="annotation text"/>
    <w:basedOn w:val="1"/>
    <w:link w:val="56"/>
    <w:qFormat/>
    <w:uiPriority w:val="0"/>
    <w:pPr>
      <w:jc w:val="left"/>
    </w:pPr>
    <w:rPr>
      <w:rFonts w:ascii="Calibri" w:hAnsi="Calibri"/>
    </w:rPr>
  </w:style>
  <w:style w:type="paragraph" w:styleId="14">
    <w:name w:val="Body Text 3"/>
    <w:basedOn w:val="1"/>
    <w:link w:val="57"/>
    <w:qFormat/>
    <w:uiPriority w:val="0"/>
    <w:pPr>
      <w:spacing w:after="120"/>
    </w:pPr>
    <w:rPr>
      <w:rFonts w:ascii="Calibri" w:hAnsi="Calibri"/>
      <w:sz w:val="16"/>
      <w:szCs w:val="16"/>
    </w:rPr>
  </w:style>
  <w:style w:type="paragraph" w:styleId="15">
    <w:name w:val="Body Text"/>
    <w:basedOn w:val="1"/>
    <w:link w:val="58"/>
    <w:qFormat/>
    <w:uiPriority w:val="0"/>
    <w:pPr>
      <w:spacing w:line="360" w:lineRule="auto"/>
    </w:pPr>
    <w:rPr>
      <w:rFonts w:ascii="仿宋_GB2312" w:hAnsi="Calibri" w:eastAsia="仿宋_GB2312"/>
      <w:sz w:val="28"/>
      <w:szCs w:val="20"/>
    </w:rPr>
  </w:style>
  <w:style w:type="paragraph" w:styleId="16">
    <w:name w:val="Body Text Indent"/>
    <w:basedOn w:val="1"/>
    <w:link w:val="59"/>
    <w:qFormat/>
    <w:uiPriority w:val="0"/>
    <w:pPr>
      <w:autoSpaceDE w:val="0"/>
      <w:autoSpaceDN w:val="0"/>
      <w:adjustRightInd w:val="0"/>
      <w:spacing w:line="480" w:lineRule="exact"/>
      <w:ind w:left="850" w:hanging="249"/>
      <w:textAlignment w:val="baseline"/>
    </w:pPr>
    <w:rPr>
      <w:rFonts w:ascii="仿宋_GB2312" w:hAnsi="Calibri" w:eastAsia="仿宋_GB2312"/>
      <w:kern w:val="0"/>
      <w:sz w:val="28"/>
      <w:szCs w:val="20"/>
    </w:rPr>
  </w:style>
  <w:style w:type="paragraph" w:styleId="17">
    <w:name w:val="Block Text"/>
    <w:basedOn w:val="1"/>
    <w:qFormat/>
    <w:uiPriority w:val="0"/>
    <w:pPr>
      <w:widowControl/>
      <w:ind w:left="226" w:leftChars="94" w:right="103" w:rightChars="43"/>
      <w:jc w:val="left"/>
    </w:pPr>
    <w:rPr>
      <w:rFonts w:ascii="宋体" w:hAnsi="宋体"/>
      <w:color w:val="FF0000"/>
      <w:kern w:val="0"/>
      <w:sz w:val="24"/>
    </w:rPr>
  </w:style>
  <w:style w:type="paragraph" w:styleId="18">
    <w:name w:val="toc 5"/>
    <w:basedOn w:val="1"/>
    <w:next w:val="1"/>
    <w:unhideWhenUsed/>
    <w:qFormat/>
    <w:uiPriority w:val="39"/>
    <w:pPr>
      <w:ind w:left="1680" w:leftChars="800"/>
    </w:pPr>
    <w:rPr>
      <w:rFonts w:ascii="Calibri" w:hAnsi="Calibri"/>
      <w:szCs w:val="22"/>
    </w:rPr>
  </w:style>
  <w:style w:type="paragraph" w:styleId="19">
    <w:name w:val="toc 3"/>
    <w:basedOn w:val="1"/>
    <w:next w:val="1"/>
    <w:qFormat/>
    <w:uiPriority w:val="39"/>
    <w:pPr>
      <w:tabs>
        <w:tab w:val="right" w:leader="dot" w:pos="8505"/>
      </w:tabs>
    </w:pPr>
    <w:rPr>
      <w:rFonts w:ascii="仿宋_GB2312" w:hAnsi="宋体" w:eastAsia="仿宋_GB2312"/>
      <w:sz w:val="24"/>
      <w:szCs w:val="32"/>
    </w:rPr>
  </w:style>
  <w:style w:type="paragraph" w:styleId="20">
    <w:name w:val="Plain Text"/>
    <w:basedOn w:val="1"/>
    <w:link w:val="60"/>
    <w:qFormat/>
    <w:uiPriority w:val="99"/>
    <w:rPr>
      <w:rFonts w:ascii="宋体" w:hAnsi="Courier New"/>
      <w:szCs w:val="20"/>
    </w:rPr>
  </w:style>
  <w:style w:type="paragraph" w:styleId="21">
    <w:name w:val="toc 8"/>
    <w:basedOn w:val="1"/>
    <w:next w:val="1"/>
    <w:unhideWhenUsed/>
    <w:qFormat/>
    <w:uiPriority w:val="39"/>
    <w:pPr>
      <w:ind w:left="2940" w:leftChars="1400"/>
    </w:pPr>
    <w:rPr>
      <w:rFonts w:ascii="Calibri" w:hAnsi="Calibri"/>
      <w:szCs w:val="22"/>
    </w:rPr>
  </w:style>
  <w:style w:type="paragraph" w:styleId="22">
    <w:name w:val="Date"/>
    <w:basedOn w:val="1"/>
    <w:next w:val="1"/>
    <w:link w:val="61"/>
    <w:qFormat/>
    <w:uiPriority w:val="0"/>
    <w:pPr>
      <w:autoSpaceDE w:val="0"/>
      <w:autoSpaceDN w:val="0"/>
      <w:adjustRightInd w:val="0"/>
      <w:textAlignment w:val="baseline"/>
    </w:pPr>
    <w:rPr>
      <w:rFonts w:ascii="宋体" w:hAnsi="Calibri"/>
      <w:kern w:val="0"/>
      <w:sz w:val="28"/>
      <w:szCs w:val="20"/>
    </w:rPr>
  </w:style>
  <w:style w:type="paragraph" w:styleId="23">
    <w:name w:val="Body Text Indent 2"/>
    <w:basedOn w:val="1"/>
    <w:link w:val="62"/>
    <w:unhideWhenUsed/>
    <w:qFormat/>
    <w:uiPriority w:val="99"/>
    <w:pPr>
      <w:spacing w:after="120" w:line="480" w:lineRule="auto"/>
      <w:ind w:left="420" w:leftChars="200"/>
    </w:pPr>
    <w:rPr>
      <w:rFonts w:ascii="Calibri" w:hAnsi="Calibri"/>
      <w:szCs w:val="22"/>
    </w:rPr>
  </w:style>
  <w:style w:type="paragraph" w:styleId="24">
    <w:name w:val="Balloon Text"/>
    <w:basedOn w:val="1"/>
    <w:link w:val="63"/>
    <w:qFormat/>
    <w:uiPriority w:val="0"/>
    <w:rPr>
      <w:rFonts w:ascii="Calibri" w:hAnsi="Calibri" w:eastAsia="仿宋_GB2312"/>
      <w:kern w:val="0"/>
      <w:sz w:val="18"/>
      <w:szCs w:val="18"/>
    </w:rPr>
  </w:style>
  <w:style w:type="paragraph" w:styleId="25">
    <w:name w:val="footer"/>
    <w:basedOn w:val="1"/>
    <w:link w:val="48"/>
    <w:qFormat/>
    <w:uiPriority w:val="99"/>
    <w:pPr>
      <w:tabs>
        <w:tab w:val="center" w:pos="4153"/>
        <w:tab w:val="right" w:pos="8306"/>
      </w:tabs>
      <w:snapToGrid w:val="0"/>
      <w:jc w:val="left"/>
    </w:pPr>
    <w:rPr>
      <w:sz w:val="18"/>
      <w:szCs w:val="18"/>
    </w:rPr>
  </w:style>
  <w:style w:type="paragraph" w:styleId="26">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505"/>
      </w:tabs>
      <w:jc w:val="center"/>
    </w:pPr>
    <w:rPr>
      <w:rFonts w:ascii="仿宋_GB2312" w:hAnsi="宋体" w:eastAsia="仿宋_GB2312"/>
      <w:b/>
      <w:bCs/>
      <w:sz w:val="30"/>
      <w:szCs w:val="30"/>
    </w:rPr>
  </w:style>
  <w:style w:type="paragraph" w:styleId="28">
    <w:name w:val="toc 4"/>
    <w:basedOn w:val="1"/>
    <w:next w:val="1"/>
    <w:qFormat/>
    <w:uiPriority w:val="39"/>
    <w:pPr>
      <w:ind w:left="1260" w:leftChars="600"/>
    </w:pPr>
    <w:rPr>
      <w:rFonts w:ascii="Calibri" w:hAnsi="Calibri" w:eastAsia="仿宋_GB2312"/>
      <w:sz w:val="30"/>
      <w:szCs w:val="20"/>
    </w:rPr>
  </w:style>
  <w:style w:type="paragraph" w:styleId="29">
    <w:name w:val="footnote text"/>
    <w:basedOn w:val="1"/>
    <w:link w:val="64"/>
    <w:qFormat/>
    <w:uiPriority w:val="0"/>
    <w:pPr>
      <w:snapToGrid w:val="0"/>
      <w:jc w:val="left"/>
    </w:pPr>
    <w:rPr>
      <w:rFonts w:ascii="Calibri" w:hAnsi="Calibri" w:eastAsia="仿宋_GB2312"/>
      <w:sz w:val="18"/>
      <w:szCs w:val="18"/>
    </w:rPr>
  </w:style>
  <w:style w:type="paragraph" w:styleId="30">
    <w:name w:val="toc 6"/>
    <w:basedOn w:val="1"/>
    <w:next w:val="1"/>
    <w:unhideWhenUsed/>
    <w:qFormat/>
    <w:uiPriority w:val="39"/>
    <w:pPr>
      <w:ind w:left="2100" w:leftChars="1000"/>
    </w:pPr>
    <w:rPr>
      <w:rFonts w:ascii="Calibri" w:hAnsi="Calibri"/>
      <w:szCs w:val="22"/>
    </w:rPr>
  </w:style>
  <w:style w:type="paragraph" w:styleId="31">
    <w:name w:val="Body Text Indent 3"/>
    <w:basedOn w:val="1"/>
    <w:link w:val="65"/>
    <w:qFormat/>
    <w:uiPriority w:val="0"/>
    <w:pPr>
      <w:spacing w:after="120"/>
      <w:ind w:left="420" w:leftChars="200"/>
    </w:pPr>
    <w:rPr>
      <w:rFonts w:ascii="Calibri" w:hAnsi="Calibri" w:eastAsia="仿宋_GB2312"/>
      <w:sz w:val="16"/>
      <w:szCs w:val="16"/>
    </w:rPr>
  </w:style>
  <w:style w:type="paragraph" w:styleId="32">
    <w:name w:val="toc 2"/>
    <w:basedOn w:val="1"/>
    <w:next w:val="1"/>
    <w:qFormat/>
    <w:uiPriority w:val="39"/>
    <w:pPr>
      <w:tabs>
        <w:tab w:val="right" w:leader="dot" w:pos="8505"/>
      </w:tabs>
    </w:pPr>
    <w:rPr>
      <w:rFonts w:ascii="宋体" w:hAnsi="宋体"/>
      <w:b/>
      <w:szCs w:val="21"/>
    </w:rPr>
  </w:style>
  <w:style w:type="paragraph" w:styleId="33">
    <w:name w:val="toc 9"/>
    <w:basedOn w:val="1"/>
    <w:next w:val="1"/>
    <w:unhideWhenUsed/>
    <w:qFormat/>
    <w:uiPriority w:val="39"/>
    <w:pPr>
      <w:ind w:left="3360" w:leftChars="1600"/>
    </w:pPr>
    <w:rPr>
      <w:rFonts w:ascii="Calibri" w:hAnsi="Calibri"/>
      <w:szCs w:val="22"/>
    </w:rPr>
  </w:style>
  <w:style w:type="paragraph" w:styleId="34">
    <w:name w:val="Body Text 2"/>
    <w:basedOn w:val="1"/>
    <w:link w:val="66"/>
    <w:qFormat/>
    <w:uiPriority w:val="0"/>
    <w:pPr>
      <w:spacing w:after="120" w:line="480" w:lineRule="auto"/>
    </w:pPr>
    <w:rPr>
      <w:rFonts w:ascii="Calibri" w:hAnsi="Calibri"/>
    </w:rPr>
  </w:style>
  <w:style w:type="paragraph" w:styleId="35">
    <w:name w:val="Normal (Web)"/>
    <w:basedOn w:val="1"/>
    <w:qFormat/>
    <w:uiPriority w:val="0"/>
    <w:pPr>
      <w:widowControl/>
      <w:jc w:val="left"/>
    </w:pPr>
    <w:rPr>
      <w:rFonts w:ascii="宋体" w:hAnsi="宋体" w:cs="宋体"/>
      <w:kern w:val="0"/>
      <w:sz w:val="24"/>
    </w:rPr>
  </w:style>
  <w:style w:type="paragraph" w:styleId="36">
    <w:name w:val="annotation subject"/>
    <w:basedOn w:val="13"/>
    <w:next w:val="13"/>
    <w:link w:val="67"/>
    <w:qFormat/>
    <w:uiPriority w:val="0"/>
    <w:rPr>
      <w:rFonts w:eastAsia="仿宋_GB2312"/>
      <w:b/>
      <w:bCs/>
      <w:sz w:val="30"/>
    </w:rPr>
  </w:style>
  <w:style w:type="table" w:styleId="38">
    <w:name w:val="Table Grid"/>
    <w:basedOn w:val="3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Char"/>
    <w:basedOn w:val="39"/>
    <w:link w:val="2"/>
    <w:qFormat/>
    <w:uiPriority w:val="0"/>
    <w:rPr>
      <w:rFonts w:ascii="宋体" w:hAnsi="Calibri"/>
      <w:b/>
      <w:kern w:val="44"/>
      <w:sz w:val="44"/>
    </w:rPr>
  </w:style>
  <w:style w:type="character" w:customStyle="1" w:styleId="47">
    <w:name w:val="页眉 Char"/>
    <w:basedOn w:val="39"/>
    <w:link w:val="26"/>
    <w:qFormat/>
    <w:uiPriority w:val="0"/>
    <w:rPr>
      <w:kern w:val="2"/>
      <w:sz w:val="18"/>
      <w:szCs w:val="18"/>
    </w:rPr>
  </w:style>
  <w:style w:type="character" w:customStyle="1" w:styleId="48">
    <w:name w:val="页脚 Char"/>
    <w:basedOn w:val="39"/>
    <w:link w:val="25"/>
    <w:qFormat/>
    <w:uiPriority w:val="99"/>
    <w:rPr>
      <w:kern w:val="2"/>
      <w:sz w:val="18"/>
      <w:szCs w:val="18"/>
    </w:rPr>
  </w:style>
  <w:style w:type="character" w:customStyle="1" w:styleId="49">
    <w:name w:val="标题 2 Char"/>
    <w:basedOn w:val="39"/>
    <w:link w:val="3"/>
    <w:qFormat/>
    <w:uiPriority w:val="0"/>
    <w:rPr>
      <w:rFonts w:ascii="Arial" w:hAnsi="Arial" w:eastAsia="黑体"/>
      <w:b/>
      <w:sz w:val="32"/>
    </w:rPr>
  </w:style>
  <w:style w:type="character" w:customStyle="1" w:styleId="50">
    <w:name w:val="标题 3 Char"/>
    <w:basedOn w:val="39"/>
    <w:link w:val="5"/>
    <w:qFormat/>
    <w:uiPriority w:val="9"/>
    <w:rPr>
      <w:rFonts w:ascii="宋体" w:hAnsi="Calibri"/>
      <w:b/>
      <w:sz w:val="32"/>
    </w:rPr>
  </w:style>
  <w:style w:type="character" w:customStyle="1" w:styleId="51">
    <w:name w:val="标题 4 Char"/>
    <w:basedOn w:val="39"/>
    <w:link w:val="6"/>
    <w:qFormat/>
    <w:uiPriority w:val="0"/>
    <w:rPr>
      <w:rFonts w:ascii="Arial" w:hAnsi="Arial" w:eastAsia="黑体"/>
      <w:b/>
      <w:bCs/>
      <w:kern w:val="2"/>
      <w:sz w:val="28"/>
      <w:szCs w:val="28"/>
    </w:rPr>
  </w:style>
  <w:style w:type="character" w:customStyle="1" w:styleId="52">
    <w:name w:val="标题 7 Char"/>
    <w:basedOn w:val="39"/>
    <w:link w:val="7"/>
    <w:qFormat/>
    <w:uiPriority w:val="0"/>
    <w:rPr>
      <w:rFonts w:ascii="宋体" w:hAnsi="Calibri"/>
      <w:b/>
      <w:color w:val="000000"/>
      <w:kern w:val="2"/>
      <w:sz w:val="24"/>
      <w:szCs w:val="24"/>
    </w:rPr>
  </w:style>
  <w:style w:type="character" w:customStyle="1" w:styleId="53">
    <w:name w:val="标题 8 Char"/>
    <w:basedOn w:val="39"/>
    <w:link w:val="8"/>
    <w:qFormat/>
    <w:uiPriority w:val="0"/>
    <w:rPr>
      <w:rFonts w:ascii="Arial" w:hAnsi="Arial" w:eastAsia="黑体"/>
      <w:color w:val="000000"/>
      <w:kern w:val="2"/>
      <w:sz w:val="24"/>
      <w:szCs w:val="24"/>
    </w:rPr>
  </w:style>
  <w:style w:type="character" w:customStyle="1" w:styleId="54">
    <w:name w:val="标题 9 Char"/>
    <w:basedOn w:val="39"/>
    <w:link w:val="9"/>
    <w:qFormat/>
    <w:uiPriority w:val="0"/>
    <w:rPr>
      <w:rFonts w:ascii="Arial" w:hAnsi="Arial" w:eastAsia="黑体"/>
      <w:color w:val="000000"/>
      <w:kern w:val="2"/>
      <w:sz w:val="24"/>
      <w:szCs w:val="24"/>
    </w:rPr>
  </w:style>
  <w:style w:type="character" w:customStyle="1" w:styleId="55">
    <w:name w:val="文档结构图 Char"/>
    <w:basedOn w:val="39"/>
    <w:link w:val="12"/>
    <w:qFormat/>
    <w:uiPriority w:val="0"/>
    <w:rPr>
      <w:rFonts w:ascii="Calibri" w:hAnsi="Calibri" w:eastAsia="仿宋_GB2312"/>
      <w:sz w:val="30"/>
      <w:shd w:val="clear" w:color="auto" w:fill="000080"/>
    </w:rPr>
  </w:style>
  <w:style w:type="character" w:customStyle="1" w:styleId="56">
    <w:name w:val="批注文字 Char"/>
    <w:basedOn w:val="39"/>
    <w:link w:val="13"/>
    <w:qFormat/>
    <w:uiPriority w:val="0"/>
    <w:rPr>
      <w:rFonts w:ascii="Calibri" w:hAnsi="Calibri"/>
      <w:kern w:val="2"/>
      <w:sz w:val="21"/>
      <w:szCs w:val="24"/>
    </w:rPr>
  </w:style>
  <w:style w:type="character" w:customStyle="1" w:styleId="57">
    <w:name w:val="正文文本 3 Char"/>
    <w:basedOn w:val="39"/>
    <w:link w:val="14"/>
    <w:qFormat/>
    <w:uiPriority w:val="0"/>
    <w:rPr>
      <w:rFonts w:ascii="Calibri" w:hAnsi="Calibri"/>
      <w:kern w:val="2"/>
      <w:sz w:val="16"/>
      <w:szCs w:val="16"/>
    </w:rPr>
  </w:style>
  <w:style w:type="character" w:customStyle="1" w:styleId="58">
    <w:name w:val="正文文本 Char"/>
    <w:basedOn w:val="39"/>
    <w:link w:val="15"/>
    <w:qFormat/>
    <w:uiPriority w:val="0"/>
    <w:rPr>
      <w:rFonts w:ascii="仿宋_GB2312" w:hAnsi="Calibri" w:eastAsia="仿宋_GB2312"/>
      <w:kern w:val="2"/>
      <w:sz w:val="28"/>
    </w:rPr>
  </w:style>
  <w:style w:type="character" w:customStyle="1" w:styleId="59">
    <w:name w:val="正文文本缩进 Char"/>
    <w:basedOn w:val="39"/>
    <w:link w:val="16"/>
    <w:qFormat/>
    <w:uiPriority w:val="0"/>
    <w:rPr>
      <w:rFonts w:ascii="仿宋_GB2312" w:hAnsi="Calibri" w:eastAsia="仿宋_GB2312"/>
      <w:sz w:val="28"/>
    </w:rPr>
  </w:style>
  <w:style w:type="character" w:customStyle="1" w:styleId="60">
    <w:name w:val="纯文本 Char"/>
    <w:basedOn w:val="39"/>
    <w:link w:val="20"/>
    <w:qFormat/>
    <w:uiPriority w:val="99"/>
    <w:rPr>
      <w:rFonts w:ascii="宋体" w:hAnsi="Courier New"/>
      <w:kern w:val="2"/>
      <w:sz w:val="21"/>
    </w:rPr>
  </w:style>
  <w:style w:type="character" w:customStyle="1" w:styleId="61">
    <w:name w:val="日期 Char"/>
    <w:basedOn w:val="39"/>
    <w:link w:val="22"/>
    <w:qFormat/>
    <w:uiPriority w:val="0"/>
    <w:rPr>
      <w:rFonts w:ascii="宋体" w:hAnsi="Calibri"/>
      <w:sz w:val="28"/>
    </w:rPr>
  </w:style>
  <w:style w:type="character" w:customStyle="1" w:styleId="62">
    <w:name w:val="正文文本缩进 2 Char"/>
    <w:basedOn w:val="39"/>
    <w:link w:val="23"/>
    <w:qFormat/>
    <w:uiPriority w:val="99"/>
    <w:rPr>
      <w:rFonts w:ascii="Calibri" w:hAnsi="Calibri"/>
      <w:kern w:val="2"/>
      <w:sz w:val="21"/>
      <w:szCs w:val="22"/>
    </w:rPr>
  </w:style>
  <w:style w:type="character" w:customStyle="1" w:styleId="63">
    <w:name w:val="批注框文本 Char"/>
    <w:basedOn w:val="39"/>
    <w:link w:val="24"/>
    <w:qFormat/>
    <w:uiPriority w:val="0"/>
    <w:rPr>
      <w:rFonts w:ascii="Calibri" w:hAnsi="Calibri" w:eastAsia="仿宋_GB2312"/>
      <w:sz w:val="18"/>
      <w:szCs w:val="18"/>
    </w:rPr>
  </w:style>
  <w:style w:type="character" w:customStyle="1" w:styleId="64">
    <w:name w:val="脚注文本 Char"/>
    <w:basedOn w:val="39"/>
    <w:link w:val="29"/>
    <w:qFormat/>
    <w:uiPriority w:val="0"/>
    <w:rPr>
      <w:rFonts w:ascii="Calibri" w:hAnsi="Calibri" w:eastAsia="仿宋_GB2312"/>
      <w:kern w:val="2"/>
      <w:sz w:val="18"/>
      <w:szCs w:val="18"/>
    </w:rPr>
  </w:style>
  <w:style w:type="character" w:customStyle="1" w:styleId="65">
    <w:name w:val="正文文本缩进 3 Char"/>
    <w:basedOn w:val="39"/>
    <w:link w:val="31"/>
    <w:qFormat/>
    <w:uiPriority w:val="0"/>
    <w:rPr>
      <w:rFonts w:ascii="Calibri" w:hAnsi="Calibri" w:eastAsia="仿宋_GB2312"/>
      <w:kern w:val="2"/>
      <w:sz w:val="16"/>
      <w:szCs w:val="16"/>
    </w:rPr>
  </w:style>
  <w:style w:type="character" w:customStyle="1" w:styleId="66">
    <w:name w:val="正文文本 2 Char"/>
    <w:basedOn w:val="39"/>
    <w:link w:val="34"/>
    <w:qFormat/>
    <w:uiPriority w:val="0"/>
    <w:rPr>
      <w:rFonts w:ascii="Calibri" w:hAnsi="Calibri"/>
      <w:kern w:val="2"/>
      <w:sz w:val="21"/>
      <w:szCs w:val="24"/>
    </w:rPr>
  </w:style>
  <w:style w:type="character" w:customStyle="1" w:styleId="67">
    <w:name w:val="批注主题 Char"/>
    <w:basedOn w:val="56"/>
    <w:link w:val="36"/>
    <w:qFormat/>
    <w:uiPriority w:val="0"/>
    <w:rPr>
      <w:rFonts w:ascii="Calibri" w:hAnsi="Calibri" w:eastAsia="仿宋_GB2312"/>
      <w:b/>
      <w:bCs/>
      <w:kern w:val="2"/>
      <w:sz w:val="30"/>
      <w:szCs w:val="24"/>
    </w:rPr>
  </w:style>
  <w:style w:type="character" w:customStyle="1" w:styleId="68">
    <w:name w:val="breadcrumbnavclass"/>
    <w:basedOn w:val="39"/>
    <w:qFormat/>
    <w:uiPriority w:val="0"/>
  </w:style>
  <w:style w:type="character" w:customStyle="1" w:styleId="69">
    <w:name w:val="正文模版 Char Char"/>
    <w:link w:val="70"/>
    <w:qFormat/>
    <w:uiPriority w:val="0"/>
    <w:rPr>
      <w:rFonts w:ascii="宋体" w:hAnsi="宋体"/>
      <w:sz w:val="24"/>
    </w:rPr>
  </w:style>
  <w:style w:type="paragraph" w:customStyle="1" w:styleId="70">
    <w:name w:val="正文模版"/>
    <w:basedOn w:val="1"/>
    <w:link w:val="69"/>
    <w:qFormat/>
    <w:uiPriority w:val="0"/>
    <w:pPr>
      <w:spacing w:line="360" w:lineRule="auto"/>
      <w:ind w:firstLine="480" w:firstLineChars="200"/>
    </w:pPr>
    <w:rPr>
      <w:rFonts w:ascii="宋体" w:hAnsi="宋体"/>
      <w:kern w:val="0"/>
      <w:sz w:val="24"/>
      <w:szCs w:val="20"/>
    </w:rPr>
  </w:style>
  <w:style w:type="character" w:customStyle="1" w:styleId="71">
    <w:name w:val="0921 Char1"/>
    <w:qFormat/>
    <w:uiPriority w:val="0"/>
    <w:rPr>
      <w:rFonts w:ascii="宋体" w:hAnsi="Courier New" w:eastAsia="宋体"/>
      <w:kern w:val="2"/>
      <w:sz w:val="21"/>
      <w:lang w:val="en-US" w:eastAsia="zh-CN" w:bidi="ar-SA"/>
    </w:rPr>
  </w:style>
  <w:style w:type="character" w:customStyle="1" w:styleId="72">
    <w:name w:val="正文缩进2格 Char"/>
    <w:link w:val="73"/>
    <w:qFormat/>
    <w:uiPriority w:val="0"/>
    <w:rPr>
      <w:rFonts w:ascii="仿宋_GB2312" w:hAnsi="宋体" w:eastAsia="仿宋_GB2312"/>
      <w:kern w:val="2"/>
      <w:sz w:val="31"/>
      <w:szCs w:val="28"/>
    </w:rPr>
  </w:style>
  <w:style w:type="paragraph" w:customStyle="1" w:styleId="73">
    <w:name w:val="正文缩进2格"/>
    <w:basedOn w:val="1"/>
    <w:link w:val="72"/>
    <w:qFormat/>
    <w:uiPriority w:val="0"/>
    <w:pPr>
      <w:spacing w:line="600" w:lineRule="exact"/>
      <w:ind w:firstLine="639" w:firstLineChars="206"/>
    </w:pPr>
    <w:rPr>
      <w:rFonts w:ascii="仿宋_GB2312" w:hAnsi="宋体" w:eastAsia="仿宋_GB2312"/>
      <w:sz w:val="31"/>
      <w:szCs w:val="28"/>
    </w:rPr>
  </w:style>
  <w:style w:type="character" w:customStyle="1" w:styleId="74">
    <w:name w:val="ca-41"/>
    <w:qFormat/>
    <w:uiPriority w:val="0"/>
    <w:rPr>
      <w:rFonts w:hint="eastAsia" w:ascii="宋体" w:hAnsi="宋体" w:eastAsia="宋体"/>
      <w:b/>
      <w:bCs/>
      <w:spacing w:val="-20"/>
      <w:sz w:val="21"/>
      <w:szCs w:val="21"/>
    </w:rPr>
  </w:style>
  <w:style w:type="character" w:customStyle="1" w:styleId="75">
    <w:name w:val="marklong"/>
    <w:basedOn w:val="39"/>
    <w:qFormat/>
    <w:uiPriority w:val="0"/>
  </w:style>
  <w:style w:type="character" w:customStyle="1" w:styleId="76">
    <w:name w:val="style5"/>
    <w:qFormat/>
    <w:uiPriority w:val="0"/>
    <w:rPr>
      <w:rFonts w:ascii="宋体" w:eastAsia="宋体"/>
      <w:kern w:val="2"/>
      <w:sz w:val="21"/>
      <w:szCs w:val="24"/>
      <w:lang w:val="en-US" w:eastAsia="zh-CN" w:bidi="ar-SA"/>
    </w:rPr>
  </w:style>
  <w:style w:type="character" w:customStyle="1" w:styleId="77">
    <w:name w:val="ca-31"/>
    <w:qFormat/>
    <w:uiPriority w:val="0"/>
    <w:rPr>
      <w:rFonts w:hint="eastAsia" w:ascii="宋体" w:hAnsi="宋体" w:eastAsia="宋体"/>
      <w:sz w:val="21"/>
      <w:szCs w:val="21"/>
    </w:rPr>
  </w:style>
  <w:style w:type="character" w:customStyle="1" w:styleId="78">
    <w:name w:val="列出段落 Char"/>
    <w:link w:val="79"/>
    <w:qFormat/>
    <w:uiPriority w:val="34"/>
    <w:rPr>
      <w:rFonts w:ascii="Calibri" w:hAnsi="Calibri"/>
      <w:kern w:val="2"/>
      <w:sz w:val="21"/>
      <w:szCs w:val="22"/>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ca-51"/>
    <w:qFormat/>
    <w:uiPriority w:val="0"/>
    <w:rPr>
      <w:rFonts w:hint="eastAsia" w:ascii="宋体" w:hAnsi="宋体" w:eastAsia="宋体"/>
      <w:b/>
      <w:bCs/>
      <w:color w:val="FF0000"/>
      <w:spacing w:val="-20"/>
      <w:sz w:val="21"/>
      <w:szCs w:val="21"/>
    </w:rPr>
  </w:style>
  <w:style w:type="character" w:customStyle="1" w:styleId="81">
    <w:name w:val="批注框文本 Char1"/>
    <w:semiHidden/>
    <w:qFormat/>
    <w:uiPriority w:val="99"/>
    <w:rPr>
      <w:sz w:val="18"/>
      <w:szCs w:val="18"/>
    </w:rPr>
  </w:style>
  <w:style w:type="character" w:customStyle="1" w:styleId="82">
    <w:name w:val="文档结构图 Char1"/>
    <w:semiHidden/>
    <w:qFormat/>
    <w:uiPriority w:val="99"/>
    <w:rPr>
      <w:rFonts w:ascii="宋体" w:eastAsia="宋体"/>
      <w:sz w:val="18"/>
      <w:szCs w:val="18"/>
    </w:rPr>
  </w:style>
  <w:style w:type="character" w:customStyle="1" w:styleId="83">
    <w:name w:val="ca-21"/>
    <w:qFormat/>
    <w:uiPriority w:val="0"/>
    <w:rPr>
      <w:rFonts w:hint="eastAsia" w:ascii="仿宋_GB2312" w:eastAsia="仿宋_GB2312"/>
      <w:b/>
      <w:bCs/>
      <w:spacing w:val="-20"/>
      <w:sz w:val="30"/>
      <w:szCs w:val="30"/>
    </w:rPr>
  </w:style>
  <w:style w:type="character" w:customStyle="1" w:styleId="84">
    <w:name w:val="ca-11"/>
    <w:qFormat/>
    <w:uiPriority w:val="0"/>
    <w:rPr>
      <w:rFonts w:hint="default" w:ascii="Times New Roman" w:hAnsi="Times New Roman" w:cs="Times New Roman"/>
      <w:b/>
      <w:bCs/>
      <w:spacing w:val="-20"/>
      <w:sz w:val="30"/>
      <w:szCs w:val="30"/>
    </w:rPr>
  </w:style>
  <w:style w:type="character" w:customStyle="1" w:styleId="85">
    <w:name w:val="正文缩进 Char"/>
    <w:link w:val="4"/>
    <w:qFormat/>
    <w:uiPriority w:val="0"/>
    <w:rPr>
      <w:rFonts w:ascii="宋体" w:hAnsi="Calibri"/>
      <w:sz w:val="34"/>
    </w:rPr>
  </w:style>
  <w:style w:type="character" w:customStyle="1" w:styleId="86">
    <w:name w:val="ca-61"/>
    <w:qFormat/>
    <w:uiPriority w:val="0"/>
    <w:rPr>
      <w:rFonts w:hint="eastAsia" w:ascii="宋体" w:hAnsi="宋体" w:eastAsia="宋体"/>
      <w:color w:val="FF0000"/>
      <w:sz w:val="21"/>
      <w:szCs w:val="21"/>
    </w:rPr>
  </w:style>
  <w:style w:type="character" w:customStyle="1" w:styleId="87">
    <w:name w:val="纯文本 Char1"/>
    <w:qFormat/>
    <w:locked/>
    <w:uiPriority w:val="99"/>
    <w:rPr>
      <w:rFonts w:ascii="宋体" w:hAnsi="Courier New" w:eastAsia="宋体" w:cs="宋体"/>
      <w:kern w:val="0"/>
      <w:sz w:val="21"/>
      <w:szCs w:val="21"/>
    </w:rPr>
  </w:style>
  <w:style w:type="paragraph" w:customStyle="1" w:styleId="88">
    <w:name w:val="Char"/>
    <w:basedOn w:val="1"/>
    <w:qFormat/>
    <w:uiPriority w:val="0"/>
    <w:rPr>
      <w:rFonts w:ascii="Tahoma" w:hAnsi="Tahoma"/>
      <w:sz w:val="24"/>
      <w:szCs w:val="20"/>
    </w:rPr>
  </w:style>
  <w:style w:type="paragraph" w:customStyle="1" w:styleId="89">
    <w:name w:val="Char11"/>
    <w:basedOn w:val="1"/>
    <w:qFormat/>
    <w:uiPriority w:val="0"/>
    <w:rPr>
      <w:rFonts w:ascii="Tahoma" w:hAnsi="Tahoma"/>
      <w:sz w:val="24"/>
      <w:szCs w:val="20"/>
    </w:rPr>
  </w:style>
  <w:style w:type="paragraph" w:customStyle="1" w:styleId="90">
    <w:name w:val="Char1 Char Char Char"/>
    <w:basedOn w:val="1"/>
    <w:qFormat/>
    <w:uiPriority w:val="0"/>
    <w:rPr>
      <w:rFonts w:ascii="Tahoma" w:hAnsi="Tahoma"/>
      <w:sz w:val="24"/>
      <w:szCs w:val="20"/>
    </w:rPr>
  </w:style>
  <w:style w:type="paragraph" w:customStyle="1" w:styleId="91">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92">
    <w:name w:val="修订1"/>
    <w:semiHidden/>
    <w:qFormat/>
    <w:uiPriority w:val="99"/>
    <w:rPr>
      <w:rFonts w:ascii="Calibri" w:hAnsi="Calibri" w:eastAsia="仿宋_GB2312" w:cs="Times New Roman"/>
      <w:kern w:val="2"/>
      <w:sz w:val="30"/>
      <w:lang w:val="en-US" w:eastAsia="zh-CN" w:bidi="ar-SA"/>
    </w:rPr>
  </w:style>
  <w:style w:type="paragraph" w:customStyle="1" w:styleId="93">
    <w:name w:val="xl70"/>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kern w:val="0"/>
      <w:szCs w:val="21"/>
    </w:rPr>
  </w:style>
  <w:style w:type="paragraph" w:customStyle="1" w:styleId="94">
    <w:name w:val="xl7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Cs w:val="21"/>
    </w:rPr>
  </w:style>
  <w:style w:type="paragraph" w:customStyle="1" w:styleId="95">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96">
    <w:name w:val="xl7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97">
    <w:name w:val="默认段落字体 Para Char Char Char Char Char"/>
    <w:basedOn w:val="1"/>
    <w:qFormat/>
    <w:uiPriority w:val="0"/>
    <w:pPr>
      <w:adjustRightInd w:val="0"/>
      <w:spacing w:line="360" w:lineRule="auto"/>
    </w:pPr>
    <w:rPr>
      <w:rFonts w:ascii="Calibri" w:hAnsi="Calibri"/>
      <w:sz w:val="24"/>
    </w:rPr>
  </w:style>
  <w:style w:type="paragraph" w:customStyle="1" w:styleId="98">
    <w:name w:val="Char Char1 Char Char Char Char Char Char Char Char Char Char"/>
    <w:basedOn w:val="1"/>
    <w:qFormat/>
    <w:uiPriority w:val="0"/>
    <w:rPr>
      <w:rFonts w:ascii="Tahoma" w:hAnsi="Tahoma" w:eastAsia="仿宋_GB2312"/>
      <w:sz w:val="24"/>
      <w:szCs w:val="20"/>
    </w:rPr>
  </w:style>
  <w:style w:type="paragraph" w:customStyle="1" w:styleId="99">
    <w:name w:val="1"/>
    <w:next w:val="1"/>
    <w:unhideWhenUsed/>
    <w:qFormat/>
    <w:uiPriority w:val="99"/>
    <w:pPr>
      <w:widowControl w:val="0"/>
      <w:jc w:val="both"/>
    </w:pPr>
    <w:rPr>
      <w:rFonts w:ascii="Calibri" w:hAnsi="Calibri" w:eastAsia="仿宋_GB2312" w:cs="Times New Roman"/>
      <w:kern w:val="2"/>
      <w:sz w:val="30"/>
      <w:lang w:val="en-US" w:eastAsia="zh-CN" w:bidi="ar-SA"/>
    </w:rPr>
  </w:style>
  <w:style w:type="paragraph" w:customStyle="1" w:styleId="10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01">
    <w:name w:val="Char Char1 Char Char Char Char Char Char Char Char Char Char1"/>
    <w:basedOn w:val="1"/>
    <w:qFormat/>
    <w:uiPriority w:val="0"/>
    <w:rPr>
      <w:rFonts w:ascii="Tahoma" w:hAnsi="Tahoma" w:eastAsia="仿宋_GB2312"/>
      <w:sz w:val="24"/>
      <w:szCs w:val="20"/>
    </w:rPr>
  </w:style>
  <w:style w:type="paragraph" w:customStyle="1" w:styleId="102">
    <w:name w:val="pa-2"/>
    <w:basedOn w:val="1"/>
    <w:qFormat/>
    <w:uiPriority w:val="0"/>
    <w:pPr>
      <w:widowControl/>
      <w:spacing w:line="280" w:lineRule="atLeast"/>
      <w:ind w:firstLine="420"/>
    </w:pPr>
    <w:rPr>
      <w:rFonts w:ascii="宋体" w:hAnsi="宋体" w:cs="宋体"/>
      <w:kern w:val="0"/>
      <w:sz w:val="24"/>
    </w:rPr>
  </w:style>
  <w:style w:type="paragraph" w:customStyle="1" w:styleId="10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04">
    <w:name w:val="xl69"/>
    <w:basedOn w:val="1"/>
    <w:qFormat/>
    <w:uiPriority w:val="0"/>
    <w:pPr>
      <w:widowControl/>
      <w:pBdr>
        <w:right w:val="single" w:color="auto" w:sz="8" w:space="0"/>
      </w:pBdr>
      <w:spacing w:before="100" w:beforeAutospacing="1" w:after="100" w:afterAutospacing="1"/>
      <w:jc w:val="left"/>
    </w:pPr>
    <w:rPr>
      <w:rFonts w:ascii="宋体" w:hAnsi="宋体" w:cs="宋体"/>
      <w:kern w:val="0"/>
      <w:sz w:val="24"/>
    </w:rPr>
  </w:style>
  <w:style w:type="paragraph" w:customStyle="1" w:styleId="105">
    <w:name w:val="图片"/>
    <w:basedOn w:val="1"/>
    <w:qFormat/>
    <w:uiPriority w:val="0"/>
    <w:pPr>
      <w:widowControl/>
      <w:jc w:val="center"/>
    </w:pPr>
    <w:rPr>
      <w:rFonts w:ascii="Arial" w:hAnsi="Arial"/>
      <w:kern w:val="0"/>
      <w:sz w:val="24"/>
      <w:szCs w:val="20"/>
    </w:rPr>
  </w:style>
  <w:style w:type="paragraph" w:customStyle="1" w:styleId="106">
    <w:name w:val="xl73"/>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Cs w:val="21"/>
    </w:rPr>
  </w:style>
  <w:style w:type="paragraph" w:customStyle="1" w:styleId="107">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8">
    <w:name w:val="项符&gt;"/>
    <w:basedOn w:val="1"/>
    <w:qFormat/>
    <w:uiPriority w:val="0"/>
    <w:pPr>
      <w:spacing w:line="360" w:lineRule="auto"/>
    </w:pPr>
    <w:rPr>
      <w:rFonts w:ascii="宋体" w:hAnsi="宋体"/>
      <w:sz w:val="24"/>
      <w:szCs w:val="30"/>
    </w:rPr>
  </w:style>
  <w:style w:type="paragraph" w:customStyle="1" w:styleId="109">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0">
    <w:name w:val="pa-5"/>
    <w:basedOn w:val="1"/>
    <w:qFormat/>
    <w:uiPriority w:val="0"/>
    <w:pPr>
      <w:widowControl/>
      <w:spacing w:line="280" w:lineRule="atLeast"/>
    </w:pPr>
    <w:rPr>
      <w:rFonts w:ascii="宋体" w:hAnsi="宋体" w:cs="宋体"/>
      <w:kern w:val="0"/>
      <w:sz w:val="24"/>
    </w:rPr>
  </w:style>
  <w:style w:type="paragraph" w:customStyle="1" w:styleId="111">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12">
    <w:name w:val="pa-1"/>
    <w:basedOn w:val="1"/>
    <w:qFormat/>
    <w:uiPriority w:val="0"/>
    <w:pPr>
      <w:widowControl/>
      <w:spacing w:line="340" w:lineRule="atLeast"/>
    </w:pPr>
    <w:rPr>
      <w:rFonts w:ascii="宋体" w:hAnsi="宋体" w:cs="宋体"/>
      <w:kern w:val="0"/>
      <w:sz w:val="24"/>
    </w:rPr>
  </w:style>
  <w:style w:type="paragraph" w:customStyle="1" w:styleId="113">
    <w:name w:val="Char Char Char"/>
    <w:basedOn w:val="1"/>
    <w:qFormat/>
    <w:uiPriority w:val="0"/>
    <w:rPr>
      <w:rFonts w:ascii="Tahoma" w:hAnsi="Tahoma"/>
      <w:sz w:val="24"/>
      <w:szCs w:val="20"/>
    </w:rPr>
  </w:style>
  <w:style w:type="paragraph" w:customStyle="1" w:styleId="114">
    <w:name w:val="xl7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115">
    <w:name w:val="题注4"/>
    <w:basedOn w:val="1"/>
    <w:next w:val="11"/>
    <w:qFormat/>
    <w:uiPriority w:val="0"/>
    <w:pPr>
      <w:spacing w:line="480" w:lineRule="exact"/>
      <w:ind w:firstLine="410" w:firstLineChars="171"/>
    </w:pPr>
    <w:rPr>
      <w:rFonts w:ascii="宋体" w:hAnsi="宋体"/>
      <w:sz w:val="24"/>
    </w:rPr>
  </w:style>
  <w:style w:type="paragraph" w:customStyle="1" w:styleId="116">
    <w:name w:val="xl77"/>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Cs w:val="21"/>
    </w:rPr>
  </w:style>
  <w:style w:type="paragraph" w:customStyle="1" w:styleId="117">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Cs w:val="21"/>
    </w:rPr>
  </w:style>
  <w:style w:type="paragraph" w:customStyle="1" w:styleId="11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6"/>
    <w:basedOn w:val="1"/>
    <w:qFormat/>
    <w:uiPriority w:val="0"/>
    <w:pPr>
      <w:widowControl/>
      <w:spacing w:before="100" w:beforeAutospacing="1" w:after="100" w:afterAutospacing="1"/>
      <w:jc w:val="left"/>
    </w:pPr>
    <w:rPr>
      <w:rFonts w:ascii="Calibri" w:hAnsi="Calibri"/>
      <w:color w:val="000000"/>
      <w:kern w:val="0"/>
      <w:szCs w:val="21"/>
    </w:rPr>
  </w:style>
  <w:style w:type="paragraph" w:customStyle="1" w:styleId="120">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121">
    <w:name w:val="表内文字居左"/>
    <w:qFormat/>
    <w:uiPriority w:val="0"/>
    <w:pPr>
      <w:spacing w:line="360" w:lineRule="exact"/>
    </w:pPr>
    <w:rPr>
      <w:rFonts w:ascii="Calibri" w:hAnsi="Calibri" w:eastAsia="宋体" w:cs="Times New Roman"/>
      <w:kern w:val="2"/>
      <w:sz w:val="24"/>
      <w:szCs w:val="24"/>
      <w:lang w:val="en-US" w:eastAsia="zh-CN" w:bidi="ar-SA"/>
    </w:rPr>
  </w:style>
  <w:style w:type="paragraph" w:customStyle="1" w:styleId="122">
    <w:name w:val="xl67"/>
    <w:basedOn w:val="1"/>
    <w:qFormat/>
    <w:uiPriority w:val="0"/>
    <w:pPr>
      <w:widowControl/>
      <w:pBdr>
        <w:right w:val="single" w:color="auto" w:sz="8" w:space="0"/>
      </w:pBdr>
      <w:spacing w:before="100" w:beforeAutospacing="1" w:after="100" w:afterAutospacing="1"/>
      <w:jc w:val="left"/>
    </w:pPr>
    <w:rPr>
      <w:rFonts w:ascii="宋体" w:hAnsi="宋体" w:cs="宋体"/>
      <w:kern w:val="0"/>
      <w:szCs w:val="21"/>
    </w:rPr>
  </w:style>
  <w:style w:type="paragraph" w:styleId="1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5">
    <w:name w:val="pa-4"/>
    <w:basedOn w:val="1"/>
    <w:qFormat/>
    <w:uiPriority w:val="0"/>
    <w:pPr>
      <w:widowControl/>
      <w:spacing w:line="280" w:lineRule="atLeast"/>
      <w:jc w:val="center"/>
    </w:pPr>
    <w:rPr>
      <w:rFonts w:ascii="宋体" w:hAnsi="宋体" w:cs="宋体"/>
      <w:kern w:val="0"/>
      <w:sz w:val="24"/>
    </w:rPr>
  </w:style>
  <w:style w:type="paragraph" w:customStyle="1" w:styleId="126">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127">
    <w:name w:val="xl7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Cs w:val="21"/>
    </w:rPr>
  </w:style>
  <w:style w:type="paragraph" w:customStyle="1" w:styleId="128">
    <w:name w:val="Char1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9">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130">
    <w:name w:val="TOC 标题1"/>
    <w:basedOn w:val="2"/>
    <w:next w:val="1"/>
    <w:semiHidden/>
    <w:unhideWhenUsed/>
    <w:qFormat/>
    <w:uiPriority w:val="39"/>
    <w:pPr>
      <w:widowControl/>
      <w:autoSpaceDE/>
      <w:autoSpaceDN/>
      <w:adjustRightInd/>
      <w:spacing w:before="480" w:after="0" w:line="276" w:lineRule="auto"/>
      <w:textAlignment w:val="auto"/>
      <w:outlineLvl w:val="9"/>
    </w:pPr>
    <w:rPr>
      <w:rFonts w:asciiTheme="majorHAnsi" w:hAnsiTheme="majorHAnsi" w:eastAsiaTheme="majorEastAsia" w:cstheme="majorBidi"/>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5617</Words>
  <Characters>32019</Characters>
  <Lines>266</Lines>
  <Paragraphs>75</Paragraphs>
  <TotalTime>3</TotalTime>
  <ScaleCrop>false</ScaleCrop>
  <LinksUpToDate>false</LinksUpToDate>
  <CharactersWithSpaces>37561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2015-11-06T14:46:00Z</dcterms:created>
  <dc:creator>小严</dc:creator>
  <cp:lastModifiedBy>uos</cp:lastModifiedBy>
  <dcterms:modified xsi:type="dcterms:W3CDTF">2022-06-20T17:39:22Z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