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等线" w:hAnsi="等线" w:eastAsia="宋体" w:cs="Times New Roman"/>
          <w:b/>
          <w:bCs/>
          <w:color w:val="FF0000"/>
          <w:kern w:val="0"/>
          <w:sz w:val="30"/>
          <w:szCs w:val="2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等线" w:hAnsi="等线" w:eastAsia="等线" w:cs="Times New Roman"/>
          <w:b/>
          <w:bCs/>
          <w:color w:val="FF0000"/>
          <w:kern w:val="0"/>
          <w:sz w:val="30"/>
          <w:szCs w:val="2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等线" w:hAnsi="等线" w:eastAsia="等线" w:cs="Times New Roman"/>
          <w:b/>
          <w:bCs/>
          <w:color w:val="FF0000"/>
          <w:kern w:val="0"/>
          <w:sz w:val="30"/>
          <w:szCs w:val="2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等线" w:hAnsi="等线" w:eastAsia="等线" w:cs="Times New Roman"/>
          <w:b/>
          <w:bCs/>
          <w:color w:val="FF0000"/>
          <w:kern w:val="0"/>
          <w:sz w:val="30"/>
          <w:szCs w:val="2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ascii="方正小标宋简体" w:hAnsi="方正小标宋简体" w:eastAsia="方正小标宋简体" w:cs="方正小标宋简体"/>
          <w:color w:val="FF0000"/>
          <w:sz w:val="140"/>
          <w:szCs w:val="22"/>
        </w:rPr>
      </w:pPr>
      <w:r>
        <w:rPr>
          <w:rFonts w:hint="eastAsia" w:ascii="方正小标宋简体" w:hAnsi="方正小标宋简体" w:eastAsia="方正小标宋简体" w:cs="方正小标宋简体"/>
          <w:color w:val="FF0000"/>
          <w:w w:val="74"/>
          <w:kern w:val="0"/>
          <w:sz w:val="140"/>
          <w:szCs w:val="22"/>
        </w:rPr>
        <w:t>江门市统计局文件</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方正仿宋简体" w:hAnsi="等线" w:eastAsia="方正仿宋简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方正仿宋简体" w:hAnsi="等线" w:eastAsia="方正仿宋简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方正仿宋简体" w:cs="Times New Roman"/>
          <w:bCs/>
          <w:sz w:val="32"/>
          <w:szCs w:val="32"/>
          <w:lang w:eastAsia="zh-CN"/>
        </w:rPr>
      </w:pPr>
      <w:r>
        <w:rPr>
          <w:rFonts w:hint="default" w:ascii="Times New Roman" w:hAnsi="Times New Roman" w:eastAsia="方正仿宋简体" w:cs="Times New Roman"/>
          <w:bCs/>
          <w:sz w:val="32"/>
          <w:szCs w:val="32"/>
        </w:rPr>
        <w:t>江统发字〔20</w:t>
      </w:r>
      <w:r>
        <w:rPr>
          <w:rFonts w:hint="default" w:ascii="Times New Roman" w:hAnsi="Times New Roman" w:eastAsia="方正仿宋简体" w:cs="Times New Roman"/>
          <w:bCs/>
          <w:sz w:val="32"/>
          <w:szCs w:val="32"/>
          <w:lang w:val="en-US" w:eastAsia="zh-CN"/>
        </w:rPr>
        <w:t>22</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bCs/>
          <w:sz w:val="32"/>
          <w:szCs w:val="32"/>
          <w:lang w:val="en-US" w:eastAsia="zh-CN"/>
        </w:rPr>
        <w:t>4</w:t>
      </w:r>
      <w:r>
        <w:rPr>
          <w:rFonts w:hint="eastAsia" w:ascii="Times New Roman" w:hAnsi="Times New Roman" w:eastAsia="方正仿宋简体" w:cs="Times New Roman"/>
          <w:bCs/>
          <w:sz w:val="32"/>
          <w:szCs w:val="32"/>
          <w:lang w:val="en-US" w:eastAsia="zh-CN"/>
        </w:rPr>
        <w:t>6</w:t>
      </w:r>
      <w:r>
        <w:rPr>
          <w:rFonts w:hint="default" w:ascii="Times New Roman" w:hAnsi="Times New Roman" w:eastAsia="方正仿宋简体" w:cs="Times New Roman"/>
          <w:bCs/>
          <w:sz w:val="32"/>
          <w:szCs w:val="32"/>
        </w:rPr>
        <w:t>号</w:t>
      </w:r>
    </w:p>
    <w:tbl>
      <w:tblPr>
        <w:tblStyle w:val="9"/>
        <w:tblW w:w="8820" w:type="dxa"/>
        <w:jc w:val="center"/>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5" w:hRule="atLeast"/>
          <w:jc w:val="center"/>
        </w:trPr>
        <w:tc>
          <w:tcPr>
            <w:tcW w:w="8820" w:type="dxa"/>
            <w:tcBorders>
              <w:top w:val="single" w:color="FF0000" w:sz="18" w:space="0"/>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仿宋简体" w:hAnsi="等线" w:eastAsia="方正仿宋简体" w:cs="Times New Roman"/>
                <w:b/>
                <w:bCs/>
                <w:color w:val="000000"/>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江门市统计局</w:t>
      </w:r>
      <w:r>
        <w:rPr>
          <w:rFonts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rPr>
        <w:t>认定“江门市统计诚信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示范企业”</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第一批</w:t>
      </w:r>
      <w:r>
        <w:rPr>
          <w:rFonts w:hint="eastAsia" w:ascii="方正小标宋简体" w:hAnsi="方正小标宋简体" w:eastAsia="方正小标宋简体" w:cs="方正小标宋简体"/>
          <w:b w:val="0"/>
          <w:bCs w:val="0"/>
          <w:sz w:val="44"/>
          <w:szCs w:val="44"/>
          <w:lang w:eastAsia="zh-CN"/>
        </w:rPr>
        <w:t>）</w:t>
      </w:r>
      <w:r>
        <w:rPr>
          <w:rFonts w:ascii="方正小标宋简体" w:hAnsi="方正小标宋简体" w:eastAsia="方正小标宋简体" w:cs="方正小标宋简体"/>
          <w:b w:val="0"/>
          <w:bCs w:val="0"/>
          <w:sz w:val="44"/>
          <w:szCs w:val="44"/>
        </w:rPr>
        <w:t>的决定</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各有关单位：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进一步加强统计诚信建设，发挥诚信统计正向激励作用，大力倡导依法统计、诚信统计的价值导向，充分发挥统计诚信示范企业先进典型的示范带动作用，在全市形成不敢失信、不能失信、不愿失信的统计工作氛围，根据《广东省统计局统计诚信示范企业认定工作方案》有关规定，经企业申报、县镇两级</w:t>
      </w:r>
      <w:r>
        <w:rPr>
          <w:rFonts w:hint="default" w:ascii="Times New Roman" w:hAnsi="Times New Roman" w:eastAsia="方正仿宋简体" w:cs="Times New Roman"/>
          <w:sz w:val="32"/>
          <w:szCs w:val="32"/>
          <w:lang w:eastAsia="zh-CN"/>
        </w:rPr>
        <w:t>统计机构</w:t>
      </w:r>
      <w:r>
        <w:rPr>
          <w:rFonts w:hint="default" w:ascii="Times New Roman" w:hAnsi="Times New Roman" w:eastAsia="方正仿宋简体" w:cs="Times New Roman"/>
          <w:sz w:val="32"/>
          <w:szCs w:val="32"/>
        </w:rPr>
        <w:t>推荐、</w:t>
      </w:r>
      <w:r>
        <w:rPr>
          <w:rFonts w:hint="default" w:ascii="Times New Roman" w:hAnsi="Times New Roman" w:eastAsia="方正仿宋简体" w:cs="Times New Roman"/>
          <w:sz w:val="32"/>
          <w:szCs w:val="32"/>
          <w:lang w:eastAsia="zh-CN"/>
        </w:rPr>
        <w:t>市统计局</w:t>
      </w:r>
      <w:r>
        <w:rPr>
          <w:rFonts w:hint="default" w:ascii="Times New Roman" w:hAnsi="Times New Roman" w:eastAsia="方正仿宋简体" w:cs="Times New Roman"/>
          <w:sz w:val="32"/>
          <w:szCs w:val="32"/>
        </w:rPr>
        <w:t>审核、查核、公示，现决定认定</w:t>
      </w:r>
      <w:r>
        <w:rPr>
          <w:rFonts w:hint="default" w:ascii="Times New Roman" w:hAnsi="Times New Roman" w:eastAsia="方正仿宋简体" w:cs="Times New Roman"/>
          <w:sz w:val="32"/>
          <w:szCs w:val="32"/>
          <w:lang w:eastAsia="zh-CN"/>
        </w:rPr>
        <w:t>国能粤电台山发电有限公司</w:t>
      </w:r>
      <w:r>
        <w:rPr>
          <w:rFonts w:hint="default" w:ascii="Times New Roman" w:hAnsi="Times New Roman" w:eastAsia="方正仿宋简体" w:cs="Times New Roman"/>
          <w:sz w:val="32"/>
          <w:szCs w:val="32"/>
        </w:rPr>
        <w:t>等72家企业为“江门市统计诚信示范企业”，并予以公布。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计诚信示范企业自公布之日起有效期为两年。被认定的企业将纳入江门市社会信用红名单，两年内市、县组织开展的统计执法“双随机”检查中免于检查。统计诚信示范企业两年有效期内发现存在统计违法行为或者其他违法行为，不再符合统计守信标准的，将移</w:t>
      </w:r>
      <w:r>
        <w:rPr>
          <w:rFonts w:hint="default" w:ascii="Times New Roman" w:hAnsi="Times New Roman" w:eastAsia="方正仿宋简体" w:cs="Times New Roman"/>
          <w:sz w:val="32"/>
          <w:szCs w:val="32"/>
          <w:lang w:eastAsia="zh-CN"/>
        </w:rPr>
        <w:t>出</w:t>
      </w:r>
      <w:r>
        <w:rPr>
          <w:rFonts w:hint="default" w:ascii="Times New Roman" w:hAnsi="Times New Roman" w:eastAsia="方正仿宋简体" w:cs="Times New Roman"/>
          <w:sz w:val="32"/>
          <w:szCs w:val="32"/>
        </w:rPr>
        <w:t>统计诚信示范企业名单。</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附件：江门市统计诚信示范企业</w:t>
      </w:r>
      <w:r>
        <w:rPr>
          <w:rFonts w:hint="default" w:ascii="Times New Roman" w:hAnsi="Times New Roman" w:eastAsia="方正仿宋简体" w:cs="Times New Roman"/>
          <w:sz w:val="32"/>
          <w:szCs w:val="32"/>
          <w:lang w:eastAsia="zh-CN"/>
        </w:rPr>
        <w:t>（第一批）</w:t>
      </w:r>
    </w:p>
    <w:p>
      <w:pPr>
        <w:keepNext w:val="0"/>
        <w:keepLines w:val="0"/>
        <w:pageBreakBefore w:val="0"/>
        <w:widowControl w:val="0"/>
        <w:kinsoku/>
        <w:wordWrap/>
        <w:overflowPunct/>
        <w:topLinePunct w:val="0"/>
        <w:autoSpaceDE/>
        <w:autoSpaceDN/>
        <w:bidi w:val="0"/>
        <w:adjustRightInd w:val="0"/>
        <w:snapToGrid w:val="0"/>
        <w:spacing w:line="580" w:lineRule="exact"/>
        <w:ind w:firstLine="5440" w:firstLineChars="170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5440" w:firstLineChars="1700"/>
        <w:textAlignment w:val="auto"/>
        <w:rPr>
          <w:rFonts w:hint="default" w:ascii="Times New Roman" w:hAnsi="Times New Roman" w:cs="Times New Roman"/>
          <w:sz w:val="32"/>
          <w:szCs w:val="32"/>
        </w:rPr>
      </w:pPr>
      <w:r>
        <w:rPr>
          <w:rFonts w:hint="default" w:ascii="Times New Roman" w:hAnsi="Times New Roman" w:cs="Times New Roman"/>
          <w:sz w:val="32"/>
          <w:szCs w:val="32"/>
        </w:rPr>
        <w:tab/>
      </w:r>
    </w:p>
    <w:p>
      <w:pPr>
        <w:keepNext w:val="0"/>
        <w:keepLines w:val="0"/>
        <w:pageBreakBefore w:val="0"/>
        <w:widowControl w:val="0"/>
        <w:kinsoku/>
        <w:wordWrap/>
        <w:overflowPunct/>
        <w:topLinePunct w:val="0"/>
        <w:autoSpaceDE/>
        <w:autoSpaceDN/>
        <w:bidi w:val="0"/>
        <w:adjustRightInd w:val="0"/>
        <w:snapToGrid w:val="0"/>
        <w:spacing w:line="580" w:lineRule="exact"/>
        <w:ind w:firstLine="4960" w:firstLineChars="155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江门市统计局</w:t>
      </w:r>
    </w:p>
    <w:p>
      <w:pPr>
        <w:keepNext w:val="0"/>
        <w:keepLines w:val="0"/>
        <w:pageBreakBefore w:val="0"/>
        <w:widowControl w:val="0"/>
        <w:kinsoku/>
        <w:wordWrap/>
        <w:overflowPunct/>
        <w:topLinePunct w:val="0"/>
        <w:autoSpaceDE/>
        <w:autoSpaceDN/>
        <w:bidi w:val="0"/>
        <w:adjustRightInd w:val="0"/>
        <w:snapToGrid w:val="0"/>
        <w:spacing w:line="580" w:lineRule="exact"/>
        <w:ind w:firstLine="4800" w:firstLineChars="15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2022年</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 xml:space="preserve">  </w:t>
      </w:r>
    </w:p>
    <w:p>
      <w:pPr>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2"/>
        <w:ind w:left="0" w:leftChars="0" w:firstLine="0" w:firstLineChars="0"/>
        <w:rPr>
          <w:rFonts w:ascii="方正仿宋简体" w:hAnsi="方正仿宋简体" w:eastAsia="方正仿宋简体" w:cs="方正仿宋简体"/>
          <w:sz w:val="32"/>
          <w:szCs w:val="32"/>
        </w:rPr>
      </w:pPr>
    </w:p>
    <w:p>
      <w:pPr>
        <w:pStyle w:val="2"/>
        <w:ind w:left="0" w:leftChars="0" w:firstLine="0" w:firstLineChars="0"/>
        <w:rPr>
          <w:rFonts w:ascii="方正仿宋简体" w:hAnsi="方正仿宋简体" w:eastAsia="方正仿宋简体" w:cs="方正仿宋简体"/>
          <w:sz w:val="32"/>
          <w:szCs w:val="32"/>
        </w:rPr>
      </w:pPr>
    </w:p>
    <w:p>
      <w:pPr>
        <w:pStyle w:val="2"/>
        <w:ind w:left="0" w:leftChars="0" w:firstLine="0" w:firstLineChars="0"/>
        <w:rPr>
          <w:rFonts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before="469" w:beforeLines="150" w:line="540" w:lineRule="exact"/>
        <w:ind w:left="0" w:leftChars="0" w:firstLine="0" w:firstLineChars="0"/>
        <w:textAlignment w:val="auto"/>
        <w:rPr>
          <w:rFonts w:hint="eastAsia" w:ascii="方正黑体简体" w:hAnsi="方正黑体简体" w:eastAsia="方正黑体简体" w:cs="方正黑体简体"/>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简体" w:hAnsi="方正黑体简体" w:eastAsia="方正黑体简体" w:cs="方正黑体简体"/>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简体" w:hAnsi="方正黑体简体" w:eastAsia="方正黑体简体" w:cs="方正黑体简体"/>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仿宋简体" w:hAnsi="Calibri" w:eastAsia="方正仿宋简体" w:cs="Times New Roman"/>
          <w:b/>
          <w:bCs/>
          <w:sz w:val="32"/>
          <w:szCs w:val="32"/>
        </w:rPr>
      </w:pPr>
      <w:r>
        <w:rPr>
          <w:rFonts w:hint="eastAsia" w:ascii="方正黑体简体" w:hAnsi="方正黑体简体" w:eastAsia="方正黑体简体" w:cs="方正黑体简体"/>
          <w:b w:val="0"/>
          <w:bCs/>
          <w:sz w:val="32"/>
          <w:szCs w:val="32"/>
        </w:rPr>
        <w:t>公开方式：</w:t>
      </w:r>
      <w:r>
        <w:rPr>
          <w:rFonts w:hint="eastAsia" w:ascii="方正仿宋简体" w:hAnsi="Calibri" w:eastAsia="方正仿宋简体" w:cs="Times New Roman"/>
          <w:b w:val="0"/>
          <w:bCs w:val="0"/>
          <w:sz w:val="32"/>
          <w:szCs w:val="32"/>
          <w:lang w:val="en-US" w:eastAsia="zh-CN"/>
        </w:rPr>
        <w:t>主动</w:t>
      </w:r>
      <w:r>
        <w:rPr>
          <w:rFonts w:hint="eastAsia" w:ascii="方正仿宋简体" w:hAnsi="Calibri" w:eastAsia="方正仿宋简体" w:cs="Times New Roman"/>
          <w:b w:val="0"/>
          <w:bCs w:val="0"/>
          <w:sz w:val="32"/>
          <w:szCs w:val="32"/>
        </w:rPr>
        <w:t>公开</w:t>
      </w:r>
      <w:bookmarkStart w:id="0" w:name="_GoBack"/>
      <w:bookmarkEnd w:id="0"/>
    </w:p>
    <w:p>
      <w:pPr>
        <w:keepNext w:val="0"/>
        <w:keepLines w:val="0"/>
        <w:pageBreakBefore w:val="0"/>
        <w:widowControl w:val="0"/>
        <w:pBdr>
          <w:bottom w:val="single" w:color="auto" w:sz="4" w:space="1"/>
          <w:between w:val="single" w:color="auto" w:sz="4" w:space="1"/>
        </w:pBdr>
        <w:kinsoku/>
        <w:wordWrap/>
        <w:overflowPunct/>
        <w:topLinePunct w:val="0"/>
        <w:autoSpaceDE/>
        <w:autoSpaceDN/>
        <w:bidi w:val="0"/>
        <w:adjustRightInd/>
        <w:snapToGrid/>
        <w:spacing w:line="560" w:lineRule="exact"/>
        <w:ind w:left="0" w:leftChars="0" w:firstLine="0" w:firstLineChars="0"/>
        <w:textAlignment w:val="auto"/>
        <w:rPr>
          <w:rFonts w:ascii="方正仿宋简体" w:hAnsi="Calibri"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textAlignment w:val="auto"/>
        <w:rPr>
          <w:rFonts w:hint="eastAsia" w:ascii="方正仿宋简体" w:hAnsi="方正仿宋简体" w:eastAsia="方正仿宋简体" w:cs="方正仿宋简体"/>
          <w:sz w:val="32"/>
          <w:szCs w:val="32"/>
        </w:rPr>
      </w:pPr>
      <w:r>
        <w:rPr>
          <w:rFonts w:hint="eastAsia" w:ascii="方正仿宋简体" w:hAnsi="Calibri"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424815</wp:posOffset>
                </wp:positionV>
                <wp:extent cx="5262245"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262245" cy="63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1.1pt;margin-top:33.45pt;height:0.05pt;width:414.35pt;z-index:251660288;mso-width-relative:page;mso-height-relative:page;" filled="f" stroked="t" coordsize="21600,21600" o:gfxdata="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69TA1gAAAAcBAAAPAAAAAAAAAAEAIAAAACIAAABkcnMvZG93bnJldi54bWxQSwECFAAUAAAACACH&#10;TuJA0qTkZe0BAAC4AwAADgAAAAAAAAABACAAAAAlAQAAZHJzL2Uyb0RvYy54bWxQSwUGAAAAAAYA&#10;BgBZAQAAhAUAAAAA&#10;">
                <v:fill on="f" focussize="0,0"/>
                <v:stroke color="#000000" joinstyle="round"/>
                <v:imagedata o:title=""/>
                <o:lock v:ext="edit" aspectratio="f"/>
              </v:shape>
            </w:pict>
          </mc:Fallback>
        </mc:AlternateContent>
      </w:r>
      <w:r>
        <w:rPr>
          <w:rFonts w:hint="eastAsia" w:ascii="方正仿宋简体" w:hAnsi="Calibri" w:eastAsia="方正仿宋简体" w:cs="Times New Roman"/>
          <w:sz w:val="32"/>
          <w:szCs w:val="32"/>
        </w:rPr>
        <w:t>江门市统计局办公室　　　</w:t>
      </w:r>
      <w:r>
        <w:rPr>
          <w:rFonts w:hint="eastAsia" w:ascii="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w:t>
      </w:r>
      <w:r>
        <w:rPr>
          <w:rFonts w:hint="eastAsia" w:ascii="Times New Roman" w:hAnsi="Times New Roman" w:cs="Times New Roman"/>
          <w:sz w:val="32"/>
          <w:szCs w:val="32"/>
          <w:lang w:val="en-US" w:eastAsia="zh-CN"/>
        </w:rPr>
        <w:t>4</w:t>
      </w:r>
      <w:r>
        <w:rPr>
          <w:rFonts w:hint="default" w:ascii="Times New Roman" w:hAnsi="Times New Roman" w:eastAsia="方正仿宋简体" w:cs="Times New Roman"/>
          <w:sz w:val="32"/>
          <w:szCs w:val="32"/>
        </w:rPr>
        <w:t>月</w:t>
      </w:r>
      <w:r>
        <w:rPr>
          <w:rFonts w:hint="eastAsia" w:ascii="Times New Roman" w:hAnsi="Times New Roman" w:cs="Times New Roman"/>
          <w:sz w:val="32"/>
          <w:szCs w:val="32"/>
          <w:lang w:val="en-US" w:eastAsia="zh-CN"/>
        </w:rPr>
        <w:t>7</w:t>
      </w:r>
      <w:r>
        <w:rPr>
          <w:rFonts w:hint="default" w:ascii="Times New Roman" w:hAnsi="Times New Roman" w:eastAsia="方正仿宋简体" w:cs="Times New Roman"/>
          <w:sz w:val="32"/>
          <w:szCs w:val="32"/>
        </w:rPr>
        <w:t>日印发</w:t>
      </w:r>
    </w:p>
    <w:p>
      <w:pPr>
        <w:rPr>
          <w:rFonts w:hint="eastAsia" w:ascii="方正仿宋简体" w:hAnsi="方正仿宋简体" w:eastAsia="方正仿宋简体" w:cs="方正仿宋简体"/>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江门市统计诚信示范企业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小标宋简体" w:cs="方正仿宋简体"/>
          <w:sz w:val="44"/>
          <w:szCs w:val="44"/>
          <w:lang w:eastAsia="zh-CN"/>
        </w:rPr>
      </w:pPr>
      <w:r>
        <w:rPr>
          <w:rFonts w:hint="eastAsia" w:ascii="方正小标宋简体" w:hAnsi="方正小标宋简体" w:eastAsia="方正小标宋简体" w:cs="方正小标宋简体"/>
          <w:b/>
          <w:bCs/>
          <w:sz w:val="44"/>
          <w:szCs w:val="44"/>
          <w:lang w:eastAsia="zh-CN"/>
        </w:rPr>
        <w:t>（第一批）</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江门大光明粘胶有限公司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江门士礼机械有限公司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广东银狐医疗科技股份有限公司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广东汉凯实业有限公司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江门市新成型硅橡胶材料有限公司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江门市天加力照明有限公司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江门市蓬江区远腾泵业机电有限公司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江门市华恩贸易有限公司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江门市中恒新材料贸易有限公司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江门市蓬江区远洋冷冻厂有限公司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广东维雅人力资源顾问有限公司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江门市裕隆基地产营销策划有限公司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江门市规划勘察设计研究院有限公司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江门市滨江房地产开发投资有限公司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江门市蓬江区棠下碧桂园房地产开发有限公司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江门市世纪城房地产开发有限公司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江门市瑞信电气工程有限公司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江门市溢利建设发展有限公司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江门市辽原装饰有限公司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广东冠捷建设有限公司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广东海盛建设工程集团有限公司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广东鸿祥建材有限公司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江门速龙机车制造有限公司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广东科世得润汽车部件有限公司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江门市江海区外经企业有限公司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江门市广悦电化有限公司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西铁城精电科技（江门）有限公司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江门市华实发展有限公司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ＡＢＢ新会低压开关有限公司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江门市华凯科技有限公司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松下电子部品（江门）有限公司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江门市江峰建设工程有限公司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江门市冈州建筑工程有限公司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江门市新会区悦发建筑工程有限公司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江门市新会区飞马进出口有限公司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江门市华翔实业有限公司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江门市新会经能石油有限公司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广东鸿信食品有限公司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江门佳久精密制造科技有限公司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江门市新会区会海石油气供应有限公司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江门中顺纸业有限公司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江门华润混凝土睦洲有限公司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新会中集集装箱有限公司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广东新会中集特种运输设备有限公司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台山市昌大昌投资有限公司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台山市中南物资供销有限公司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台山市利安给水消防工程有限公司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特一药业集团股份有限公司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国能粤电台山发电有限公司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台山核电合营有限公司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开平市合安机动车驾驶员考场服务有限公司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开平市永强风机实业有限公司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广东德和科技股份有限公司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广东生力华柳工机械销售服务有限公司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广东志美尼电器有限公司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鹤山安栢电路版厂有限公司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鹤山利奥包装印刷有限公司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鹤山联塑实业发展有限公司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鹤山市广游商旅有限公司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鹤山市鹤城镇豪天明品金属制品厂</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鹤山市恒保防火玻璃厂有限公司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鹤山市向辉塑料实业有限公司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鹤山市业成塑料制品有限公司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鹤山雅图仕印刷有限公司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江门市润良商业贸易有限公司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恩平爱尔新希望眼耳鼻喉医院有限公司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恩平市嘉安投资置业有限公司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恩平市海之骏汽车销售服务有限公司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恩平市仙笛音响器材有限公司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广东道氏技术股份有限公司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恩平锦兴纺织印染企业有限公司</w:t>
      </w:r>
    </w:p>
    <w:p>
      <w:pPr>
        <w:keepNext w:val="0"/>
        <w:keepLines w:val="0"/>
        <w:pageBreakBefore w:val="0"/>
        <w:widowControl w:val="0"/>
        <w:kinsoku/>
        <w:wordWrap/>
        <w:overflowPunct/>
        <w:topLinePunct w:val="0"/>
        <w:autoSpaceDE/>
        <w:autoSpaceDN/>
        <w:bidi w:val="0"/>
        <w:adjustRightInd w:val="0"/>
        <w:snapToGrid w:val="0"/>
        <w:spacing w:line="53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广东汇茂电气股份有限公司</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13"/>
    <w:rsid w:val="0002683F"/>
    <w:rsid w:val="00027358"/>
    <w:rsid w:val="00411CA0"/>
    <w:rsid w:val="006B6DE6"/>
    <w:rsid w:val="00971513"/>
    <w:rsid w:val="00E339BE"/>
    <w:rsid w:val="00FD3CB1"/>
    <w:rsid w:val="05DF7EBD"/>
    <w:rsid w:val="07A07788"/>
    <w:rsid w:val="12270B7C"/>
    <w:rsid w:val="1DB16171"/>
    <w:rsid w:val="1EA64CEA"/>
    <w:rsid w:val="24951D09"/>
    <w:rsid w:val="2B3C3B99"/>
    <w:rsid w:val="3E515AD9"/>
    <w:rsid w:val="3F323CAC"/>
    <w:rsid w:val="420E0736"/>
    <w:rsid w:val="4243608E"/>
    <w:rsid w:val="4301253C"/>
    <w:rsid w:val="43C31E7D"/>
    <w:rsid w:val="45483F9A"/>
    <w:rsid w:val="49FA27CC"/>
    <w:rsid w:val="4A6B76EB"/>
    <w:rsid w:val="4E233A8E"/>
    <w:rsid w:val="50C126E4"/>
    <w:rsid w:val="58CC3722"/>
    <w:rsid w:val="5F9424B5"/>
    <w:rsid w:val="61F0660B"/>
    <w:rsid w:val="672E6349"/>
    <w:rsid w:val="78584831"/>
    <w:rsid w:val="7ED70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widowControl w:val="0"/>
      <w:spacing w:line="600" w:lineRule="exact"/>
      <w:ind w:firstLine="420" w:firstLineChars="100"/>
      <w:jc w:val="both"/>
    </w:pPr>
    <w:rPr>
      <w:rFonts w:ascii="黑体" w:hAnsi="Calibri" w:eastAsia="仿宋_GB2312" w:cs="Times New Roman"/>
      <w:spacing w:val="2"/>
      <w:kern w:val="2"/>
      <w:position w:val="8"/>
      <w:sz w:val="30"/>
      <w:szCs w:val="21"/>
      <w:lang w:val="en-US" w:eastAsia="zh-CN" w:bidi="ar-SA"/>
    </w:rPr>
  </w:style>
  <w:style w:type="paragraph" w:styleId="3">
    <w:name w:val="Body Text"/>
    <w:basedOn w:val="1"/>
    <w:qFormat/>
    <w:uiPriority w:val="0"/>
    <w:pPr>
      <w:spacing w:line="600" w:lineRule="exact"/>
    </w:pPr>
    <w:rPr>
      <w:rFonts w:ascii="仿宋_GB2312" w:eastAsia="仿宋_GB2312"/>
      <w:sz w:val="30"/>
    </w:rPr>
  </w:style>
  <w:style w:type="paragraph" w:styleId="5">
    <w:name w:val="Balloon Text"/>
    <w:basedOn w:val="1"/>
    <w:link w:val="11"/>
    <w:qFormat/>
    <w:uiPriority w:val="0"/>
    <w:rPr>
      <w:sz w:val="18"/>
      <w:szCs w:val="18"/>
    </w:rPr>
  </w:style>
  <w:style w:type="paragraph" w:styleId="6">
    <w:name w:val="footer"/>
    <w:basedOn w:val="1"/>
    <w:unhideWhenUsed/>
    <w:uiPriority w:val="99"/>
    <w:pPr>
      <w:tabs>
        <w:tab w:val="center" w:pos="4153"/>
        <w:tab w:val="right" w:pos="8306"/>
      </w:tabs>
      <w:snapToGrid w:val="0"/>
      <w:jc w:val="left"/>
    </w:pPr>
    <w:rPr>
      <w:rFonts w:ascii="宋体" w:hAnsi="宋体" w:cs="Times New Roman" w:eastAsiaTheme="minorEastAsia"/>
      <w:sz w:val="28"/>
      <w:szCs w:val="2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Pages>
  <Words>217</Words>
  <Characters>1240</Characters>
  <Lines>10</Lines>
  <Paragraphs>2</Paragraphs>
  <TotalTime>8</TotalTime>
  <ScaleCrop>false</ScaleCrop>
  <LinksUpToDate>false</LinksUpToDate>
  <CharactersWithSpaces>1455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2022-03-15T01:57:00Z</dcterms:created>
  <dc:creator>Administrator</dc:creator>
  <cp:lastModifiedBy>煒</cp:lastModifiedBy>
  <cp:lastPrinted>2022-04-07T06:58:00Z</cp:lastPrinted>
  <dcterms:modified xsi:type="dcterms:W3CDTF">2022-04-07T07:06:51Z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