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adjustRightInd w:val="0"/>
        <w:snapToGrid w:val="0"/>
        <w:ind w:right="697" w:rightChars="332"/>
        <w:jc w:val="center"/>
        <w:rPr>
          <w:rFonts w:ascii="方正小标宋简体" w:eastAsia="方正小标宋简体" w:cs="黑体" w:hAnsiTheme="minorEastAsia"/>
          <w:sz w:val="44"/>
          <w:szCs w:val="44"/>
        </w:rPr>
      </w:pPr>
      <w:r>
        <w:rPr>
          <w:rFonts w:hint="eastAsia" w:ascii="方正小标宋简体" w:eastAsia="方正小标宋简体" w:cs="黑体" w:hAnsiTheme="minorEastAsia"/>
          <w:sz w:val="44"/>
          <w:szCs w:val="44"/>
        </w:rPr>
        <w:t>江门市政府定价（或指导价）涉企经营服务性收费目录清单</w:t>
      </w:r>
    </w:p>
    <w:p>
      <w:pPr>
        <w:tabs>
          <w:tab w:val="left" w:pos="6300"/>
        </w:tabs>
        <w:adjustRightInd w:val="0"/>
        <w:snapToGrid w:val="0"/>
        <w:ind w:right="697" w:rightChars="332"/>
        <w:jc w:val="center"/>
        <w:rPr>
          <w:rFonts w:ascii="楷体_GB2312" w:eastAsia="楷体_GB2312" w:cs="仿宋" w:hAnsiTheme="minorEastAsia"/>
          <w:b/>
          <w:sz w:val="32"/>
          <w:szCs w:val="32"/>
        </w:rPr>
      </w:pPr>
      <w:r>
        <w:rPr>
          <w:rFonts w:hint="eastAsia" w:ascii="楷体_GB2312" w:eastAsia="楷体_GB2312" w:cs="仿宋" w:hAnsiTheme="minorEastAsia"/>
          <w:b/>
          <w:sz w:val="32"/>
          <w:szCs w:val="32"/>
        </w:rPr>
        <w:t>(截止至2018年6月29日)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923"/>
        <w:gridCol w:w="670"/>
        <w:gridCol w:w="2557"/>
        <w:gridCol w:w="2693"/>
        <w:gridCol w:w="2269"/>
        <w:gridCol w:w="3118"/>
        <w:gridCol w:w="943"/>
        <w:gridCol w:w="1090"/>
        <w:gridCol w:w="1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blHeader/>
        </w:trPr>
        <w:tc>
          <w:tcPr>
            <w:tcW w:w="494" w:type="dxa"/>
            <w:vAlign w:val="center"/>
          </w:tcPr>
          <w:p>
            <w:pPr>
              <w:spacing w:line="38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923" w:type="dxa"/>
            <w:vAlign w:val="center"/>
          </w:tcPr>
          <w:p>
            <w:pPr>
              <w:spacing w:line="38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收费项目</w:t>
            </w:r>
          </w:p>
        </w:tc>
        <w:tc>
          <w:tcPr>
            <w:tcW w:w="670" w:type="dxa"/>
            <w:vAlign w:val="center"/>
          </w:tcPr>
          <w:p>
            <w:pPr>
              <w:spacing w:line="380" w:lineRule="exact"/>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行业主管部门</w:t>
            </w:r>
          </w:p>
        </w:tc>
        <w:tc>
          <w:tcPr>
            <w:tcW w:w="2557" w:type="dxa"/>
            <w:vAlign w:val="center"/>
          </w:tcPr>
          <w:p>
            <w:pPr>
              <w:spacing w:line="38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设立依据</w:t>
            </w:r>
          </w:p>
        </w:tc>
        <w:tc>
          <w:tcPr>
            <w:tcW w:w="2693" w:type="dxa"/>
            <w:vAlign w:val="center"/>
          </w:tcPr>
          <w:p>
            <w:pPr>
              <w:spacing w:line="38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收费文件</w:t>
            </w:r>
          </w:p>
        </w:tc>
        <w:tc>
          <w:tcPr>
            <w:tcW w:w="2269" w:type="dxa"/>
            <w:vAlign w:val="center"/>
          </w:tcPr>
          <w:p>
            <w:pPr>
              <w:spacing w:line="38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收费范围和对象</w:t>
            </w:r>
          </w:p>
        </w:tc>
        <w:tc>
          <w:tcPr>
            <w:tcW w:w="3118" w:type="dxa"/>
            <w:vAlign w:val="center"/>
          </w:tcPr>
          <w:p>
            <w:pPr>
              <w:spacing w:line="38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收费标准</w:t>
            </w:r>
          </w:p>
        </w:tc>
        <w:tc>
          <w:tcPr>
            <w:tcW w:w="943" w:type="dxa"/>
            <w:vAlign w:val="center"/>
          </w:tcPr>
          <w:p>
            <w:pPr>
              <w:spacing w:line="38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执收</w:t>
            </w:r>
          </w:p>
          <w:p>
            <w:pPr>
              <w:spacing w:line="38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单位</w:t>
            </w:r>
          </w:p>
        </w:tc>
        <w:tc>
          <w:tcPr>
            <w:tcW w:w="1090" w:type="dxa"/>
            <w:vAlign w:val="center"/>
          </w:tcPr>
          <w:p>
            <w:pPr>
              <w:tabs>
                <w:tab w:val="left" w:pos="261"/>
              </w:tabs>
              <w:spacing w:line="380" w:lineRule="exact"/>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收费期限</w:t>
            </w:r>
          </w:p>
        </w:tc>
        <w:tc>
          <w:tcPr>
            <w:tcW w:w="718" w:type="dxa"/>
            <w:gridSpan w:val="2"/>
            <w:vAlign w:val="center"/>
          </w:tcPr>
          <w:p>
            <w:pPr>
              <w:spacing w:line="38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494" w:type="dxa"/>
            <w:vAlign w:val="center"/>
          </w:tcPr>
          <w:p>
            <w:pPr>
              <w:spacing w:line="2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923"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司法鉴定服务收费</w:t>
            </w:r>
          </w:p>
        </w:tc>
        <w:tc>
          <w:tcPr>
            <w:tcW w:w="670"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司法部门</w:t>
            </w:r>
          </w:p>
        </w:tc>
        <w:tc>
          <w:tcPr>
            <w:tcW w:w="2557"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1.国家发展改革委《关于下放教材及部分服务价格定价权限有关问题的通知》（发改价格〔2015〕1199号）；</w:t>
            </w:r>
          </w:p>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2.《广东省定价目录》（2018年版）</w:t>
            </w:r>
          </w:p>
          <w:p>
            <w:pPr>
              <w:spacing w:line="260" w:lineRule="exact"/>
              <w:jc w:val="left"/>
              <w:rPr>
                <w:rFonts w:cs="仿宋" w:asciiTheme="minorEastAsia" w:hAnsiTheme="minorEastAsia" w:eastAsiaTheme="minorEastAsia"/>
                <w:szCs w:val="21"/>
              </w:rPr>
            </w:pPr>
          </w:p>
        </w:tc>
        <w:tc>
          <w:tcPr>
            <w:tcW w:w="2693" w:type="dxa"/>
            <w:vAlign w:val="center"/>
          </w:tcPr>
          <w:p>
            <w:pPr>
              <w:widowControl/>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广东省发展改革委、司法厅关于重新明确我省司法鉴定收费有关问题的通知（粤发改价格函〔2017〕3359号）</w:t>
            </w:r>
          </w:p>
        </w:tc>
        <w:tc>
          <w:tcPr>
            <w:tcW w:w="2269"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司法鉴定申请者</w:t>
            </w:r>
          </w:p>
        </w:tc>
        <w:tc>
          <w:tcPr>
            <w:tcW w:w="3118" w:type="dxa"/>
            <w:vAlign w:val="center"/>
          </w:tcPr>
          <w:p>
            <w:pPr>
              <w:spacing w:line="260" w:lineRule="exact"/>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具体收费项目和收费标准可查询广东省发展改革委公众网（http://www.gddpc.gov.cn/）/价费标准/更多/企经营服务收费</w:t>
            </w:r>
          </w:p>
        </w:tc>
        <w:tc>
          <w:tcPr>
            <w:tcW w:w="943"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经省司法厅审核登记，取得《司法鉴定许可证》的司法鉴定机构</w:t>
            </w:r>
          </w:p>
        </w:tc>
        <w:tc>
          <w:tcPr>
            <w:tcW w:w="1090"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执行到新的收费政策出台</w:t>
            </w:r>
          </w:p>
        </w:tc>
        <w:tc>
          <w:tcPr>
            <w:tcW w:w="718" w:type="dxa"/>
            <w:gridSpan w:val="2"/>
            <w:vAlign w:val="center"/>
          </w:tcPr>
          <w:p>
            <w:pPr>
              <w:spacing w:line="260" w:lineRule="exact"/>
              <w:jc w:val="left"/>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494" w:type="dxa"/>
            <w:vAlign w:val="center"/>
          </w:tcPr>
          <w:p>
            <w:pPr>
              <w:spacing w:line="2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923"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律师服务（刑事案件辩护和部分民事诉讼、行政诉讼和国家赔偿案件代理）收费</w:t>
            </w:r>
          </w:p>
        </w:tc>
        <w:tc>
          <w:tcPr>
            <w:tcW w:w="670"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司法部门</w:t>
            </w:r>
          </w:p>
        </w:tc>
        <w:tc>
          <w:tcPr>
            <w:tcW w:w="2557" w:type="dxa"/>
            <w:vAlign w:val="center"/>
          </w:tcPr>
          <w:p>
            <w:pPr>
              <w:numPr>
                <w:ilvl w:val="0"/>
                <w:numId w:val="1"/>
              </w:num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国家发展改革委《关于放开部分服务价格意见的通知》（发改价格〔2014〕2755号）；</w:t>
            </w:r>
          </w:p>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2.《广东省定价目录》（2018年版）</w:t>
            </w:r>
          </w:p>
        </w:tc>
        <w:tc>
          <w:tcPr>
            <w:tcW w:w="2693" w:type="dxa"/>
            <w:vAlign w:val="center"/>
          </w:tcPr>
          <w:p>
            <w:pPr>
              <w:numPr>
                <w:ilvl w:val="0"/>
                <w:numId w:val="2"/>
              </w:numPr>
              <w:tabs>
                <w:tab w:val="left" w:pos="2520"/>
              </w:tabs>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国家发展改革委《关于放开部分服务价格意见的通知》（发改价格〔2014〕2755号）</w:t>
            </w:r>
          </w:p>
          <w:p>
            <w:pPr>
              <w:tabs>
                <w:tab w:val="left" w:pos="2520"/>
              </w:tabs>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2.《关于印发&lt;广东省物价局、司法厅律师服务收费管理实施办法&gt;的通知》（粤价〔2006〕298号）</w:t>
            </w:r>
          </w:p>
          <w:p>
            <w:pPr>
              <w:tabs>
                <w:tab w:val="left" w:pos="2520"/>
              </w:tabs>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3.《广东省发展改革委转发国家发展改革委关于放开部分服务价格意见的通知》（粤发改价格〔2015〕436号</w:t>
            </w:r>
            <w:r>
              <w:rPr>
                <w:rFonts w:hint="eastAsia" w:cs="仿宋" w:asciiTheme="minorEastAsia" w:hAnsiTheme="minorEastAsia" w:eastAsiaTheme="minorEastAsia"/>
                <w:sz w:val="32"/>
                <w:szCs w:val="32"/>
              </w:rPr>
              <w:t>）</w:t>
            </w:r>
          </w:p>
        </w:tc>
        <w:tc>
          <w:tcPr>
            <w:tcW w:w="2269" w:type="dxa"/>
            <w:vAlign w:val="center"/>
          </w:tcPr>
          <w:p>
            <w:pPr>
              <w:numPr>
                <w:ilvl w:val="0"/>
                <w:numId w:val="3"/>
              </w:numPr>
              <w:spacing w:line="24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担任刑事案件犯罪嫌疑人、被告人的辩护人以及刑事案件自诉人、被害人的代理人；2、担任公民请求支付劳动报酬、工伤赔偿，请求给付赡养费、抚养费、扶养费，请求发给抚恤金、救济金，请求给予社会保险待遇或最低生活保障待遇的民事诉讼、行政诉讼的代理人，以及担任涉及安全事故、环境污染、征地拆迁赔偿（补偿）等公共利益的群体性诉讼案件代理人；3、担任公民请求国家赔偿案件的代理人。  </w:t>
            </w:r>
          </w:p>
        </w:tc>
        <w:tc>
          <w:tcPr>
            <w:tcW w:w="3118" w:type="dxa"/>
            <w:vAlign w:val="center"/>
          </w:tcPr>
          <w:p>
            <w:pPr>
              <w:spacing w:line="260" w:lineRule="exact"/>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具体收费项目和收费标准可查询广东省发展改革委公众网（http://www.gddpc.gov.cn/）/价费标准/更多/涉企经营服务收费</w:t>
            </w:r>
          </w:p>
        </w:tc>
        <w:tc>
          <w:tcPr>
            <w:tcW w:w="943"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依照《中华人民共和国律师法》在广东省司法厅登记的律师事务所</w:t>
            </w:r>
          </w:p>
        </w:tc>
        <w:tc>
          <w:tcPr>
            <w:tcW w:w="1090"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执行到新的收费政策出台</w:t>
            </w:r>
          </w:p>
        </w:tc>
        <w:tc>
          <w:tcPr>
            <w:tcW w:w="718" w:type="dxa"/>
            <w:gridSpan w:val="2"/>
            <w:vAlign w:val="center"/>
          </w:tcPr>
          <w:p>
            <w:pPr>
              <w:spacing w:line="260" w:lineRule="exact"/>
              <w:jc w:val="left"/>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trPr>
        <w:tc>
          <w:tcPr>
            <w:tcW w:w="494" w:type="dxa"/>
            <w:vAlign w:val="center"/>
          </w:tcPr>
          <w:p>
            <w:pPr>
              <w:spacing w:line="2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923"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公证服务收费</w:t>
            </w:r>
          </w:p>
        </w:tc>
        <w:tc>
          <w:tcPr>
            <w:tcW w:w="670"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司法部门</w:t>
            </w:r>
          </w:p>
        </w:tc>
        <w:tc>
          <w:tcPr>
            <w:tcW w:w="2557" w:type="dxa"/>
            <w:vAlign w:val="center"/>
          </w:tcPr>
          <w:p>
            <w:pPr>
              <w:numPr>
                <w:ilvl w:val="0"/>
                <w:numId w:val="4"/>
              </w:num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《中华人民共和国公证法》（中华人民共和国主席令第39号）；</w:t>
            </w:r>
          </w:p>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2.国家发展改革委《关于下放教材及部分服务价格定价权限有关问题的通知》（发改价格〔2015〕1199号）；</w:t>
            </w:r>
          </w:p>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2.《广东省定价目录》（2018年版）</w:t>
            </w:r>
          </w:p>
          <w:p>
            <w:pPr>
              <w:spacing w:line="260" w:lineRule="exact"/>
              <w:jc w:val="left"/>
              <w:rPr>
                <w:rFonts w:cs="仿宋" w:asciiTheme="minorEastAsia" w:hAnsiTheme="minorEastAsia" w:eastAsiaTheme="minorEastAsia"/>
                <w:szCs w:val="21"/>
              </w:rPr>
            </w:pPr>
          </w:p>
        </w:tc>
        <w:tc>
          <w:tcPr>
            <w:tcW w:w="2693"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1.财政部 原国家计委《关于将部分行政事业性收费转为经营服务性收费（价格）的通知》(财综〔2001〕94号);</w:t>
            </w:r>
          </w:p>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2.原国家计委 司法部《关于印发公证服务收费管理办法的通知》（计价费〔1997〕285号）；</w:t>
            </w:r>
          </w:p>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3.省发改委 司法厅《关于调整我省公证服务收费标准的通知》（粤发改价格〔2018〕114号）</w:t>
            </w:r>
          </w:p>
        </w:tc>
        <w:tc>
          <w:tcPr>
            <w:tcW w:w="2269"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公证申请人</w:t>
            </w:r>
          </w:p>
        </w:tc>
        <w:tc>
          <w:tcPr>
            <w:tcW w:w="3118" w:type="dxa"/>
            <w:vAlign w:val="center"/>
          </w:tcPr>
          <w:p>
            <w:pPr>
              <w:spacing w:line="240" w:lineRule="exact"/>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具体收费项目和收费标准可查询广东省发展改革委公众网（http://www.gddpc.gov.cn/）/价费标准/更多/涉企经营服务收费。</w:t>
            </w:r>
          </w:p>
          <w:p>
            <w:pPr>
              <w:spacing w:line="240" w:lineRule="exact"/>
              <w:jc w:val="left"/>
              <w:rPr>
                <w:rFonts w:cs="仿宋" w:asciiTheme="minorEastAsia" w:hAnsiTheme="minorEastAsia" w:eastAsiaTheme="minorEastAsia"/>
                <w:szCs w:val="21"/>
              </w:rPr>
            </w:pPr>
          </w:p>
        </w:tc>
        <w:tc>
          <w:tcPr>
            <w:tcW w:w="943"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经省司法厅批准设立</w:t>
            </w:r>
            <w:bookmarkStart w:id="0" w:name="_GoBack"/>
            <w:bookmarkEnd w:id="0"/>
            <w:r>
              <w:rPr>
                <w:rFonts w:hint="eastAsia" w:cs="仿宋" w:asciiTheme="minorEastAsia" w:hAnsiTheme="minorEastAsia" w:eastAsiaTheme="minorEastAsia"/>
                <w:szCs w:val="21"/>
              </w:rPr>
              <w:t>的公证机构</w:t>
            </w:r>
          </w:p>
        </w:tc>
        <w:tc>
          <w:tcPr>
            <w:tcW w:w="1090" w:type="dxa"/>
            <w:vAlign w:val="center"/>
          </w:tcPr>
          <w:p>
            <w:pPr>
              <w:spacing w:line="2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执行到新的收费政策出台</w:t>
            </w:r>
          </w:p>
        </w:tc>
        <w:tc>
          <w:tcPr>
            <w:tcW w:w="718" w:type="dxa"/>
            <w:gridSpan w:val="2"/>
            <w:vAlign w:val="center"/>
          </w:tcPr>
          <w:p>
            <w:pPr>
              <w:spacing w:line="260" w:lineRule="exact"/>
              <w:jc w:val="left"/>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494" w:type="dxa"/>
            <w:vAlign w:val="center"/>
          </w:tcPr>
          <w:p>
            <w:pPr>
              <w:spacing w:line="2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923" w:type="dxa"/>
            <w:vAlign w:val="center"/>
          </w:tcPr>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经营性公路（含桥、隧）车辆通行费收费标准</w:t>
            </w:r>
          </w:p>
        </w:tc>
        <w:tc>
          <w:tcPr>
            <w:tcW w:w="670" w:type="dxa"/>
            <w:vAlign w:val="center"/>
          </w:tcPr>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交通运输部门</w:t>
            </w:r>
          </w:p>
        </w:tc>
        <w:tc>
          <w:tcPr>
            <w:tcW w:w="2557" w:type="dxa"/>
            <w:vAlign w:val="center"/>
          </w:tcPr>
          <w:p>
            <w:pPr>
              <w:numPr>
                <w:ilvl w:val="0"/>
                <w:numId w:val="5"/>
              </w:num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《公路法》；</w:t>
            </w:r>
          </w:p>
          <w:p>
            <w:pPr>
              <w:numPr>
                <w:ilvl w:val="0"/>
                <w:numId w:val="5"/>
              </w:num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《收费公路管理条例》(国务院第417号令)；</w:t>
            </w:r>
          </w:p>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3.《广东省公路条例》</w:t>
            </w:r>
          </w:p>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4.《广东省定价目录》（2018年版）</w:t>
            </w:r>
          </w:p>
        </w:tc>
        <w:tc>
          <w:tcPr>
            <w:tcW w:w="2693" w:type="dxa"/>
            <w:vAlign w:val="center"/>
          </w:tcPr>
          <w:p>
            <w:pPr>
              <w:rPr>
                <w:rFonts w:cs="仿宋" w:asciiTheme="minorEastAsia" w:hAnsiTheme="minorEastAsia" w:eastAsiaTheme="minorEastAsia"/>
                <w:szCs w:val="21"/>
              </w:rPr>
            </w:pPr>
          </w:p>
          <w:p>
            <w:pPr>
              <w:rPr>
                <w:rFonts w:asciiTheme="minorEastAsia" w:hAnsiTheme="minorEastAsia" w:eastAsiaTheme="minorEastAsia"/>
              </w:rPr>
            </w:pPr>
            <w:r>
              <w:rPr>
                <w:rFonts w:hint="eastAsia" w:asciiTheme="minorEastAsia" w:hAnsiTheme="minorEastAsia" w:eastAsiaTheme="minorEastAsia"/>
              </w:rPr>
              <w:t>根据《收费公路管理条例》等规定，车辆通行费收费文件由省交通运输厅牵头公布。</w:t>
            </w:r>
          </w:p>
          <w:p>
            <w:pPr>
              <w:spacing w:line="340" w:lineRule="exact"/>
              <w:jc w:val="left"/>
              <w:rPr>
                <w:rFonts w:cs="仿宋" w:asciiTheme="minorEastAsia" w:hAnsiTheme="minorEastAsia" w:eastAsiaTheme="minorEastAsia"/>
                <w:kern w:val="0"/>
                <w:szCs w:val="21"/>
              </w:rPr>
            </w:pPr>
          </w:p>
        </w:tc>
        <w:tc>
          <w:tcPr>
            <w:tcW w:w="2269" w:type="dxa"/>
            <w:vAlign w:val="center"/>
          </w:tcPr>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收费公路使用者</w:t>
            </w:r>
          </w:p>
        </w:tc>
        <w:tc>
          <w:tcPr>
            <w:tcW w:w="3118" w:type="dxa"/>
            <w:vAlign w:val="center"/>
          </w:tcPr>
          <w:p>
            <w:pPr>
              <w:jc w:val="center"/>
              <w:rPr>
                <w:rFonts w:asciiTheme="minorEastAsia" w:hAnsiTheme="minorEastAsia" w:eastAsiaTheme="minorEastAsia"/>
              </w:rPr>
            </w:pPr>
            <w:r>
              <w:rPr>
                <w:rFonts w:hint="eastAsia" w:asciiTheme="minorEastAsia" w:hAnsiTheme="minorEastAsia" w:eastAsiaTheme="minorEastAsia"/>
              </w:rPr>
              <w:t>根据《收费公路管理条例》等规定，车辆通行费收费标准由省交通运输厅牵头公布，各收费公路项目具体收费标准可查询广东省交通运输厅公众网/部门文件/其他文件(http://www.gdcd.gov.cn/qitawenjian/index0.shtml)。</w:t>
            </w:r>
          </w:p>
        </w:tc>
        <w:tc>
          <w:tcPr>
            <w:tcW w:w="943" w:type="dxa"/>
            <w:vAlign w:val="center"/>
          </w:tcPr>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收费公路经营管理单位</w:t>
            </w:r>
          </w:p>
        </w:tc>
        <w:tc>
          <w:tcPr>
            <w:tcW w:w="1100" w:type="dxa"/>
            <w:gridSpan w:val="2"/>
            <w:vAlign w:val="center"/>
          </w:tcPr>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执行到新的收费政策出台</w:t>
            </w:r>
          </w:p>
        </w:tc>
        <w:tc>
          <w:tcPr>
            <w:tcW w:w="708" w:type="dxa"/>
            <w:vAlign w:val="center"/>
          </w:tcPr>
          <w:p>
            <w:pPr>
              <w:spacing w:line="340" w:lineRule="exact"/>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494" w:type="dxa"/>
            <w:vAlign w:val="center"/>
          </w:tcPr>
          <w:p>
            <w:pPr>
              <w:spacing w:line="2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923" w:type="dxa"/>
            <w:vAlign w:val="center"/>
          </w:tcPr>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高速公路交通事故、故障车辆救援服务收费标准、路产损坏赔偿（补偿）标准</w:t>
            </w:r>
          </w:p>
        </w:tc>
        <w:tc>
          <w:tcPr>
            <w:tcW w:w="670" w:type="dxa"/>
            <w:vAlign w:val="center"/>
          </w:tcPr>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交通运输部门</w:t>
            </w:r>
          </w:p>
        </w:tc>
        <w:tc>
          <w:tcPr>
            <w:tcW w:w="2557" w:type="dxa"/>
            <w:vAlign w:val="center"/>
          </w:tcPr>
          <w:p>
            <w:pPr>
              <w:numPr>
                <w:ilvl w:val="0"/>
                <w:numId w:val="6"/>
              </w:numPr>
              <w:spacing w:line="2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《关于规范高速公路车辆救援服务收费问题的通知》(发改价格〔2010〕2204号)；</w:t>
            </w:r>
          </w:p>
          <w:p>
            <w:pPr>
              <w:numPr>
                <w:ilvl w:val="0"/>
                <w:numId w:val="6"/>
              </w:numPr>
              <w:spacing w:line="2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《广东省公路条例》；</w:t>
            </w:r>
          </w:p>
          <w:p>
            <w:pPr>
              <w:spacing w:line="2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3.《广东省定价目录》（2018年版）</w:t>
            </w:r>
          </w:p>
        </w:tc>
        <w:tc>
          <w:tcPr>
            <w:tcW w:w="2693" w:type="dxa"/>
            <w:vAlign w:val="center"/>
          </w:tcPr>
          <w:p>
            <w:pPr>
              <w:numPr>
                <w:ilvl w:val="0"/>
                <w:numId w:val="7"/>
              </w:numPr>
              <w:spacing w:line="280" w:lineRule="exact"/>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原省物价局《关于高速公路救援服务收费有关问题的通知》(粤价〔2014〕24号)；</w:t>
            </w:r>
          </w:p>
          <w:p>
            <w:pPr>
              <w:spacing w:line="280" w:lineRule="exact"/>
              <w:rPr>
                <w:rFonts w:cs="仿宋" w:asciiTheme="minorEastAsia" w:hAnsiTheme="minorEastAsia" w:eastAsiaTheme="minorEastAsia"/>
                <w:szCs w:val="21"/>
              </w:rPr>
            </w:pPr>
            <w:r>
              <w:rPr>
                <w:rFonts w:hint="eastAsia" w:cs="仿宋" w:asciiTheme="minorEastAsia" w:hAnsiTheme="minorEastAsia" w:eastAsiaTheme="minorEastAsia"/>
                <w:szCs w:val="21"/>
              </w:rPr>
              <w:t>2.《</w:t>
            </w:r>
            <w:r>
              <w:rPr>
                <w:rStyle w:val="7"/>
                <w:rFonts w:hint="eastAsia" w:cs="仿宋" w:asciiTheme="minorEastAsia" w:hAnsiTheme="minorEastAsia" w:eastAsiaTheme="minorEastAsia"/>
                <w:b w:val="0"/>
                <w:szCs w:val="21"/>
              </w:rPr>
              <w:t>广东省发展改革委</w:t>
            </w:r>
            <w:r>
              <w:rPr>
                <w:rFonts w:hint="eastAsia" w:cs="仿宋" w:asciiTheme="minorEastAsia" w:hAnsiTheme="minorEastAsia" w:eastAsiaTheme="minorEastAsia"/>
                <w:szCs w:val="21"/>
              </w:rPr>
              <w:t>关于高速公路救援服务收费有关问题的通知</w:t>
            </w:r>
          </w:p>
          <w:p>
            <w:pPr>
              <w:tabs>
                <w:tab w:val="left" w:pos="3000"/>
              </w:tabs>
              <w:spacing w:line="280" w:lineRule="exact"/>
              <w:rPr>
                <w:rFonts w:cs="仿宋" w:asciiTheme="minorEastAsia" w:hAnsiTheme="minorEastAsia" w:eastAsiaTheme="minorEastAsia"/>
                <w:szCs w:val="21"/>
              </w:rPr>
            </w:pPr>
            <w:r>
              <w:rPr>
                <w:rFonts w:hint="eastAsia" w:cs="仿宋" w:asciiTheme="minorEastAsia" w:hAnsiTheme="minorEastAsia" w:eastAsiaTheme="minorEastAsia"/>
                <w:szCs w:val="21"/>
              </w:rPr>
              <w:t>》(粤发改价格函〔2016〕815号)</w:t>
            </w:r>
          </w:p>
          <w:p>
            <w:pPr>
              <w:spacing w:line="28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3.原省交通厅、省物价局、省财政厅《关于重新制订&lt;损坏公路路产赔偿标准&gt;的通知》（粤交路〔1998〕38号）；</w:t>
            </w:r>
          </w:p>
          <w:p>
            <w:pPr>
              <w:spacing w:line="28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4.原省交通厅、省物价局、省财政厅《关于增补公路路产赔偿项目标准的通知》（粤交路〔1999〕263号）</w:t>
            </w:r>
          </w:p>
        </w:tc>
        <w:tc>
          <w:tcPr>
            <w:tcW w:w="2269" w:type="dxa"/>
            <w:vAlign w:val="center"/>
          </w:tcPr>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交通事故、故障车辆的车主，损坏公路路产的单位和个人</w:t>
            </w:r>
          </w:p>
        </w:tc>
        <w:tc>
          <w:tcPr>
            <w:tcW w:w="3118" w:type="dxa"/>
            <w:vAlign w:val="center"/>
          </w:tcPr>
          <w:p>
            <w:pPr>
              <w:spacing w:line="240" w:lineRule="exact"/>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具体收费项目和收费标准可查询广东省发展改革委公众网（http://www.gddpc.gov.cn/）/价费标准/更多/涉企经营服务收费</w:t>
            </w:r>
            <w:r>
              <w:rPr>
                <w:rFonts w:hint="eastAsia" w:cs="仿宋" w:asciiTheme="minorEastAsia" w:hAnsiTheme="minorEastAsia" w:eastAsiaTheme="minorEastAsia"/>
                <w:szCs w:val="21"/>
              </w:rPr>
              <w:br w:type="textWrapping"/>
            </w:r>
          </w:p>
        </w:tc>
        <w:tc>
          <w:tcPr>
            <w:tcW w:w="943" w:type="dxa"/>
            <w:vAlign w:val="center"/>
          </w:tcPr>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公路经营管理单位或其委托的救援服务单位</w:t>
            </w:r>
          </w:p>
        </w:tc>
        <w:tc>
          <w:tcPr>
            <w:tcW w:w="1100" w:type="dxa"/>
            <w:gridSpan w:val="2"/>
            <w:vAlign w:val="center"/>
          </w:tcPr>
          <w:p>
            <w:pPr>
              <w:spacing w:line="340" w:lineRule="exact"/>
              <w:rPr>
                <w:rFonts w:cs="仿宋" w:asciiTheme="minorEastAsia" w:hAnsiTheme="minorEastAsia" w:eastAsiaTheme="minorEastAsia"/>
                <w:kern w:val="0"/>
                <w:szCs w:val="21"/>
              </w:rPr>
            </w:pPr>
            <w:r>
              <w:rPr>
                <w:rFonts w:hint="eastAsia" w:cs="仿宋" w:asciiTheme="minorEastAsia" w:hAnsiTheme="minorEastAsia" w:eastAsiaTheme="minorEastAsia"/>
                <w:szCs w:val="21"/>
              </w:rPr>
              <w:t>高速公路交通事故、故障车辆救援服务收费标准执行到新的收费政策出台；路产损坏赔偿（补偿）标准执行到新的收费政策出台。</w:t>
            </w:r>
          </w:p>
        </w:tc>
        <w:tc>
          <w:tcPr>
            <w:tcW w:w="708" w:type="dxa"/>
            <w:vAlign w:val="center"/>
          </w:tcPr>
          <w:p>
            <w:pPr>
              <w:spacing w:line="340" w:lineRule="exact"/>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494" w:type="dxa"/>
            <w:vAlign w:val="center"/>
          </w:tcPr>
          <w:p>
            <w:pPr>
              <w:spacing w:line="28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6</w:t>
            </w:r>
          </w:p>
        </w:tc>
        <w:tc>
          <w:tcPr>
            <w:tcW w:w="923" w:type="dxa"/>
            <w:vAlign w:val="center"/>
          </w:tcPr>
          <w:p>
            <w:pPr>
              <w:spacing w:line="2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省内中央定价外的港口引航、拖轮等垄断服务收费 </w:t>
            </w:r>
          </w:p>
        </w:tc>
        <w:tc>
          <w:tcPr>
            <w:tcW w:w="670" w:type="dxa"/>
            <w:vAlign w:val="center"/>
          </w:tcPr>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交通运输部门</w:t>
            </w:r>
          </w:p>
        </w:tc>
        <w:tc>
          <w:tcPr>
            <w:tcW w:w="2557" w:type="dxa"/>
            <w:vAlign w:val="center"/>
          </w:tcPr>
          <w:p>
            <w:pPr>
              <w:numPr>
                <w:ilvl w:val="0"/>
                <w:numId w:val="8"/>
              </w:num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《广东省交通运输厅广东省发展改革委关于转发交通运输部 国家发展改革委关于印发&lt;港口收费计费办法&gt;的通知》(粤交港函〔2017〕1867号)；</w:t>
            </w:r>
          </w:p>
          <w:p>
            <w:pPr>
              <w:spacing w:line="340" w:lineRule="exact"/>
              <w:rPr>
                <w:rFonts w:cs="仿宋" w:asciiTheme="minorEastAsia" w:hAnsiTheme="minorEastAsia" w:eastAsiaTheme="minorEastAsia"/>
                <w:kern w:val="0"/>
                <w:szCs w:val="21"/>
              </w:rPr>
            </w:pPr>
            <w:r>
              <w:rPr>
                <w:rFonts w:hint="eastAsia" w:cs="仿宋" w:asciiTheme="minorEastAsia" w:hAnsiTheme="minorEastAsia" w:eastAsiaTheme="minorEastAsia"/>
                <w:szCs w:val="21"/>
              </w:rPr>
              <w:t>2.《广东省定价目录》（2018年版）</w:t>
            </w:r>
          </w:p>
        </w:tc>
        <w:tc>
          <w:tcPr>
            <w:tcW w:w="2693" w:type="dxa"/>
            <w:vAlign w:val="center"/>
          </w:tcPr>
          <w:p>
            <w:pPr>
              <w:spacing w:line="2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1.原省物价局《关于调整琼州海峡客滚作业收费的通知》粤价〔2010〕150号；</w:t>
            </w:r>
          </w:p>
          <w:p>
            <w:pPr>
              <w:spacing w:line="2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2.原省物价局《关于明确琼州海峡水路运输服务代理费率的通知》粤价〔2010〕323号</w:t>
            </w:r>
          </w:p>
          <w:p>
            <w:pPr>
              <w:spacing w:line="2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3.广东省发展改革委广东省交通运输厅关于规范我省港口收费有关问题的通知</w:t>
            </w:r>
            <w:r>
              <w:rPr>
                <w:rFonts w:hint="eastAsia" w:asciiTheme="minorEastAsia" w:hAnsiTheme="minorEastAsia" w:eastAsiaTheme="minorEastAsia"/>
              </w:rPr>
              <w:t>（</w:t>
            </w:r>
            <w:r>
              <w:rPr>
                <w:rFonts w:hint="eastAsia" w:cs="仿宋" w:asciiTheme="minorEastAsia" w:hAnsiTheme="minorEastAsia" w:eastAsiaTheme="minorEastAsia"/>
                <w:szCs w:val="21"/>
              </w:rPr>
              <w:t>粤发改规〔2017〕7号）</w:t>
            </w:r>
          </w:p>
        </w:tc>
        <w:tc>
          <w:tcPr>
            <w:tcW w:w="2269" w:type="dxa"/>
            <w:vAlign w:val="center"/>
          </w:tcPr>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船东、货代、相关企业或个人</w:t>
            </w:r>
          </w:p>
        </w:tc>
        <w:tc>
          <w:tcPr>
            <w:tcW w:w="3118" w:type="dxa"/>
            <w:vAlign w:val="center"/>
          </w:tcPr>
          <w:p>
            <w:pPr>
              <w:spacing w:line="220" w:lineRule="exact"/>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具体收费项目和收费标准可查询广东省发展改革委公众网（http://www.gddpc.gov.cn/）/价费标准/更多/涉企经营服务收费</w:t>
            </w:r>
          </w:p>
        </w:tc>
        <w:tc>
          <w:tcPr>
            <w:tcW w:w="943" w:type="dxa"/>
            <w:vAlign w:val="center"/>
          </w:tcPr>
          <w:p>
            <w:pPr>
              <w:spacing w:line="340" w:lineRule="exact"/>
              <w:rPr>
                <w:rFonts w:cs="仿宋" w:asciiTheme="minorEastAsia" w:hAnsiTheme="minorEastAsia" w:eastAsiaTheme="minorEastAsia"/>
                <w:szCs w:val="21"/>
              </w:rPr>
            </w:pPr>
            <w:r>
              <w:rPr>
                <w:rFonts w:hint="eastAsia" w:cs="仿宋" w:asciiTheme="minorEastAsia" w:hAnsiTheme="minorEastAsia" w:eastAsiaTheme="minorEastAsia"/>
                <w:szCs w:val="21"/>
              </w:rPr>
              <w:t>港口经营单位</w:t>
            </w:r>
          </w:p>
        </w:tc>
        <w:tc>
          <w:tcPr>
            <w:tcW w:w="1090" w:type="dxa"/>
            <w:vAlign w:val="center"/>
          </w:tcPr>
          <w:p>
            <w:pPr>
              <w:spacing w:line="340" w:lineRule="exact"/>
              <w:rPr>
                <w:rFonts w:cs="仿宋" w:asciiTheme="minorEastAsia" w:hAnsiTheme="minorEastAsia" w:eastAsiaTheme="minorEastAsia"/>
                <w:kern w:val="0"/>
                <w:szCs w:val="21"/>
              </w:rPr>
            </w:pPr>
            <w:r>
              <w:rPr>
                <w:rFonts w:hint="eastAsia" w:cs="仿宋" w:asciiTheme="minorEastAsia" w:hAnsiTheme="minorEastAsia" w:eastAsiaTheme="minorEastAsia"/>
                <w:szCs w:val="21"/>
              </w:rPr>
              <w:t>执行到新的收费政策出台</w:t>
            </w:r>
          </w:p>
        </w:tc>
        <w:tc>
          <w:tcPr>
            <w:tcW w:w="718" w:type="dxa"/>
            <w:gridSpan w:val="2"/>
            <w:vAlign w:val="center"/>
          </w:tcPr>
          <w:p>
            <w:pPr>
              <w:spacing w:line="340" w:lineRule="exact"/>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494" w:type="dxa"/>
            <w:vAlign w:val="center"/>
          </w:tcPr>
          <w:p>
            <w:pPr>
              <w:spacing w:line="28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7</w:t>
            </w:r>
          </w:p>
        </w:tc>
        <w:tc>
          <w:tcPr>
            <w:tcW w:w="923" w:type="dxa"/>
            <w:vAlign w:val="center"/>
          </w:tcPr>
          <w:p>
            <w:pPr>
              <w:spacing w:line="38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来往港澳小型船舶快速通关系统收费标准</w:t>
            </w:r>
          </w:p>
        </w:tc>
        <w:tc>
          <w:tcPr>
            <w:tcW w:w="670" w:type="dxa"/>
            <w:vAlign w:val="center"/>
          </w:tcPr>
          <w:p>
            <w:pPr>
              <w:spacing w:line="38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海关总署广东分署</w:t>
            </w:r>
          </w:p>
        </w:tc>
        <w:tc>
          <w:tcPr>
            <w:tcW w:w="2557" w:type="dxa"/>
            <w:vAlign w:val="center"/>
          </w:tcPr>
          <w:p>
            <w:pPr>
              <w:rPr>
                <w:rFonts w:asciiTheme="minorEastAsia" w:hAnsiTheme="minorEastAsia" w:eastAsiaTheme="minorEastAsia"/>
              </w:rPr>
            </w:pPr>
            <w:r>
              <w:rPr>
                <w:rFonts w:hint="eastAsia" w:asciiTheme="minorEastAsia" w:hAnsiTheme="minorEastAsia" w:eastAsiaTheme="minorEastAsia"/>
              </w:rPr>
              <w:t>1.中华人民共和国海关《关于来往香港澳门小型船舶及所载货物 物品管理办法》（中华人民共和国海关总署令第112号）</w:t>
            </w:r>
          </w:p>
          <w:p>
            <w:pPr>
              <w:rPr>
                <w:rFonts w:asciiTheme="minorEastAsia" w:hAnsiTheme="minorEastAsia" w:eastAsiaTheme="minorEastAsia"/>
              </w:rPr>
            </w:pPr>
            <w:r>
              <w:rPr>
                <w:rFonts w:hint="eastAsia" w:asciiTheme="minorEastAsia" w:hAnsiTheme="minorEastAsia" w:eastAsiaTheme="minorEastAsia"/>
              </w:rPr>
              <w:t>2.《广东省定价目录》（2018年版）</w:t>
            </w:r>
          </w:p>
        </w:tc>
        <w:tc>
          <w:tcPr>
            <w:tcW w:w="2693" w:type="dxa"/>
            <w:vAlign w:val="center"/>
          </w:tcPr>
          <w:p>
            <w:pPr>
              <w:rPr>
                <w:rFonts w:asciiTheme="minorEastAsia" w:hAnsiTheme="minorEastAsia" w:eastAsiaTheme="minorEastAsia"/>
              </w:rPr>
            </w:pPr>
            <w:r>
              <w:rPr>
                <w:rFonts w:hint="eastAsia" w:cs="仿宋" w:asciiTheme="minorEastAsia" w:hAnsiTheme="minorEastAsia" w:eastAsiaTheme="minorEastAsia"/>
                <w:szCs w:val="21"/>
              </w:rPr>
              <w:t>省发展改革委《关于来往港澳小型船舶快速通关系统收费问题的复函》（粤发改价格函〔2016〕5555号</w:t>
            </w:r>
            <w:r>
              <w:rPr>
                <w:rFonts w:hint="eastAsia" w:asciiTheme="minorEastAsia" w:hAnsiTheme="minorEastAsia" w:eastAsiaTheme="minorEastAsia"/>
              </w:rPr>
              <w:t>）</w:t>
            </w:r>
          </w:p>
        </w:tc>
        <w:tc>
          <w:tcPr>
            <w:tcW w:w="2269" w:type="dxa"/>
            <w:vAlign w:val="center"/>
          </w:tcPr>
          <w:p>
            <w:r>
              <w:rPr>
                <w:rFonts w:hint="eastAsia"/>
              </w:rPr>
              <w:t>来往港澳小型船舶使用“快通系统”的船公司、船务代理公司、港口公司、货运代理、电子报关服务中介公司、进出口公司、物流公司，以及已安装船载终端的船舶。</w:t>
            </w:r>
          </w:p>
        </w:tc>
        <w:tc>
          <w:tcPr>
            <w:tcW w:w="3118" w:type="dxa"/>
            <w:vAlign w:val="center"/>
          </w:tcPr>
          <w:p>
            <w:r>
              <w:rPr>
                <w:rFonts w:hint="eastAsia"/>
              </w:rPr>
              <w:t>1.分舱单传输及网络维护费：13元/份。</w:t>
            </w:r>
          </w:p>
          <w:p>
            <w:r>
              <w:rPr>
                <w:rFonts w:hint="eastAsia"/>
              </w:rPr>
              <w:t>2.船舶航次信息服务费：300元/船</w:t>
            </w:r>
            <w:r>
              <w:rPr>
                <w:rFonts w:hint="eastAsia" w:cs="宋体"/>
              </w:rPr>
              <w:t>•</w:t>
            </w:r>
            <w:r>
              <w:rPr>
                <w:rFonts w:hint="eastAsia" w:cs="仿宋_GB2312"/>
              </w:rPr>
              <w:t>月（每月</w:t>
            </w:r>
            <w:r>
              <w:rPr>
                <w:rFonts w:hint="eastAsia"/>
              </w:rPr>
              <w:t>1-15个航次）；550元/船</w:t>
            </w:r>
            <w:r>
              <w:rPr>
                <w:rFonts w:hint="eastAsia" w:cs="宋体"/>
              </w:rPr>
              <w:t>•</w:t>
            </w:r>
            <w:r>
              <w:rPr>
                <w:rFonts w:hint="eastAsia" w:cs="仿宋_GB2312"/>
              </w:rPr>
              <w:t>月（每月</w:t>
            </w:r>
            <w:r>
              <w:rPr>
                <w:rFonts w:hint="eastAsia"/>
              </w:rPr>
              <w:t>16个航次以上）；400元/船</w:t>
            </w:r>
            <w:r>
              <w:rPr>
                <w:rFonts w:hint="eastAsia" w:cs="宋体"/>
              </w:rPr>
              <w:t>•</w:t>
            </w:r>
            <w:r>
              <w:rPr>
                <w:rFonts w:hint="eastAsia" w:cs="仿宋_GB2312"/>
              </w:rPr>
              <w:t>月（年票制）</w:t>
            </w:r>
          </w:p>
        </w:tc>
        <w:tc>
          <w:tcPr>
            <w:tcW w:w="943" w:type="dxa"/>
            <w:vAlign w:val="center"/>
          </w:tcPr>
          <w:p>
            <w:pPr>
              <w:spacing w:line="380" w:lineRule="exact"/>
              <w:jc w:val="center"/>
              <w:rPr>
                <w:rFonts w:asciiTheme="minorEastAsia" w:hAnsiTheme="minorEastAsia" w:eastAsiaTheme="minorEastAsia"/>
              </w:rPr>
            </w:pPr>
            <w:r>
              <w:rPr>
                <w:rFonts w:hint="eastAsia" w:cs="仿宋" w:asciiTheme="minorEastAsia" w:hAnsiTheme="minorEastAsia" w:eastAsiaTheme="minorEastAsia"/>
                <w:szCs w:val="21"/>
              </w:rPr>
              <w:t>广东南方海岸科技服务有限公司</w:t>
            </w:r>
          </w:p>
        </w:tc>
        <w:tc>
          <w:tcPr>
            <w:tcW w:w="1090" w:type="dxa"/>
            <w:vAlign w:val="center"/>
          </w:tcPr>
          <w:p>
            <w:pPr>
              <w:spacing w:line="38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2018年8月31日</w:t>
            </w:r>
          </w:p>
        </w:tc>
        <w:tc>
          <w:tcPr>
            <w:tcW w:w="718" w:type="dxa"/>
            <w:gridSpan w:val="2"/>
            <w:vAlign w:val="center"/>
          </w:tcPr>
          <w:p>
            <w:pPr>
              <w:spacing w:line="280" w:lineRule="exact"/>
              <w:jc w:val="left"/>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494" w:type="dxa"/>
            <w:vAlign w:val="center"/>
          </w:tcPr>
          <w:p>
            <w:pPr>
              <w:spacing w:line="28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8</w:t>
            </w:r>
          </w:p>
        </w:tc>
        <w:tc>
          <w:tcPr>
            <w:tcW w:w="923" w:type="dxa"/>
            <w:vAlign w:val="center"/>
          </w:tcPr>
          <w:p>
            <w:pPr>
              <w:spacing w:line="28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医疗废物处置收费</w:t>
            </w:r>
          </w:p>
        </w:tc>
        <w:tc>
          <w:tcPr>
            <w:tcW w:w="670" w:type="dxa"/>
            <w:vAlign w:val="center"/>
          </w:tcPr>
          <w:p>
            <w:pPr>
              <w:spacing w:line="28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市环保局</w:t>
            </w:r>
          </w:p>
        </w:tc>
        <w:tc>
          <w:tcPr>
            <w:tcW w:w="2557" w:type="dxa"/>
            <w:vAlign w:val="center"/>
          </w:tcPr>
          <w:p>
            <w:pPr>
              <w:numPr>
                <w:ilvl w:val="0"/>
                <w:numId w:val="9"/>
              </w:numPr>
              <w:spacing w:line="28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国家发展改革委、国家环境保护总局、卫生部、财政部、建设部《关于实行危险废物处置收费制度 促进危险废物处置产业化的通知》（发改价格〔2003〕1874号）；</w:t>
            </w:r>
          </w:p>
          <w:p>
            <w:pPr>
              <w:numPr>
                <w:ilvl w:val="0"/>
                <w:numId w:val="9"/>
              </w:numPr>
              <w:spacing w:line="28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《广东省定价目录》（2018年版）</w:t>
            </w:r>
          </w:p>
        </w:tc>
        <w:tc>
          <w:tcPr>
            <w:tcW w:w="2693" w:type="dxa"/>
            <w:vAlign w:val="center"/>
          </w:tcPr>
          <w:p>
            <w:pPr>
              <w:widowControl/>
              <w:numPr>
                <w:ilvl w:val="0"/>
                <w:numId w:val="10"/>
              </w:numPr>
              <w:spacing w:line="280" w:lineRule="exact"/>
              <w:jc w:val="left"/>
              <w:rPr>
                <w:rFonts w:cs="仿宋" w:asciiTheme="minorEastAsia" w:hAnsiTheme="minorEastAsia" w:eastAsiaTheme="minorEastAsia"/>
                <w:kern w:val="0"/>
                <w:szCs w:val="21"/>
              </w:rPr>
            </w:pPr>
            <w:r>
              <w:rPr>
                <w:rFonts w:hint="eastAsia" w:cs="仿宋" w:asciiTheme="minorEastAsia" w:hAnsiTheme="minorEastAsia" w:eastAsiaTheme="minorEastAsia"/>
                <w:szCs w:val="21"/>
              </w:rPr>
              <w:t>原广东省物价局、广东省环境保护局、广东省卫生厅、广东省财政厅、广东省建设厅</w:t>
            </w:r>
            <w:r>
              <w:rPr>
                <w:rFonts w:hint="eastAsia" w:cs="仿宋" w:asciiTheme="minorEastAsia" w:hAnsiTheme="minorEastAsia" w:eastAsiaTheme="minorEastAsia"/>
                <w:szCs w:val="21"/>
              </w:rPr>
              <w:br w:type="textWrapping"/>
            </w:r>
            <w:r>
              <w:rPr>
                <w:rFonts w:hint="eastAsia" w:cs="仿宋" w:asciiTheme="minorEastAsia" w:hAnsiTheme="minorEastAsia" w:eastAsiaTheme="minorEastAsia"/>
                <w:szCs w:val="21"/>
              </w:rPr>
              <w:t>《关于印发〈广东省危险废物处置收费管理办法〉的通知》（粤价〔2004〕208号）；</w:t>
            </w:r>
          </w:p>
          <w:p>
            <w:pPr>
              <w:widowControl/>
              <w:numPr>
                <w:ilvl w:val="0"/>
                <w:numId w:val="10"/>
              </w:numPr>
              <w:spacing w:line="280" w:lineRule="exact"/>
              <w:jc w:val="left"/>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《关于制定医疗废物集中处置费标准的复函》（江价〔2004〕127号）</w:t>
            </w:r>
          </w:p>
          <w:p>
            <w:pPr>
              <w:widowControl/>
              <w:spacing w:line="28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3.《关于我市医疗废物集中处理临时收费标准的批复》（江发改费管〔2018〕165号）</w:t>
            </w:r>
          </w:p>
        </w:tc>
        <w:tc>
          <w:tcPr>
            <w:tcW w:w="2269" w:type="dxa"/>
            <w:vAlign w:val="center"/>
          </w:tcPr>
          <w:p>
            <w:pPr>
              <w:spacing w:line="28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医疗机构</w:t>
            </w:r>
          </w:p>
        </w:tc>
        <w:tc>
          <w:tcPr>
            <w:tcW w:w="3118" w:type="dxa"/>
            <w:vAlign w:val="center"/>
          </w:tcPr>
          <w:p>
            <w:pPr>
              <w:spacing w:line="280" w:lineRule="exact"/>
              <w:ind w:firstLine="525" w:firstLineChars="25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6.6元/公斤 </w:t>
            </w:r>
          </w:p>
        </w:tc>
        <w:tc>
          <w:tcPr>
            <w:tcW w:w="943" w:type="dxa"/>
            <w:vAlign w:val="center"/>
          </w:tcPr>
          <w:p>
            <w:pPr>
              <w:spacing w:line="28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江门市固体废物处理有限公司</w:t>
            </w:r>
          </w:p>
        </w:tc>
        <w:tc>
          <w:tcPr>
            <w:tcW w:w="1090" w:type="dxa"/>
            <w:vAlign w:val="center"/>
          </w:tcPr>
          <w:p>
            <w:pPr>
              <w:spacing w:line="28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执行到新的收费政策出台</w:t>
            </w:r>
          </w:p>
        </w:tc>
        <w:tc>
          <w:tcPr>
            <w:tcW w:w="718" w:type="dxa"/>
            <w:gridSpan w:val="2"/>
            <w:vAlign w:val="center"/>
          </w:tcPr>
          <w:p>
            <w:pPr>
              <w:spacing w:line="280" w:lineRule="exact"/>
              <w:jc w:val="left"/>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4" w:hRule="atLeast"/>
        </w:trPr>
        <w:tc>
          <w:tcPr>
            <w:tcW w:w="494" w:type="dxa"/>
            <w:vAlign w:val="center"/>
          </w:tcPr>
          <w:p>
            <w:pPr>
              <w:spacing w:line="28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9</w:t>
            </w:r>
          </w:p>
        </w:tc>
        <w:tc>
          <w:tcPr>
            <w:tcW w:w="923" w:type="dxa"/>
            <w:vAlign w:val="center"/>
          </w:tcPr>
          <w:p>
            <w:pPr>
              <w:spacing w:line="38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生活垃圾处理收费</w:t>
            </w:r>
          </w:p>
        </w:tc>
        <w:tc>
          <w:tcPr>
            <w:tcW w:w="670" w:type="dxa"/>
            <w:vAlign w:val="center"/>
          </w:tcPr>
          <w:p>
            <w:pPr>
              <w:spacing w:line="38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住房和城乡建设局</w:t>
            </w:r>
          </w:p>
        </w:tc>
        <w:tc>
          <w:tcPr>
            <w:tcW w:w="2557" w:type="dxa"/>
            <w:vAlign w:val="center"/>
          </w:tcPr>
          <w:p>
            <w:pPr>
              <w:spacing w:line="38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《广东省定价目录》（2018年版）</w:t>
            </w:r>
          </w:p>
        </w:tc>
        <w:tc>
          <w:tcPr>
            <w:tcW w:w="2693" w:type="dxa"/>
            <w:vAlign w:val="center"/>
          </w:tcPr>
          <w:p>
            <w:pPr>
              <w:pStyle w:val="4"/>
              <w:widowControl/>
              <w:numPr>
                <w:ilvl w:val="0"/>
                <w:numId w:val="11"/>
              </w:numPr>
              <w:spacing w:line="360" w:lineRule="atLeast"/>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国家计委、财政部、建设部、环保总局联合发文的《关于实行城市生活垃圾处理收费制度促进垃圾处理产业化的通知》（计价格[2002]872号）；</w:t>
            </w:r>
          </w:p>
          <w:p>
            <w:pPr>
              <w:pStyle w:val="4"/>
              <w:widowControl/>
              <w:numPr>
                <w:ilvl w:val="0"/>
                <w:numId w:val="11"/>
              </w:numPr>
              <w:spacing w:line="360" w:lineRule="atLeast"/>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《广东省城市垃圾管理条例》；</w:t>
            </w:r>
          </w:p>
          <w:p>
            <w:pPr>
              <w:pStyle w:val="4"/>
              <w:widowControl/>
              <w:numPr>
                <w:ilvl w:val="0"/>
                <w:numId w:val="11"/>
              </w:numPr>
              <w:spacing w:line="360" w:lineRule="atLeas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广东省物价局、建设厅、财政厅、环保局联合发布的《广东省城市生活垃圾收费管理办法》（粤价[2002]384号）；</w:t>
            </w:r>
          </w:p>
          <w:p>
            <w:pPr>
              <w:pStyle w:val="4"/>
              <w:widowControl/>
              <w:numPr>
                <w:ilvl w:val="0"/>
                <w:numId w:val="11"/>
              </w:numPr>
              <w:spacing w:line="360" w:lineRule="atLeas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《关于调整市区生活垃圾处理费收费标准的通知》（江价[2010]199号）</w:t>
            </w:r>
          </w:p>
          <w:p>
            <w:pPr>
              <w:pStyle w:val="4"/>
              <w:widowControl/>
              <w:numPr>
                <w:ilvl w:val="0"/>
                <w:numId w:val="11"/>
              </w:numPr>
              <w:spacing w:line="360" w:lineRule="atLeast"/>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《关于调整市区居民类生活垃圾处理费收费标准的通知》（江发改费管〔2012〕981号）</w:t>
            </w:r>
          </w:p>
        </w:tc>
        <w:tc>
          <w:tcPr>
            <w:tcW w:w="2269" w:type="dxa"/>
            <w:vAlign w:val="center"/>
          </w:tcPr>
          <w:p>
            <w:pPr>
              <w:spacing w:line="380" w:lineRule="exact"/>
              <w:rPr>
                <w:rFonts w:cs="仿宋" w:asciiTheme="minorEastAsia" w:hAnsiTheme="minorEastAsia" w:eastAsiaTheme="minorEastAsia"/>
                <w:szCs w:val="21"/>
              </w:rPr>
            </w:pPr>
            <w:r>
              <w:rPr>
                <w:rFonts w:hint="eastAsia" w:cs="仿宋" w:asciiTheme="minorEastAsia" w:hAnsiTheme="minorEastAsia" w:eastAsiaTheme="minorEastAsia"/>
                <w:kern w:val="0"/>
                <w:szCs w:val="21"/>
              </w:rPr>
              <w:t>产生垃圾的单位和个人</w:t>
            </w:r>
          </w:p>
        </w:tc>
        <w:tc>
          <w:tcPr>
            <w:tcW w:w="3118" w:type="dxa"/>
            <w:vAlign w:val="center"/>
          </w:tcPr>
          <w:p/>
          <w:p>
            <w:r>
              <w:rPr>
                <w:rFonts w:hint="eastAsia"/>
              </w:rPr>
              <w:t>居民垃圾处理费（元/立方米）</w:t>
            </w:r>
          </w:p>
          <w:p>
            <w:r>
              <w:rPr>
                <w:rFonts w:hint="eastAsia"/>
              </w:rPr>
              <w:t>一类0.8</w:t>
            </w:r>
          </w:p>
          <w:p>
            <w:r>
              <w:rPr>
                <w:rFonts w:hint="eastAsia"/>
              </w:rPr>
              <w:t>二类 0.71</w:t>
            </w:r>
          </w:p>
          <w:p>
            <w:r>
              <w:rPr>
                <w:rFonts w:hint="eastAsia"/>
              </w:rPr>
              <w:t>三类 0.43</w:t>
            </w:r>
          </w:p>
          <w:p>
            <w:r>
              <w:rPr>
                <w:rFonts w:hint="eastAsia"/>
              </w:rPr>
              <w:t>非居民垃圾处理费（元/立方米）</w:t>
            </w:r>
          </w:p>
          <w:p>
            <w:r>
              <w:rPr>
                <w:rFonts w:hint="eastAsia"/>
              </w:rPr>
              <w:t>行政事业0.29</w:t>
            </w:r>
          </w:p>
          <w:p>
            <w:r>
              <w:rPr>
                <w:rFonts w:hint="eastAsia"/>
              </w:rPr>
              <w:t>商业一类0.65</w:t>
            </w:r>
          </w:p>
          <w:p>
            <w:r>
              <w:rPr>
                <w:rFonts w:hint="eastAsia"/>
              </w:rPr>
              <w:t>商业二类1.51</w:t>
            </w:r>
          </w:p>
          <w:p>
            <w:r>
              <w:rPr>
                <w:rFonts w:hint="eastAsia"/>
              </w:rPr>
              <w:t>工业一类0.30</w:t>
            </w:r>
          </w:p>
          <w:p>
            <w:r>
              <w:rPr>
                <w:rFonts w:hint="eastAsia"/>
              </w:rPr>
              <w:t>工业二类0.06</w:t>
            </w:r>
          </w:p>
        </w:tc>
        <w:tc>
          <w:tcPr>
            <w:tcW w:w="943" w:type="dxa"/>
            <w:vAlign w:val="center"/>
          </w:tcPr>
          <w:p>
            <w:pPr>
              <w:spacing w:line="38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生活垃圾处理费收费管理中心</w:t>
            </w:r>
          </w:p>
        </w:tc>
        <w:tc>
          <w:tcPr>
            <w:tcW w:w="1090" w:type="dxa"/>
            <w:vAlign w:val="center"/>
          </w:tcPr>
          <w:p>
            <w:pPr>
              <w:spacing w:line="38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执行到新的收费政策出台</w:t>
            </w:r>
          </w:p>
        </w:tc>
        <w:tc>
          <w:tcPr>
            <w:tcW w:w="718" w:type="dxa"/>
            <w:gridSpan w:val="2"/>
            <w:vAlign w:val="center"/>
          </w:tcPr>
          <w:p>
            <w:pPr>
              <w:spacing w:line="28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县（市）人民政府制定辖区内生活垃圾处理收费标准</w:t>
            </w:r>
          </w:p>
        </w:tc>
      </w:tr>
    </w:tbl>
    <w:p>
      <w:pPr>
        <w:widowControl/>
        <w:adjustRightInd w:val="0"/>
        <w:snapToGrid w:val="0"/>
        <w:spacing w:line="440" w:lineRule="exact"/>
        <w:jc w:val="left"/>
        <w:rPr>
          <w:rFonts w:cs="仿宋" w:asciiTheme="minorEastAsia" w:hAnsiTheme="minorEastAsia" w:eastAsiaTheme="minorEastAsia"/>
          <w:sz w:val="24"/>
          <w:szCs w:val="24"/>
        </w:rPr>
      </w:pPr>
    </w:p>
    <w:p>
      <w:pPr>
        <w:widowControl/>
        <w:adjustRightInd w:val="0"/>
        <w:snapToGrid w:val="0"/>
        <w:spacing w:line="440" w:lineRule="exact"/>
        <w:jc w:val="left"/>
        <w:rPr>
          <w:rFonts w:cs="仿宋" w:asciiTheme="minorEastAsia" w:hAnsiTheme="minorEastAsia" w:eastAsiaTheme="minorEastAsia"/>
          <w:snapToGrid w:val="0"/>
          <w:kern w:val="0"/>
          <w:sz w:val="24"/>
          <w:szCs w:val="24"/>
        </w:rPr>
      </w:pPr>
      <w:r>
        <w:rPr>
          <w:rFonts w:hint="eastAsia" w:cs="仿宋" w:asciiTheme="minorEastAsia" w:hAnsiTheme="minorEastAsia" w:eastAsiaTheme="minorEastAsia"/>
          <w:sz w:val="24"/>
          <w:szCs w:val="24"/>
        </w:rPr>
        <w:t>说明：</w:t>
      </w:r>
    </w:p>
    <w:p>
      <w:pPr>
        <w:autoSpaceDN w:val="0"/>
        <w:spacing w:line="500" w:lineRule="exact"/>
        <w:jc w:val="left"/>
        <w:rPr>
          <w:rFonts w:cs="仿宋" w:asciiTheme="minorEastAsia" w:hAnsiTheme="minorEastAsia" w:eastAsiaTheme="minorEastAsia"/>
          <w:sz w:val="24"/>
          <w:szCs w:val="24"/>
          <w:shd w:val="clear" w:color="auto" w:fill="FFFFFF"/>
        </w:rPr>
      </w:pPr>
      <w:r>
        <w:rPr>
          <w:rFonts w:hint="eastAsia" w:cs="仿宋" w:asciiTheme="minorEastAsia" w:hAnsiTheme="minorEastAsia" w:eastAsiaTheme="minorEastAsia"/>
          <w:snapToGrid w:val="0"/>
          <w:kern w:val="0"/>
          <w:sz w:val="24"/>
          <w:szCs w:val="24"/>
        </w:rPr>
        <w:t xml:space="preserve">    一、执收单位责任：</w:t>
      </w:r>
    </w:p>
    <w:p>
      <w:pPr>
        <w:autoSpaceDN w:val="0"/>
        <w:spacing w:line="500" w:lineRule="exact"/>
        <w:jc w:val="left"/>
        <w:rPr>
          <w:rFonts w:cs="仿宋" w:asciiTheme="minorEastAsia" w:hAnsiTheme="minorEastAsia" w:eastAsiaTheme="minorEastAsia"/>
          <w:sz w:val="24"/>
          <w:szCs w:val="24"/>
          <w:shd w:val="clear" w:color="auto" w:fill="FFFFFF"/>
        </w:rPr>
      </w:pPr>
      <w:r>
        <w:rPr>
          <w:rFonts w:hint="eastAsia" w:cs="仿宋" w:asciiTheme="minorEastAsia" w:hAnsiTheme="minorEastAsia" w:eastAsiaTheme="minorEastAsia"/>
          <w:sz w:val="24"/>
          <w:szCs w:val="24"/>
          <w:shd w:val="clear" w:color="auto" w:fill="FFFFFF"/>
        </w:rPr>
        <w:t xml:space="preserve">    1.执行规定的收费项目、收费标准、收费范围；</w:t>
      </w:r>
    </w:p>
    <w:p>
      <w:pPr>
        <w:autoSpaceDN w:val="0"/>
        <w:spacing w:line="500" w:lineRule="exact"/>
        <w:jc w:val="left"/>
        <w:rPr>
          <w:rFonts w:cs="仿宋" w:asciiTheme="minorEastAsia" w:hAnsiTheme="minorEastAsia" w:eastAsiaTheme="minorEastAsia"/>
          <w:sz w:val="24"/>
          <w:szCs w:val="24"/>
          <w:shd w:val="clear" w:color="auto" w:fill="FFFFFF"/>
        </w:rPr>
      </w:pPr>
      <w:r>
        <w:rPr>
          <w:rFonts w:hint="eastAsia" w:cs="仿宋" w:asciiTheme="minorEastAsia" w:hAnsiTheme="minorEastAsia" w:eastAsiaTheme="minorEastAsia"/>
          <w:sz w:val="24"/>
          <w:szCs w:val="24"/>
          <w:shd w:val="clear" w:color="auto" w:fill="FFFFFF"/>
        </w:rPr>
        <w:t xml:space="preserve">    2.执行收费公示制度，通过公示栏、公示牌、公示墙等方式向服务对象公示收费项目、标准、设立依据、投诉举报电话等；</w:t>
      </w:r>
    </w:p>
    <w:p>
      <w:pPr>
        <w:autoSpaceDN w:val="0"/>
        <w:spacing w:line="500" w:lineRule="exact"/>
        <w:jc w:val="left"/>
        <w:rPr>
          <w:rFonts w:cs="仿宋" w:asciiTheme="minorEastAsia" w:hAnsiTheme="minorEastAsia" w:eastAsiaTheme="minorEastAsia"/>
          <w:sz w:val="24"/>
          <w:szCs w:val="24"/>
          <w:shd w:val="clear" w:color="auto" w:fill="FFFFFF"/>
        </w:rPr>
      </w:pPr>
      <w:r>
        <w:rPr>
          <w:rFonts w:hint="eastAsia" w:cs="仿宋" w:asciiTheme="minorEastAsia" w:hAnsiTheme="minorEastAsia" w:eastAsiaTheme="minorEastAsia"/>
          <w:sz w:val="24"/>
          <w:szCs w:val="24"/>
          <w:shd w:val="clear" w:color="auto" w:fill="FFFFFF"/>
        </w:rPr>
        <w:t xml:space="preserve">    3.提供服务应坚持委托人自愿原则，并与委托人签订委托合同（协议），载明服务项目、服务内容、服务质量、收费条款和争议解决方式等；</w:t>
      </w:r>
    </w:p>
    <w:p>
      <w:pPr>
        <w:autoSpaceDN w:val="0"/>
        <w:spacing w:line="500" w:lineRule="exact"/>
        <w:jc w:val="left"/>
        <w:rPr>
          <w:rFonts w:cs="仿宋" w:asciiTheme="minorEastAsia" w:hAnsiTheme="minorEastAsia" w:eastAsiaTheme="minorEastAsia"/>
          <w:sz w:val="24"/>
          <w:szCs w:val="24"/>
          <w:shd w:val="clear" w:color="auto" w:fill="FFFFFF"/>
        </w:rPr>
      </w:pPr>
      <w:r>
        <w:rPr>
          <w:rFonts w:hint="eastAsia" w:cs="仿宋" w:asciiTheme="minorEastAsia" w:hAnsiTheme="minorEastAsia" w:eastAsiaTheme="minorEastAsia"/>
          <w:sz w:val="24"/>
          <w:szCs w:val="24"/>
          <w:shd w:val="clear" w:color="auto" w:fill="FFFFFF"/>
        </w:rPr>
        <w:t xml:space="preserve">    4.按规定明码标价，如实向委托人出具合法票据； </w:t>
      </w:r>
    </w:p>
    <w:p>
      <w:pPr>
        <w:autoSpaceDN w:val="0"/>
        <w:spacing w:line="500" w:lineRule="exact"/>
        <w:jc w:val="left"/>
        <w:rPr>
          <w:rFonts w:cs="仿宋" w:asciiTheme="minorEastAsia" w:hAnsiTheme="minorEastAsia" w:eastAsiaTheme="minorEastAsia"/>
          <w:sz w:val="24"/>
          <w:szCs w:val="24"/>
          <w:shd w:val="clear" w:color="auto" w:fill="FFFFFF"/>
        </w:rPr>
      </w:pPr>
      <w:r>
        <w:rPr>
          <w:rFonts w:hint="eastAsia" w:cs="仿宋" w:asciiTheme="minorEastAsia" w:hAnsiTheme="minorEastAsia" w:eastAsiaTheme="minorEastAsia"/>
          <w:sz w:val="24"/>
          <w:szCs w:val="24"/>
          <w:shd w:val="clear" w:color="auto" w:fill="FFFFFF"/>
        </w:rPr>
        <w:t xml:space="preserve">    5.其他依法应承担的责任事项。</w:t>
      </w:r>
    </w:p>
    <w:p>
      <w:pPr>
        <w:autoSpaceDN w:val="0"/>
        <w:spacing w:line="500" w:lineRule="exact"/>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二、行业主管部门责任事项：</w:t>
      </w:r>
    </w:p>
    <w:p>
      <w:pPr>
        <w:autoSpaceDN w:val="0"/>
        <w:spacing w:line="500" w:lineRule="exact"/>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1.贯彻国家和省政府收费政策；</w:t>
      </w:r>
    </w:p>
    <w:p>
      <w:pPr>
        <w:autoSpaceDN w:val="0"/>
        <w:spacing w:line="500" w:lineRule="exact"/>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2.加强对本行业相关经营主体收费行为监管，督促指导执收单位按清单收费；</w:t>
      </w:r>
    </w:p>
    <w:p>
      <w:pPr>
        <w:autoSpaceDN w:val="0"/>
        <w:spacing w:line="500" w:lineRule="exact"/>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3.纠正违规收费行为，并追究相关人员责任；</w:t>
      </w:r>
    </w:p>
    <w:p>
      <w:pPr>
        <w:autoSpaceDN w:val="0"/>
        <w:spacing w:line="500" w:lineRule="exact"/>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4.严格遵守《反垄断法》等法律法规，依法加强行业监督和自律，不得以任何理由限制或指定服务；</w:t>
      </w:r>
    </w:p>
    <w:p>
      <w:pPr>
        <w:autoSpaceDN w:val="0"/>
        <w:spacing w:line="500" w:lineRule="exact"/>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5.其他责任事项。</w:t>
      </w:r>
    </w:p>
    <w:p>
      <w:pPr>
        <w:spacing w:line="500" w:lineRule="exact"/>
        <w:ind w:firstLine="480" w:firstLineChars="200"/>
        <w:jc w:val="left"/>
        <w:rPr>
          <w:rFonts w:asciiTheme="minorEastAsia" w:hAnsiTheme="minorEastAsia" w:eastAsiaTheme="minorEastAsia"/>
        </w:rPr>
      </w:pPr>
      <w:r>
        <w:rPr>
          <w:rFonts w:hint="eastAsia" w:cs="仿宋" w:asciiTheme="minorEastAsia" w:hAnsiTheme="minorEastAsia" w:eastAsiaTheme="minorEastAsia"/>
          <w:sz w:val="24"/>
          <w:szCs w:val="24"/>
        </w:rPr>
        <w:t>三、社会公众咨询、投诉、举报电话：12358（价格服务热线）</w:t>
      </w:r>
    </w:p>
    <w:p>
      <w:pPr>
        <w:spacing w:line="500" w:lineRule="exact"/>
        <w:rPr>
          <w:rFonts w:asciiTheme="minorEastAsia" w:hAnsiTheme="minorEastAsia" w:eastAsiaTheme="minorEastAsia"/>
        </w:rPr>
      </w:pPr>
    </w:p>
    <w:p>
      <w:pPr>
        <w:rPr>
          <w:rFonts w:asciiTheme="minorEastAsia" w:hAnsiTheme="minorEastAsia" w:eastAsiaTheme="minorEastAsia"/>
        </w:rPr>
      </w:pPr>
    </w:p>
    <w:p/>
    <w:sectPr>
      <w:footerReference r:id="rId3" w:type="default"/>
      <w:pgSz w:w="16838" w:h="11906" w:orient="landscape"/>
      <w:pgMar w:top="720" w:right="720" w:bottom="720" w:left="72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2250" cy="15303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2250" cy="153035"/>
                      </a:xfrm>
                      <a:prstGeom prst="rect">
                        <a:avLst/>
                      </a:prstGeom>
                      <a:noFill/>
                      <a:ln>
                        <a:noFill/>
                      </a:ln>
                      <a:effectLst/>
                    </wps:spPr>
                    <wps:txbx>
                      <w:txbxContent>
                        <w:p>
                          <w:pPr>
                            <w:snapToGrid w:val="0"/>
                            <w:rPr>
                              <w:sz w:val="18"/>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17.5pt;mso-position-horizontal:center;mso-position-horizontal-relative:margin;mso-wrap-style:none;z-index:251659264;mso-width-relative:page;mso-height-relative:page;" filled="f" stroked="f" coordsize="21600,21600" o:gfxdata="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FNATjRAAAAAwEAAA8AAAAAAAAAAQAgAAAAIgAAAGRy&#10;cy9kb3ducmV2LnhtbFBLAQIUABQAAAAIAIdO4kDDBhKADAIAABAEAAAOAAAAAAAAAAEAIAAAACAB&#10;AABkcnMvZTJvRG9jLnhtbFBLBQYAAAAABgAGAFkBAACeBQAAAAA=&#10;">
              <v:path/>
              <v:fill on="f" focussize="0,0"/>
              <v:stroke on="f" joinstyle="miter"/>
              <v:imagedata o:title=""/>
              <o:lock v:ext="edit"/>
              <v:textbox inset="0mm,0mm,0mm,0mm" style="mso-fit-shape-to-text:t;">
                <w:txbxContent>
                  <w:p>
                    <w:pPr>
                      <w:snapToGrid w:val="0"/>
                      <w:rPr>
                        <w:sz w:val="18"/>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- 1 -</w:t>
                    </w:r>
                    <w:r>
                      <w:rPr>
                        <w:rFonts w:hint="eastAsia" w:ascii="宋体" w:hAnsi="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7"/>
    <w:multiLevelType w:val="singleLevel"/>
    <w:tmpl w:val="00000007"/>
    <w:lvl w:ilvl="0" w:tentative="0">
      <w:start w:val="1"/>
      <w:numFmt w:val="decimal"/>
      <w:suff w:val="nothing"/>
      <w:lvlText w:val="%1."/>
      <w:lvlJc w:val="left"/>
    </w:lvl>
  </w:abstractNum>
  <w:abstractNum w:abstractNumId="3">
    <w:nsid w:val="0000000A"/>
    <w:multiLevelType w:val="singleLevel"/>
    <w:tmpl w:val="0000000A"/>
    <w:lvl w:ilvl="0" w:tentative="0">
      <w:start w:val="1"/>
      <w:numFmt w:val="decimal"/>
      <w:suff w:val="nothing"/>
      <w:lvlText w:val="%1."/>
      <w:lvlJc w:val="left"/>
    </w:lvl>
  </w:abstractNum>
  <w:abstractNum w:abstractNumId="4">
    <w:nsid w:val="0000000B"/>
    <w:multiLevelType w:val="singleLevel"/>
    <w:tmpl w:val="0000000B"/>
    <w:lvl w:ilvl="0" w:tentative="0">
      <w:start w:val="1"/>
      <w:numFmt w:val="decimal"/>
      <w:suff w:val="nothing"/>
      <w:lvlText w:val="%1."/>
      <w:lvlJc w:val="left"/>
    </w:lvl>
  </w:abstractNum>
  <w:abstractNum w:abstractNumId="5">
    <w:nsid w:val="0000000C"/>
    <w:multiLevelType w:val="singleLevel"/>
    <w:tmpl w:val="0000000C"/>
    <w:lvl w:ilvl="0" w:tentative="0">
      <w:start w:val="1"/>
      <w:numFmt w:val="decimal"/>
      <w:suff w:val="nothing"/>
      <w:lvlText w:val="%1."/>
      <w:lvlJc w:val="left"/>
    </w:lvl>
  </w:abstractNum>
  <w:abstractNum w:abstractNumId="6">
    <w:nsid w:val="0000000F"/>
    <w:multiLevelType w:val="singleLevel"/>
    <w:tmpl w:val="0000000F"/>
    <w:lvl w:ilvl="0" w:tentative="0">
      <w:start w:val="1"/>
      <w:numFmt w:val="decimal"/>
      <w:suff w:val="nothing"/>
      <w:lvlText w:val="%1."/>
      <w:lvlJc w:val="left"/>
    </w:lvl>
  </w:abstractNum>
  <w:abstractNum w:abstractNumId="7">
    <w:nsid w:val="00000018"/>
    <w:multiLevelType w:val="singleLevel"/>
    <w:tmpl w:val="00000018"/>
    <w:lvl w:ilvl="0" w:tentative="0">
      <w:start w:val="1"/>
      <w:numFmt w:val="decimal"/>
      <w:suff w:val="nothing"/>
      <w:lvlText w:val="%1."/>
      <w:lvlJc w:val="left"/>
    </w:lvl>
  </w:abstractNum>
  <w:abstractNum w:abstractNumId="8">
    <w:nsid w:val="0000001A"/>
    <w:multiLevelType w:val="singleLevel"/>
    <w:tmpl w:val="0000001A"/>
    <w:lvl w:ilvl="0" w:tentative="0">
      <w:start w:val="1"/>
      <w:numFmt w:val="decimal"/>
      <w:suff w:val="nothing"/>
      <w:lvlText w:val="%1."/>
      <w:lvlJc w:val="left"/>
    </w:lvl>
  </w:abstractNum>
  <w:abstractNum w:abstractNumId="9">
    <w:nsid w:val="58468290"/>
    <w:multiLevelType w:val="singleLevel"/>
    <w:tmpl w:val="58468290"/>
    <w:lvl w:ilvl="0" w:tentative="0">
      <w:start w:val="1"/>
      <w:numFmt w:val="decimal"/>
      <w:suff w:val="nothing"/>
      <w:lvlText w:val="%1."/>
      <w:lvlJc w:val="left"/>
    </w:lvl>
  </w:abstractNum>
  <w:abstractNum w:abstractNumId="10">
    <w:nsid w:val="592FD3DB"/>
    <w:multiLevelType w:val="singleLevel"/>
    <w:tmpl w:val="592FD3DB"/>
    <w:lvl w:ilvl="0" w:tentative="0">
      <w:start w:val="1"/>
      <w:numFmt w:val="decimal"/>
      <w:suff w:val="nothing"/>
      <w:lvlText w:val="%1."/>
      <w:lvlJc w:val="left"/>
    </w:lvl>
  </w:abstractNum>
  <w:num w:numId="1">
    <w:abstractNumId w:val="4"/>
  </w:num>
  <w:num w:numId="2">
    <w:abstractNumId w:val="0"/>
  </w:num>
  <w:num w:numId="3">
    <w:abstractNumId w:val="1"/>
  </w:num>
  <w:num w:numId="4">
    <w:abstractNumId w:val="3"/>
  </w:num>
  <w:num w:numId="5">
    <w:abstractNumId w:val="8"/>
  </w:num>
  <w:num w:numId="6">
    <w:abstractNumId w:val="9"/>
  </w:num>
  <w:num w:numId="7">
    <w:abstractNumId w:val="5"/>
  </w:num>
  <w:num w:numId="8">
    <w:abstractNumId w:val="2"/>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42AE1"/>
    <w:rsid w:val="7974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7"/>
    <w:qFormat/>
    <w:uiPriority w:val="0"/>
    <w:pPr>
      <w:keepNext/>
      <w:spacing w:before="240" w:after="60"/>
      <w:outlineLvl w:val="2"/>
    </w:pPr>
    <w:rPr>
      <w:b/>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unhideWhenUsed/>
    <w:qFormat/>
    <w:uiPriority w:val="99"/>
    <w:pPr>
      <w:spacing w:before="100" w:beforeAutospacing="1" w:after="100" w:afterAutospacing="1"/>
      <w:jc w:val="left"/>
    </w:pPr>
    <w:rPr>
      <w:kern w:val="0"/>
      <w:sz w:val="24"/>
    </w:rPr>
  </w:style>
  <w:style w:type="character" w:customStyle="1" w:styleId="7">
    <w:name w:val="标题 3 Char"/>
    <w:basedOn w:val="6"/>
    <w:link w:val="2"/>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2022-02-28T01:57:00Z</dcterms:created>
  <dc:creator>小潘</dc:creator>
  <cp:lastModifiedBy>小潘</cp:lastModifiedBy>
  <dcterms:modified xsi:type="dcterms:W3CDTF">2022-02-28T01:58:38Z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F79191F253344B67B8E55CC7D686C940</vt:lpwstr>
  </property>
</Properties>
</file>