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关于部分检验项目的说明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2022年第1号</w:t>
      </w:r>
      <w:r>
        <w:rPr>
          <w:rFonts w:hint="eastAsia"/>
          <w:b w:val="0"/>
          <w:bCs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脱氢乙酸及其钠盐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脱氢乙酸（dehydroacetic acid）及其钠盐作为一种广谱食品防腐剂，对霉菌和酵母菌的抑制能力强，为苯甲酸钠的 2~10 倍，在高剂量使用时能抑制细菌。脱氢乙酸毒性较低，按标准规定的范围和使用量使用是安全的。脱氢乙酸及其钠盐能 被人体完全吸收，并能抑制人体内多种氧化酶，长期过量摄入脱氢乙酸及其钠盐会危害人体健康。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脱氢乙酸超标的原因可能是个别生产经营企业为防止食品腐败变质，超量使用了该添加剂，或者其使用的复配添加剂中该添加剂含量较高；也可能是在添加过程中未计量或计量不准。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柠檬黄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柠檬黄（tartrazine），橙黄或亮橙色的粉末或颗粒，是一种合成着色剂，常用于饮料类配制酒、糖果、风味发酵乳、腌渍蔬菜、果冻、膨化食品等制品。柠檬黄基本无毒，不在体内贮积，绝大部分以原形排出体外；但是如果，也存在健康风险。联合国粮农组织（FAO）和世界卫生组织食品添加剂联合专家委员会（JECFA）建议其日容许摄入量（ADI）为 0~10mg/kg bw。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造成食品中柠檬黄不合格的主要原因有：生产经营企业超限量、超范围使用，或者未准确计量。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食品标签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食品标签是指食品包装上的所有文字、图形、符号及一切说明物，也就是说包装上的任何标示均属于食品标签的范畴。标签标识不符合要求，发生的原因是企业未掌握GB 7718-2011《食品安全国家标准 预包装食品标签通则》、GB 28050-2011《食品安全国家标准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预包装食品营养标签通则》条款要求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企业应深度研究标签通则条款要求，科学管理配方，准确配料，标签标识的设计要客观地反映产品真实属性，杜绝虚假宣传。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3936"/>
    <w:rsid w:val="2F1D3936"/>
    <w:rsid w:val="45453762"/>
    <w:rsid w:val="543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2022-01-16T08:32:00Z</dcterms:created>
  <dc:creator>Pinko_KUMA✨</dc:creator>
  <cp:lastModifiedBy>Pinko_KUMA✨</cp:lastModifiedBy>
  <dcterms:modified xsi:type="dcterms:W3CDTF">2022-01-16T08:50:46Z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4CBA57FCCA094DB78BC5C23B470174A6</vt:lpwstr>
  </property>
</Properties>
</file>