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s="仿宋" w:asciiTheme="majorEastAsia" w:hAnsiTheme="majorEastAsia" w:eastAsiaTheme="majorEastAsia"/>
          <w:szCs w:val="32"/>
        </w:rPr>
      </w:pPr>
      <w:r>
        <w:rPr>
          <w:rFonts w:hint="eastAsia"/>
        </w:rPr>
        <w:t>附件4</w:t>
      </w:r>
    </w:p>
    <w:p>
      <w:pPr>
        <w:pStyle w:val="2"/>
        <w:bidi w:val="0"/>
        <w:jc w:val="center"/>
        <w:rPr>
          <w:rFonts w:hint="eastAsia" w:cs="仿宋" w:asciiTheme="majorEastAsia" w:hAnsiTheme="majorEastAsia" w:eastAsiaTheme="majorEastAsia"/>
          <w:szCs w:val="32"/>
        </w:rPr>
      </w:pPr>
      <w:r>
        <w:rPr>
          <w:rFonts w:hint="eastAsia"/>
        </w:rPr>
        <w:t>关于部分检验项目的说明（一）</w:t>
      </w:r>
    </w:p>
    <w:p>
      <w:pPr>
        <w:pStyle w:val="3"/>
        <w:bidi w:val="0"/>
        <w:rPr>
          <w:rFonts w:hint="eastAsia"/>
        </w:rPr>
      </w:pPr>
      <w:r>
        <w:rPr>
          <w:rFonts w:hint="eastAsia"/>
        </w:rPr>
        <w:t>一、溴酸盐</w:t>
      </w:r>
    </w:p>
    <w:p>
      <w:pPr>
        <w:bidi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 19298-2014 《食品安全国家标准 包装饮用水》中溴酸盐限量值为0.01mg/L，溴酸盐一般在水中不会存在，当水源水中含有溴化物，并经臭氧消毒时，可产生无机消毒副产物溴酸盐，溴酸盐经动物试验证实有致癌性，国际癌症研究机构（IARC）将溴酸盐列为对人体可能致癌物质（2B类）。饮用水中溴酸盐含量超标的原因主要是臭氧消毒杀菌工艺原因导致的消毒副产物。</w:t>
      </w: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spacing w:line="360" w:lineRule="auto"/>
        <w:ind w:firstLine="672" w:firstLineChars="200"/>
        <w:rPr>
          <w:rFonts w:hint="eastAsia" w:ascii="仿宋" w:hAnsi="仿宋" w:eastAsia="仿宋" w:cs="宋体"/>
          <w:color w:val="333333"/>
          <w:spacing w:val="8"/>
          <w:kern w:val="0"/>
          <w:sz w:val="32"/>
          <w:szCs w:val="32"/>
        </w:rPr>
      </w:pPr>
    </w:p>
    <w:p>
      <w:pPr>
        <w:bidi w:val="0"/>
        <w:rPr>
          <w:rFonts w:hint="eastAsia"/>
        </w:rPr>
      </w:pPr>
      <w:r>
        <w:rPr>
          <w:rFonts w:hint="eastAsia"/>
        </w:rPr>
        <w:t>附件4</w:t>
      </w:r>
    </w:p>
    <w:p>
      <w:pPr>
        <w:spacing w:line="360" w:lineRule="auto"/>
        <w:ind w:firstLine="883" w:firstLineChars="200"/>
        <w:jc w:val="center"/>
        <w:rPr>
          <w:rFonts w:hint="eastAsia" w:cstheme="minorBidi"/>
          <w:b/>
          <w:kern w:val="44"/>
          <w:sz w:val="44"/>
          <w:szCs w:val="24"/>
          <w:lang w:val="en-US" w:eastAsia="zh-CN" w:bidi="ar-SA"/>
        </w:rPr>
      </w:pPr>
      <w:r>
        <w:rPr>
          <w:rFonts w:hint="eastAsia" w:ascii="Times New Roman" w:hAnsi="Times New Roman" w:eastAsiaTheme="minorEastAsia" w:cstheme="minorBidi"/>
          <w:b/>
          <w:kern w:val="44"/>
          <w:sz w:val="44"/>
          <w:szCs w:val="24"/>
          <w:lang w:val="en-US" w:eastAsia="zh-CN" w:bidi="ar-SA"/>
        </w:rPr>
        <w:t>关于部分检验项目的说明</w:t>
      </w:r>
      <w:r>
        <w:rPr>
          <w:rFonts w:hint="eastAsia" w:cstheme="minorBidi"/>
          <w:b/>
          <w:kern w:val="44"/>
          <w:sz w:val="44"/>
          <w:szCs w:val="24"/>
          <w:lang w:val="en-US" w:eastAsia="zh-CN" w:bidi="ar-SA"/>
        </w:rPr>
        <w:t>（二）</w:t>
      </w:r>
    </w:p>
    <w:p>
      <w:pPr>
        <w:pStyle w:val="4"/>
        <w:bidi w:val="0"/>
        <w:rPr>
          <w:rFonts w:hint="eastAsia"/>
          <w:b w:val="0"/>
          <w:bCs/>
          <w:lang w:val="en-US" w:eastAsia="zh-CN"/>
        </w:rPr>
      </w:pPr>
      <w:r>
        <w:rPr>
          <w:rFonts w:hint="eastAsia"/>
          <w:b w:val="0"/>
          <w:bCs/>
          <w:lang w:val="en-US" w:eastAsia="zh-CN"/>
        </w:rPr>
        <w:t>餐饮食品：</w:t>
      </w:r>
    </w:p>
    <w:p>
      <w:pPr>
        <w:pStyle w:val="3"/>
        <w:bidi w:val="0"/>
        <w:rPr>
          <w:rFonts w:hint="eastAsia"/>
        </w:rPr>
      </w:pPr>
      <w:r>
        <w:rPr>
          <w:rFonts w:hint="eastAsia"/>
        </w:rPr>
        <w:t>1、菌落总数</w:t>
      </w:r>
      <w:bookmarkStart w:id="0" w:name="_GoBack"/>
      <w:bookmarkEnd w:id="0"/>
    </w:p>
    <w:p>
      <w:pPr>
        <w:spacing w:line="360" w:lineRule="auto"/>
        <w:ind w:firstLine="592" w:firstLineChars="200"/>
        <w:rPr>
          <w:rFonts w:hint="eastAsia" w:asciiTheme="minorEastAsia" w:hAnsiTheme="minorEastAsia" w:eastAsiaTheme="minorEastAsia" w:cstheme="minorEastAsia"/>
          <w:color w:val="333333"/>
          <w:spacing w:val="8"/>
          <w:kern w:val="0"/>
          <w:sz w:val="28"/>
          <w:szCs w:val="28"/>
        </w:rPr>
      </w:pPr>
      <w:r>
        <w:rPr>
          <w:rFonts w:hint="eastAsia" w:asciiTheme="minorEastAsia" w:hAnsiTheme="minorEastAsia" w:eastAsiaTheme="minorEastAsia" w:cstheme="minorEastAsia"/>
          <w:color w:val="333333"/>
          <w:spacing w:val="8"/>
          <w:kern w:val="0"/>
          <w:sz w:val="28"/>
          <w:szCs w:val="28"/>
        </w:rPr>
        <w:t xml:space="preserve">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pPr>
        <w:spacing w:line="360" w:lineRule="auto"/>
        <w:ind w:firstLine="592" w:firstLineChars="200"/>
        <w:rPr>
          <w:rFonts w:hint="eastAsia" w:asciiTheme="minorEastAsia" w:hAnsiTheme="minorEastAsia" w:eastAsiaTheme="minorEastAsia" w:cstheme="minorEastAsia"/>
          <w:color w:val="333333"/>
          <w:spacing w:val="8"/>
          <w:kern w:val="0"/>
          <w:sz w:val="28"/>
          <w:szCs w:val="28"/>
        </w:rPr>
      </w:pPr>
      <w:r>
        <w:rPr>
          <w:rFonts w:hint="eastAsia" w:asciiTheme="minorEastAsia" w:hAnsiTheme="minorEastAsia" w:eastAsiaTheme="minorEastAsia" w:cstheme="minorEastAsia"/>
          <w:color w:val="333333"/>
          <w:spacing w:val="8"/>
          <w:kern w:val="0"/>
          <w:sz w:val="28"/>
          <w:szCs w:val="28"/>
        </w:rPr>
        <w:t>菌落总数超标说明生产经营企业可能未按要求严格控制生产加工过程的卫生条件，或者包装容器清洗消毒不到位；还有可能与产品包装密封不严，储运条件控制不当等有关。</w:t>
      </w:r>
    </w:p>
    <w:p>
      <w:pPr>
        <w:pStyle w:val="3"/>
        <w:bidi w:val="0"/>
        <w:rPr>
          <w:rFonts w:hint="eastAsia"/>
        </w:rPr>
      </w:pPr>
      <w:r>
        <w:rPr>
          <w:rFonts w:hint="eastAsia"/>
        </w:rPr>
        <w:t>2、大肠菌群</w:t>
      </w:r>
    </w:p>
    <w:p>
      <w:pPr>
        <w:spacing w:line="360" w:lineRule="auto"/>
        <w:ind w:firstLine="592" w:firstLineChars="200"/>
        <w:rPr>
          <w:rFonts w:hint="eastAsia" w:asciiTheme="minorEastAsia" w:hAnsiTheme="minorEastAsia" w:eastAsiaTheme="minorEastAsia" w:cstheme="minorEastAsia"/>
          <w:color w:val="333333"/>
          <w:spacing w:val="8"/>
          <w:kern w:val="0"/>
          <w:sz w:val="28"/>
          <w:szCs w:val="28"/>
        </w:rPr>
      </w:pPr>
      <w:r>
        <w:rPr>
          <w:rFonts w:hint="eastAsia" w:asciiTheme="minorEastAsia" w:hAnsiTheme="minorEastAsia" w:eastAsiaTheme="minorEastAsia" w:cstheme="minorEastAsia"/>
          <w:color w:val="333333"/>
          <w:spacing w:val="8"/>
          <w:kern w:val="0"/>
          <w:sz w:val="28"/>
          <w:szCs w:val="28"/>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w:t>
      </w:r>
    </w:p>
    <w:p>
      <w:pPr>
        <w:spacing w:line="360" w:lineRule="auto"/>
        <w:ind w:firstLine="592" w:firstLineChars="200"/>
        <w:rPr>
          <w:rFonts w:hint="eastAsia" w:asciiTheme="minorEastAsia" w:hAnsiTheme="minorEastAsia" w:eastAsiaTheme="minorEastAsia" w:cstheme="minorEastAsia"/>
          <w:color w:val="333333"/>
          <w:spacing w:val="8"/>
          <w:kern w:val="0"/>
          <w:sz w:val="28"/>
          <w:szCs w:val="28"/>
        </w:rPr>
      </w:pPr>
      <w:r>
        <w:rPr>
          <w:rFonts w:hint="eastAsia" w:asciiTheme="minorEastAsia" w:hAnsiTheme="minorEastAsia" w:eastAsiaTheme="minorEastAsia" w:cstheme="minorEastAsia"/>
          <w:color w:val="333333"/>
          <w:spacing w:val="8"/>
          <w:kern w:val="0"/>
          <w:sz w:val="28"/>
          <w:szCs w:val="28"/>
        </w:rPr>
        <w:t>大肠菌群超标可能由于产品的加工原料、包装材料受污染，或在生产过程中产品受人员、工器具等生产设备、环境的污染，有加热处理工艺的产品加热不彻底而导致。</w:t>
      </w:r>
    </w:p>
    <w:p>
      <w:pPr>
        <w:pStyle w:val="3"/>
        <w:bidi w:val="0"/>
        <w:rPr>
          <w:rFonts w:hint="eastAsia"/>
        </w:rPr>
      </w:pPr>
      <w:r>
        <w:rPr>
          <w:rFonts w:hint="eastAsia"/>
        </w:rPr>
        <w:t>3、阴离子合成洗涤剂(以十二烷基苯磺酸钠计)</w:t>
      </w:r>
    </w:p>
    <w:p>
      <w:pPr>
        <w:spacing w:line="360" w:lineRule="auto"/>
        <w:ind w:firstLine="592" w:firstLineChars="200"/>
        <w:rPr>
          <w:rFonts w:hint="eastAsia" w:asciiTheme="minorEastAsia" w:hAnsiTheme="minorEastAsia" w:eastAsiaTheme="minorEastAsia" w:cstheme="minorEastAsia"/>
          <w:color w:val="333333"/>
          <w:spacing w:val="8"/>
          <w:kern w:val="0"/>
          <w:sz w:val="28"/>
          <w:szCs w:val="28"/>
        </w:rPr>
      </w:pPr>
      <w:r>
        <w:rPr>
          <w:rFonts w:hint="eastAsia" w:asciiTheme="minorEastAsia" w:hAnsiTheme="minorEastAsia" w:eastAsiaTheme="minorEastAsia" w:cstheme="minorEastAsia"/>
          <w:color w:val="333333"/>
          <w:spacing w:val="8"/>
          <w:kern w:val="0"/>
          <w:sz w:val="28"/>
          <w:szCs w:val="28"/>
        </w:rPr>
        <w:t xml:space="preserve">阴离子合成洗涤剂（Anionic synthetic detergent）主要成分是十二烷基苯磺酸钠，是我 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 </w:t>
      </w:r>
    </w:p>
    <w:p>
      <w:pPr>
        <w:spacing w:line="360" w:lineRule="auto"/>
        <w:ind w:firstLine="592" w:firstLineChars="200"/>
        <w:rPr>
          <w:rFonts w:hint="eastAsia" w:asciiTheme="minorEastAsia" w:hAnsiTheme="minorEastAsia" w:eastAsiaTheme="minorEastAsia" w:cstheme="minorEastAsia"/>
          <w:color w:val="333333"/>
          <w:spacing w:val="8"/>
          <w:kern w:val="0"/>
          <w:sz w:val="28"/>
          <w:szCs w:val="28"/>
        </w:rPr>
      </w:pPr>
      <w:r>
        <w:rPr>
          <w:rFonts w:hint="eastAsia" w:asciiTheme="minorEastAsia" w:hAnsiTheme="minorEastAsia" w:eastAsiaTheme="minorEastAsia" w:cstheme="minorEastAsia"/>
          <w:color w:val="333333"/>
          <w:spacing w:val="8"/>
          <w:kern w:val="0"/>
          <w:sz w:val="28"/>
          <w:szCs w:val="28"/>
        </w:rPr>
        <w:t>餐（饮）具中检出阴离子合成洗涤剂的原因可能是由于餐（饮）具消毒单位使用的洗涤剂不合格或使用量过大，或未经足够量清水冲洗，最终残留在餐（饮）具中。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1994269A"/>
    <w:rsid w:val="1FD731CE"/>
    <w:rsid w:val="21080928"/>
    <w:rsid w:val="27286FB2"/>
    <w:rsid w:val="2E7720BF"/>
    <w:rsid w:val="2F2E698C"/>
    <w:rsid w:val="378F216D"/>
    <w:rsid w:val="38C14C44"/>
    <w:rsid w:val="39985013"/>
    <w:rsid w:val="3AFA0F0C"/>
    <w:rsid w:val="57EA0B70"/>
    <w:rsid w:val="610E0B87"/>
    <w:rsid w:val="6AFC09F6"/>
    <w:rsid w:val="706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页眉 Char"/>
    <w:basedOn w:val="10"/>
    <w:link w:val="6"/>
    <w:qFormat/>
    <w:uiPriority w:val="0"/>
    <w:rPr>
      <w:rFonts w:eastAsiaTheme="minorEastAsia" w:cstheme="minorBidi"/>
      <w:kern w:val="2"/>
      <w:sz w:val="18"/>
      <w:szCs w:val="18"/>
    </w:rPr>
  </w:style>
  <w:style w:type="character" w:customStyle="1" w:styleId="15">
    <w:name w:val="页脚 Char"/>
    <w:basedOn w:val="10"/>
    <w:link w:val="5"/>
    <w:qFormat/>
    <w:uiPriority w:val="0"/>
    <w:rPr>
      <w:rFonts w:eastAsiaTheme="minorEastAsia" w:cstheme="minorBidi"/>
      <w:kern w:val="2"/>
      <w:sz w:val="18"/>
      <w:szCs w:val="18"/>
    </w:rPr>
  </w:style>
  <w:style w:type="character" w:customStyle="1" w:styleId="16">
    <w:name w:val="标题 2 Char"/>
    <w:basedOn w:val="10"/>
    <w:link w:val="3"/>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174</Words>
  <Characters>28</Characters>
  <Lines>1</Lines>
  <Paragraphs>1</Paragraphs>
  <TotalTime>4</TotalTime>
  <ScaleCrop>false</ScaleCrop>
  <LinksUpToDate>false</LinksUpToDate>
  <CharactersWithSpaces>201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2017-08-11T06:45:00Z</dcterms:created>
  <dc:creator>PC</dc:creator>
  <cp:lastModifiedBy>Pinko_KUMA✨</cp:lastModifiedBy>
  <dcterms:modified xsi:type="dcterms:W3CDTF">2021-12-03T07:43:04Z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