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color w:val="000000" w:themeColor="text1"/>
          <w:sz w:val="44"/>
          <w:szCs w:val="44"/>
          <w:highlight w:val="none"/>
          <w14:textFill>
            <w14:solidFill>
              <w14:schemeClr w14:val="tx1"/>
            </w14:solidFill>
          </w14:textFill>
        </w:rPr>
      </w:pPr>
      <w:bookmarkStart w:id="0" w:name="_GoBack"/>
      <w:bookmarkEnd w:id="0"/>
      <w:r>
        <w:rPr>
          <w:rFonts w:hint="eastAsia" w:ascii="华文中宋" w:hAnsi="华文中宋" w:eastAsia="华文中宋" w:cs="华文中宋"/>
          <w:b/>
          <w:bCs w:val="0"/>
          <w:color w:val="000000" w:themeColor="text1"/>
          <w:sz w:val="44"/>
          <w:szCs w:val="44"/>
          <w:highlight w:val="none"/>
          <w:lang w:eastAsia="zh-CN"/>
          <w14:textFill>
            <w14:solidFill>
              <w14:schemeClr w14:val="tx1"/>
            </w14:solidFill>
          </w14:textFill>
        </w:rPr>
        <w:t>江门市名特优新农产品线上平台</w:t>
      </w:r>
      <w:r>
        <w:rPr>
          <w:rFonts w:hint="eastAsia" w:ascii="华文中宋" w:hAnsi="华文中宋" w:eastAsia="华文中宋" w:cs="华文中宋"/>
          <w:b/>
          <w:color w:val="000000" w:themeColor="text1"/>
          <w:sz w:val="44"/>
          <w:szCs w:val="44"/>
          <w:highlight w:val="none"/>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color w:val="000000" w:themeColor="text1"/>
          <w:sz w:val="44"/>
          <w:szCs w:val="44"/>
          <w:highlight w:val="none"/>
          <w14:textFill>
            <w14:solidFill>
              <w14:schemeClr w14:val="tx1"/>
            </w14:solidFill>
          </w14:textFill>
        </w:rPr>
      </w:pPr>
      <w:r>
        <w:rPr>
          <w:rFonts w:hint="eastAsia" w:ascii="华文中宋" w:hAnsi="华文中宋" w:eastAsia="华文中宋" w:cs="华文中宋"/>
          <w:b/>
          <w:color w:val="000000" w:themeColor="text1"/>
          <w:sz w:val="44"/>
          <w:szCs w:val="44"/>
          <w:highlight w:val="none"/>
          <w14:textFill>
            <w14:solidFill>
              <w14:schemeClr w14:val="tx1"/>
            </w14:solidFill>
          </w14:textFill>
        </w:rPr>
        <w:t>评审方案</w:t>
      </w:r>
    </w:p>
    <w:p>
      <w:pPr>
        <w:tabs>
          <w:tab w:val="left" w:pos="714"/>
        </w:tabs>
        <w:spacing w:line="360" w:lineRule="auto"/>
        <w:ind w:firstLine="413" w:firstLineChars="196"/>
        <w:rPr>
          <w:rFonts w:ascii="仿宋_GB2312" w:eastAsia="仿宋_GB2312"/>
          <w:b/>
          <w:color w:val="000000" w:themeColor="text1"/>
          <w:highlight w:val="none"/>
          <w14:textFill>
            <w14:solidFill>
              <w14:schemeClr w14:val="tx1"/>
            </w14:solidFill>
          </w14:textFill>
        </w:rPr>
      </w:pPr>
    </w:p>
    <w:p>
      <w:pPr>
        <w:spacing w:line="600" w:lineRule="exact"/>
        <w:ind w:firstLine="614" w:firstLineChars="192"/>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t>为规范项目评审，筛选出符合条件的江门市名特优新农产品线上平台项目承担单位，特制定本方案。</w:t>
      </w:r>
    </w:p>
    <w:p>
      <w:pPr>
        <w:spacing w:line="600" w:lineRule="exact"/>
        <w:ind w:firstLine="617" w:firstLineChars="192"/>
        <w:rPr>
          <w:rFonts w:hint="eastAsia" w:ascii="仿宋_GB2312" w:hAnsi="仿宋" w:eastAsia="仿宋_GB2312" w:cstheme="minorBidi"/>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heme="minorBidi"/>
          <w:b/>
          <w:bCs/>
          <w:color w:val="000000" w:themeColor="text1"/>
          <w:kern w:val="2"/>
          <w:sz w:val="32"/>
          <w:szCs w:val="32"/>
          <w:highlight w:val="none"/>
          <w:lang w:val="en-US" w:eastAsia="zh-CN" w:bidi="ar-SA"/>
          <w14:textFill>
            <w14:solidFill>
              <w14:schemeClr w14:val="tx1"/>
            </w14:solidFill>
          </w14:textFill>
        </w:rPr>
        <w:t>一、成立评审小组</w:t>
      </w:r>
    </w:p>
    <w:p>
      <w:pPr>
        <w:spacing w:line="600" w:lineRule="exact"/>
        <w:ind w:firstLine="614" w:firstLineChars="192"/>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t>评审小组由分管领导任组长，农产品质量安全与市场信息化科、规划财务科、乡村产业发展科、科技交流科、信息中心相关人员任组员，由局纪检监察组或机关党委派员监督。</w:t>
      </w:r>
    </w:p>
    <w:p>
      <w:pPr>
        <w:spacing w:line="600" w:lineRule="exact"/>
        <w:ind w:firstLine="614" w:firstLineChars="192"/>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t>主要职责：对项目申报书审查，评出项目承担单位。</w:t>
      </w:r>
    </w:p>
    <w:p>
      <w:pPr>
        <w:spacing w:line="600" w:lineRule="exact"/>
        <w:ind w:firstLine="614" w:firstLineChars="192"/>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heme="minorBidi"/>
          <w:color w:val="000000" w:themeColor="text1"/>
          <w:kern w:val="2"/>
          <w:sz w:val="32"/>
          <w:szCs w:val="32"/>
          <w:highlight w:val="none"/>
          <w:lang w:val="en-US" w:eastAsia="zh-CN" w:bidi="ar-SA"/>
          <w14:textFill>
            <w14:solidFill>
              <w14:schemeClr w14:val="tx1"/>
            </w14:solidFill>
          </w14:textFill>
        </w:rPr>
        <w:t>评审采用综合评分法，即对通过资格审核的项目申请人进行评审、比较，并量化打分，最后根据各项得分之和，计算出通过资格审核的项目申报人的综合得分。评审小组按综合得分由高到低的原则进行排序(综合得分相同，名次由评审小组投票确定。法律法规有明确规定的，以法律法规规定为准)，确定排名第一的为项目承担单位。</w:t>
      </w:r>
    </w:p>
    <w:p>
      <w:pPr>
        <w:tabs>
          <w:tab w:val="left" w:pos="714"/>
        </w:tabs>
        <w:spacing w:line="360" w:lineRule="auto"/>
        <w:ind w:firstLine="630" w:firstLineChars="196"/>
        <w:rPr>
          <w:rFonts w:hint="eastAsia" w:ascii="仿宋_GB2312" w:hAnsi="仿宋" w:eastAsia="仿宋_GB2312" w:cstheme="minorBidi"/>
          <w:b/>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 w:eastAsia="仿宋_GB2312" w:cstheme="minorBidi"/>
          <w:b/>
          <w:bCs/>
          <w:color w:val="000000" w:themeColor="text1"/>
          <w:kern w:val="2"/>
          <w:sz w:val="32"/>
          <w:szCs w:val="32"/>
          <w:highlight w:val="none"/>
          <w:lang w:val="en-US" w:eastAsia="zh-CN" w:bidi="ar-SA"/>
          <w14:textFill>
            <w14:solidFill>
              <w14:schemeClr w14:val="tx1"/>
            </w14:solidFill>
          </w14:textFill>
        </w:rPr>
        <w:t>二、评审步骤</w:t>
      </w:r>
    </w:p>
    <w:p>
      <w:pPr>
        <w:pStyle w:val="3"/>
        <w:adjustRightInd w:val="0"/>
        <w:snapToGrid w:val="0"/>
        <w:ind w:firstLine="627" w:firstLineChars="196"/>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 xml:space="preserve">评审小组对申报资料的评审分为初审、比较与评价： </w:t>
      </w:r>
    </w:p>
    <w:p>
      <w:pPr>
        <w:pStyle w:val="3"/>
        <w:adjustRightInd w:val="0"/>
        <w:snapToGrid w:val="0"/>
        <w:ind w:firstLine="56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（一）初审</w:t>
      </w:r>
    </w:p>
    <w:p>
      <w:pPr>
        <w:pStyle w:val="3"/>
        <w:adjustRightInd w:val="0"/>
        <w:snapToGrid w:val="0"/>
        <w:ind w:firstLine="56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审查内容详见资格性审查表，通过资格性审查的家数为1家或者1家以上即确认本次评审有效。</w:t>
      </w:r>
      <w:r>
        <w:rPr>
          <w:rFonts w:hint="eastAsia" w:ascii="仿宋_GB2312" w:eastAsia="仿宋_GB2312"/>
          <w:color w:val="000000" w:themeColor="text1"/>
          <w:sz w:val="32"/>
          <w:szCs w:val="32"/>
          <w:highlight w:val="none"/>
          <w14:textFill>
            <w14:solidFill>
              <w14:schemeClr w14:val="tx1"/>
            </w14:solidFill>
          </w14:textFill>
        </w:rPr>
        <w:t>若只有1家单位提交项目申报材料单位，由局农产品质量安全与市场信息化科审核申报材料，并将审核结果报局党组审批。</w:t>
      </w:r>
    </w:p>
    <w:p>
      <w:pPr>
        <w:pStyle w:val="3"/>
        <w:adjustRightInd w:val="0"/>
        <w:snapToGrid w:val="0"/>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（二）比较与评价</w:t>
      </w:r>
    </w:p>
    <w:p>
      <w:pPr>
        <w:pStyle w:val="3"/>
        <w:tabs>
          <w:tab w:val="left" w:pos="1080"/>
        </w:tabs>
        <w:adjustRightInd w:val="0"/>
        <w:snapToGrid w:val="0"/>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评审小组成员对通过资格审查的项目申报单位，对照</w:t>
      </w:r>
      <w:r>
        <w:rPr>
          <w:rFonts w:hint="eastAsia" w:ascii="仿宋_GB2312" w:hAnsi="宋体" w:eastAsia="仿宋_GB2312"/>
          <w:color w:val="000000" w:themeColor="text1"/>
          <w:sz w:val="32"/>
          <w:szCs w:val="32"/>
          <w:highlight w:val="none"/>
          <w14:textFill>
            <w14:solidFill>
              <w14:schemeClr w14:val="tx1"/>
            </w14:solidFill>
          </w14:textFill>
        </w:rPr>
        <w:t>各项要求进行评审和比较，并量化打分</w:t>
      </w:r>
      <w:r>
        <w:rPr>
          <w:rFonts w:hint="eastAsia" w:ascii="仿宋_GB2312" w:hAnsi="仿宋" w:eastAsia="仿宋_GB2312"/>
          <w:color w:val="000000" w:themeColor="text1"/>
          <w:sz w:val="32"/>
          <w:szCs w:val="32"/>
          <w:highlight w:val="none"/>
          <w14:textFill>
            <w14:solidFill>
              <w14:schemeClr w14:val="tx1"/>
            </w14:solidFill>
          </w14:textFill>
        </w:rPr>
        <w:t>（打分内容详</w:t>
      </w:r>
      <w:r>
        <w:rPr>
          <w:rFonts w:hint="eastAsia" w:ascii="仿宋_GB2312" w:hAnsi="宋体" w:eastAsia="仿宋_GB2312"/>
          <w:color w:val="000000" w:themeColor="text1"/>
          <w:sz w:val="32"/>
          <w:szCs w:val="32"/>
          <w:highlight w:val="none"/>
          <w14:textFill>
            <w14:solidFill>
              <w14:schemeClr w14:val="tx1"/>
            </w14:solidFill>
          </w14:textFill>
        </w:rPr>
        <w:t>见</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项目评分表</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eastAsia="zh-CN"/>
          <w14:textFill>
            <w14:solidFill>
              <w14:schemeClr w14:val="tx1"/>
            </w14:solidFill>
          </w14:textFill>
        </w:rPr>
        <w:t>评审</w:t>
      </w:r>
      <w:r>
        <w:rPr>
          <w:rFonts w:hint="eastAsia" w:ascii="仿宋_GB2312" w:hAnsi="宋体" w:eastAsia="仿宋_GB2312"/>
          <w:color w:val="000000" w:themeColor="text1"/>
          <w:sz w:val="32"/>
          <w:szCs w:val="32"/>
          <w:highlight w:val="none"/>
          <w14:textFill>
            <w14:solidFill>
              <w14:schemeClr w14:val="tx1"/>
            </w14:solidFill>
          </w14:textFill>
        </w:rPr>
        <w:t>得分取小数点后的2位数。项目申报的</w:t>
      </w:r>
      <w:r>
        <w:rPr>
          <w:rFonts w:hint="eastAsia" w:ascii="仿宋_GB2312" w:hAnsi="仿宋" w:eastAsia="仿宋_GB2312"/>
          <w:color w:val="000000" w:themeColor="text1"/>
          <w:sz w:val="32"/>
          <w:szCs w:val="32"/>
          <w:highlight w:val="none"/>
          <w:lang w:eastAsia="zh-CN"/>
          <w14:textFill>
            <w14:solidFill>
              <w14:schemeClr w14:val="tx1"/>
            </w14:solidFill>
          </w14:textFill>
        </w:rPr>
        <w:t>评审</w:t>
      </w:r>
      <w:r>
        <w:rPr>
          <w:rFonts w:hint="eastAsia" w:ascii="仿宋_GB2312" w:hAnsi="宋体" w:eastAsia="仿宋_GB2312"/>
          <w:color w:val="000000" w:themeColor="text1"/>
          <w:sz w:val="32"/>
          <w:szCs w:val="32"/>
          <w:highlight w:val="none"/>
          <w14:textFill>
            <w14:solidFill>
              <w14:schemeClr w14:val="tx1"/>
            </w14:solidFill>
          </w14:textFill>
        </w:rPr>
        <w:t>得分相加，计算出最终得分。</w:t>
      </w:r>
    </w:p>
    <w:p>
      <w:pPr>
        <w:pStyle w:val="3"/>
        <w:adjustRightInd w:val="0"/>
        <w:snapToGrid w:val="0"/>
        <w:ind w:firstLine="643" w:firstLineChars="200"/>
        <w:rPr>
          <w:rFonts w:hint="eastAsia" w:ascii="仿宋_GB2312" w:hAnsi="仿宋" w:eastAsia="仿宋_GB2312"/>
          <w:b/>
          <w:color w:val="000000" w:themeColor="text1"/>
          <w:sz w:val="32"/>
          <w:szCs w:val="32"/>
          <w:highlight w:val="none"/>
          <w:lang w:eastAsia="zh-CN"/>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三、评审</w:t>
      </w:r>
      <w:r>
        <w:rPr>
          <w:rFonts w:hint="eastAsia" w:ascii="仿宋_GB2312" w:hAnsi="仿宋" w:eastAsia="仿宋_GB2312"/>
          <w:b/>
          <w:color w:val="000000" w:themeColor="text1"/>
          <w:sz w:val="32"/>
          <w:szCs w:val="32"/>
          <w:highlight w:val="none"/>
          <w:lang w:eastAsia="zh-CN"/>
          <w14:textFill>
            <w14:solidFill>
              <w14:schemeClr w14:val="tx1"/>
            </w14:solidFill>
          </w14:textFill>
        </w:rPr>
        <w:t>项目承担单位确定</w:t>
      </w:r>
    </w:p>
    <w:p>
      <w:pPr>
        <w:pStyle w:val="3"/>
        <w:adjustRightInd w:val="0"/>
        <w:snapToGrid w:val="0"/>
        <w:ind w:firstLine="640" w:firstLineChars="200"/>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kern w:val="0"/>
          <w:sz w:val="32"/>
          <w:szCs w:val="32"/>
          <w:highlight w:val="none"/>
          <w14:textFill>
            <w14:solidFill>
              <w14:schemeClr w14:val="tx1"/>
            </w14:solidFill>
          </w14:textFill>
        </w:rPr>
        <w:t>评审小组按项目申报单位综合评价得分由高到低的原则对所有通过资格审核的的项目申报单位进行排序，确定排名第一的申报单位为项目</w:t>
      </w:r>
      <w:r>
        <w:rPr>
          <w:rFonts w:hint="eastAsia" w:ascii="仿宋_GB2312" w:hAnsi="仿宋" w:eastAsia="仿宋_GB2312"/>
          <w:color w:val="000000" w:themeColor="text1"/>
          <w:kern w:val="0"/>
          <w:sz w:val="32"/>
          <w:szCs w:val="32"/>
          <w:highlight w:val="none"/>
          <w:lang w:eastAsia="zh-CN"/>
          <w14:textFill>
            <w14:solidFill>
              <w14:schemeClr w14:val="tx1"/>
            </w14:solidFill>
          </w14:textFill>
        </w:rPr>
        <w:t>承担单位</w:t>
      </w:r>
      <w:r>
        <w:rPr>
          <w:rFonts w:hint="eastAsia" w:ascii="仿宋_GB2312" w:hAnsi="仿宋" w:eastAsia="仿宋_GB2312"/>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pStyle w:val="2"/>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pStyle w:val="2"/>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pStyle w:val="2"/>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pStyle w:val="2"/>
        <w:rPr>
          <w:rFonts w:hint="eastAsia"/>
          <w:color w:val="000000" w:themeColor="text1"/>
          <w:highlight w:val="none"/>
          <w:lang w:val="en-US" w:eastAsia="zh-CN"/>
          <w14:textFill>
            <w14:solidFill>
              <w14:schemeClr w14:val="tx1"/>
            </w14:solidFill>
          </w14:textFill>
        </w:rPr>
      </w:pPr>
    </w:p>
    <w:p>
      <w:pP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资格评审表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tbl>
      <w:tblPr>
        <w:tblStyle w:val="6"/>
        <w:tblW w:w="98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2"/>
        <w:gridCol w:w="1194"/>
        <w:gridCol w:w="1326"/>
        <w:gridCol w:w="1326"/>
      </w:tblGrid>
      <w:tr>
        <w:trPr>
          <w:trHeight w:val="719" w:hRule="atLeast"/>
          <w:jc w:val="center"/>
        </w:trPr>
        <w:tc>
          <w:tcPr>
            <w:tcW w:w="5972" w:type="dxa"/>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vertAlign w:val="baseline"/>
                <w:lang w:val="en-US" w:eastAsia="zh-CN"/>
                <w14:textFill>
                  <w14:solidFill>
                    <w14:schemeClr w14:val="tx1"/>
                  </w14:solidFill>
                </w14:textFill>
              </w:rPr>
            </w:pPr>
            <w:r>
              <w:rPr>
                <w:rFonts w:hint="eastAsia" w:cs="宋体"/>
                <w:color w:val="000000" w:themeColor="text1"/>
                <w:sz w:val="32"/>
                <w:szCs w:val="40"/>
                <w:highlight w:val="none"/>
                <w14:textFill>
                  <w14:solidFill>
                    <w14:schemeClr w14:val="tx1"/>
                  </w14:solidFill>
                </w14:textFill>
              </w:rPr>
              <w:t>评审内容</w:t>
            </w:r>
          </w:p>
        </w:tc>
        <w:tc>
          <w:tcPr>
            <w:tcW w:w="1194" w:type="dxa"/>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仿宋_GB2312" w:hAnsi="仿宋_GB2312" w:eastAsia="仿宋_GB2312" w:cs="仿宋_GB2312"/>
                <w:b w:val="0"/>
                <w:bCs/>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highlight w:val="none"/>
                <w:lang w:val="en-US" w:eastAsia="zh-CN" w:bidi="ar"/>
                <w14:textFill>
                  <w14:solidFill>
                    <w14:schemeClr w14:val="tx1"/>
                  </w14:solidFill>
                </w14:textFill>
              </w:rPr>
              <w:t>公司1</w:t>
            </w:r>
          </w:p>
        </w:tc>
        <w:tc>
          <w:tcPr>
            <w:tcW w:w="1326" w:type="dxa"/>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highlight w:val="none"/>
                <w:lang w:val="en-US" w:eastAsia="zh-CN" w:bidi="ar"/>
                <w14:textFill>
                  <w14:solidFill>
                    <w14:schemeClr w14:val="tx1"/>
                  </w14:solidFill>
                </w14:textFill>
              </w:rPr>
              <w:t>公司2</w:t>
            </w:r>
          </w:p>
        </w:tc>
        <w:tc>
          <w:tcPr>
            <w:tcW w:w="1326" w:type="dxa"/>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b w:val="0"/>
                <w:bCs/>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highlight w:val="none"/>
                <w:lang w:val="en-US" w:eastAsia="zh-CN" w:bidi="ar"/>
                <w14:textFill>
                  <w14:solidFill>
                    <w14:schemeClr w14:val="tx1"/>
                  </w14:solidFill>
                </w14:textFill>
              </w:rPr>
              <w:t>公司3</w:t>
            </w:r>
          </w:p>
        </w:tc>
      </w:tr>
      <w:tr>
        <w:tblPrEx>
          <w:tblLayout w:type="fixed"/>
          <w:tblCellMar>
            <w:top w:w="0" w:type="dxa"/>
            <w:left w:w="108" w:type="dxa"/>
            <w:bottom w:w="0" w:type="dxa"/>
            <w:right w:w="108" w:type="dxa"/>
          </w:tblCellMar>
        </w:tblPrEx>
        <w:trPr>
          <w:trHeight w:val="1033" w:hRule="atLeast"/>
          <w:jc w:val="center"/>
        </w:trPr>
        <w:tc>
          <w:tcPr>
            <w:tcW w:w="5972" w:type="dxa"/>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1.公司成立2年以上，注册地点必须在江门市，注册资金50万元以上，具有电子商务资质。</w:t>
            </w:r>
          </w:p>
        </w:tc>
        <w:tc>
          <w:tcPr>
            <w:tcW w:w="1194"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377" w:hRule="atLeast"/>
          <w:jc w:val="center"/>
        </w:trPr>
        <w:tc>
          <w:tcPr>
            <w:tcW w:w="5972" w:type="dxa"/>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2.在江门市内有固定的办公</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和培训</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场所。拥有成熟的电商运营经验</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具有</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人以上专业电商运营团队。</w:t>
            </w:r>
          </w:p>
        </w:tc>
        <w:tc>
          <w:tcPr>
            <w:tcW w:w="1194"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1294" w:hRule="atLeast"/>
          <w:jc w:val="center"/>
        </w:trPr>
        <w:tc>
          <w:tcPr>
            <w:tcW w:w="5972" w:type="dxa"/>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default"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t>3.建设有综合类农产品电商平台，非自产的农产品品种达100个以上，电商平台可以是京东、淘宝、拼多多、小程序等相关网店。</w:t>
            </w:r>
          </w:p>
        </w:tc>
        <w:tc>
          <w:tcPr>
            <w:tcW w:w="1194"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873" w:hRule="atLeast"/>
          <w:jc w:val="center"/>
        </w:trPr>
        <w:tc>
          <w:tcPr>
            <w:tcW w:w="5972" w:type="dxa"/>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b w:val="0"/>
                <w:bCs/>
                <w:color w:val="000000" w:themeColor="text1"/>
                <w:kern w:val="0"/>
                <w:sz w:val="28"/>
                <w:szCs w:val="28"/>
                <w:highlight w:val="none"/>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4.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194"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614" w:hRule="atLeast"/>
          <w:jc w:val="center"/>
        </w:trPr>
        <w:tc>
          <w:tcPr>
            <w:tcW w:w="5972" w:type="dxa"/>
          </w:tcPr>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5.不是联合体申报。</w:t>
            </w:r>
          </w:p>
        </w:tc>
        <w:tc>
          <w:tcPr>
            <w:tcW w:w="1194"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c>
          <w:tcPr>
            <w:tcW w:w="1326"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ascii="方正小标宋简体" w:hAnsi="方正小标宋简体" w:eastAsia="方正小标宋简体" w:cs="方正小标宋简体"/>
                <w:b w:val="0"/>
                <w:bCs w:val="0"/>
                <w:color w:val="000000" w:themeColor="text1"/>
                <w:sz w:val="28"/>
                <w:szCs w:val="28"/>
                <w:highlight w:val="none"/>
                <w:vertAlign w:val="baseline"/>
                <w:lang w:val="en-US" w:eastAsia="zh-CN"/>
                <w14:textFill>
                  <w14:solidFill>
                    <w14:schemeClr w14:val="tx1"/>
                  </w14:solidFill>
                </w14:textFill>
              </w:rPr>
            </w:pPr>
          </w:p>
        </w:tc>
      </w:tr>
      <w:tr>
        <w:tblPrEx>
          <w:tblLayout w:type="fixed"/>
          <w:tblCellMar>
            <w:top w:w="0" w:type="dxa"/>
            <w:left w:w="108" w:type="dxa"/>
            <w:bottom w:w="0" w:type="dxa"/>
            <w:right w:w="108" w:type="dxa"/>
          </w:tblCellMar>
        </w:tblPrEx>
        <w:trPr>
          <w:trHeight w:val="873" w:hRule="atLeast"/>
          <w:jc w:val="center"/>
        </w:trPr>
        <w:tc>
          <w:tcPr>
            <w:tcW w:w="9818" w:type="dxa"/>
            <w:gridSpan w:val="4"/>
          </w:tcPr>
          <w:p>
            <w:pPr>
              <w:adjustRightInd w:val="0"/>
              <w:snapToGrid w:val="0"/>
              <w:rPr>
                <w:rFonts w:hint="eastAsia" w:ascii="方正小标宋简体" w:hAnsi="方正小标宋简体" w:eastAsia="方正小标宋简体" w:cs="方正小标宋简体"/>
                <w:b w:val="0"/>
                <w:bCs w:val="0"/>
                <w:color w:val="000000" w:themeColor="text1"/>
                <w:sz w:val="44"/>
                <w:szCs w:val="4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highlight w:val="none"/>
                <w:lang w:eastAsia="zh-CN"/>
                <w14:textFill>
                  <w14:solidFill>
                    <w14:schemeClr w14:val="tx1"/>
                  </w14:solidFill>
                </w14:textFill>
              </w:rPr>
              <w:t>备</w:t>
            </w:r>
            <w:r>
              <w:rPr>
                <w:rFonts w:hint="eastAsia" w:ascii="仿宋_GB2312" w:hAnsi="仿宋_GB2312" w:eastAsia="仿宋_GB2312" w:cs="仿宋_GB2312"/>
                <w:color w:val="000000" w:themeColor="text1"/>
                <w:sz w:val="28"/>
                <w:szCs w:val="36"/>
                <w:highlight w:val="none"/>
                <w14:textFill>
                  <w14:solidFill>
                    <w14:schemeClr w14:val="tx1"/>
                  </w14:solidFill>
                </w14:textFill>
              </w:rPr>
              <w:t>注：1.评委在结论栏中按“一票否决”填写“合格”或“不合格”</w:t>
            </w:r>
            <w:r>
              <w:rPr>
                <w:rFonts w:hint="eastAsia" w:ascii="仿宋_GB2312" w:hAnsi="仿宋_GB2312" w:eastAsia="仿宋_GB2312" w:cs="仿宋_GB2312"/>
                <w:color w:val="000000" w:themeColor="text1"/>
                <w:sz w:val="28"/>
                <w:szCs w:val="36"/>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36"/>
                <w:highlight w:val="none"/>
                <w14:textFill>
                  <w14:solidFill>
                    <w14:schemeClr w14:val="tx1"/>
                  </w14:solidFill>
                </w14:textFill>
              </w:rPr>
              <w:t>2.</w:t>
            </w:r>
            <w:r>
              <w:rPr>
                <w:rFonts w:hint="eastAsia" w:ascii="仿宋_GB2312" w:hAnsi="仿宋_GB2312" w:eastAsia="仿宋_GB2312" w:cs="仿宋_GB2312"/>
                <w:color w:val="000000" w:themeColor="text1"/>
                <w:sz w:val="28"/>
                <w:szCs w:val="36"/>
                <w:highlight w:val="none"/>
                <w:lang w:eastAsia="zh-CN"/>
                <w14:textFill>
                  <w14:solidFill>
                    <w14:schemeClr w14:val="tx1"/>
                  </w14:solidFill>
                </w14:textFill>
              </w:rPr>
              <w:t>只要</w:t>
            </w:r>
            <w:r>
              <w:rPr>
                <w:rFonts w:hint="eastAsia" w:ascii="仿宋_GB2312" w:hAnsi="仿宋_GB2312" w:eastAsia="仿宋_GB2312" w:cs="仿宋_GB2312"/>
                <w:color w:val="000000" w:themeColor="text1"/>
                <w:sz w:val="28"/>
                <w:szCs w:val="36"/>
                <w:highlight w:val="none"/>
                <w14:textFill>
                  <w14:solidFill>
                    <w14:schemeClr w14:val="tx1"/>
                  </w14:solidFill>
                </w14:textFill>
              </w:rPr>
              <w:t>有评委对</w:t>
            </w:r>
            <w:r>
              <w:rPr>
                <w:rFonts w:hint="eastAsia" w:ascii="仿宋_GB2312" w:hAnsi="仿宋_GB2312" w:eastAsia="仿宋_GB2312" w:cs="仿宋_GB2312"/>
                <w:color w:val="000000" w:themeColor="text1"/>
                <w:sz w:val="28"/>
                <w:szCs w:val="36"/>
                <w:highlight w:val="none"/>
                <w:lang w:eastAsia="zh-CN"/>
                <w14:textFill>
                  <w14:solidFill>
                    <w14:schemeClr w14:val="tx1"/>
                  </w14:solidFill>
                </w14:textFill>
              </w:rPr>
              <w:t>申报单位</w:t>
            </w:r>
            <w:r>
              <w:rPr>
                <w:rFonts w:hint="eastAsia" w:ascii="仿宋_GB2312" w:hAnsi="仿宋_GB2312" w:eastAsia="仿宋_GB2312" w:cs="仿宋_GB2312"/>
                <w:color w:val="000000" w:themeColor="text1"/>
                <w:sz w:val="28"/>
                <w:szCs w:val="36"/>
                <w:highlight w:val="none"/>
                <w14:textFill>
                  <w14:solidFill>
                    <w14:schemeClr w14:val="tx1"/>
                  </w14:solidFill>
                </w14:textFill>
              </w:rPr>
              <w:t>的结论为“不合格”</w:t>
            </w:r>
            <w:r>
              <w:rPr>
                <w:rFonts w:hint="eastAsia" w:ascii="仿宋_GB2312" w:hAnsi="仿宋_GB2312" w:eastAsia="仿宋_GB2312" w:cs="仿宋_GB2312"/>
                <w:color w:val="000000" w:themeColor="text1"/>
                <w:sz w:val="28"/>
                <w:szCs w:val="36"/>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36"/>
                <w:highlight w:val="none"/>
                <w14:textFill>
                  <w14:solidFill>
                    <w14:schemeClr w14:val="tx1"/>
                  </w14:solidFill>
                </w14:textFill>
              </w:rPr>
              <w:t>则该</w:t>
            </w:r>
            <w:r>
              <w:rPr>
                <w:rFonts w:hint="eastAsia" w:ascii="仿宋_GB2312" w:hAnsi="仿宋_GB2312" w:eastAsia="仿宋_GB2312" w:cs="仿宋_GB2312"/>
                <w:color w:val="000000" w:themeColor="text1"/>
                <w:sz w:val="28"/>
                <w:szCs w:val="36"/>
                <w:highlight w:val="none"/>
                <w:lang w:eastAsia="zh-CN"/>
                <w14:textFill>
                  <w14:solidFill>
                    <w14:schemeClr w14:val="tx1"/>
                  </w14:solidFill>
                </w14:textFill>
              </w:rPr>
              <w:t>申报单位</w:t>
            </w:r>
            <w:r>
              <w:rPr>
                <w:rFonts w:hint="eastAsia" w:ascii="仿宋_GB2312" w:hAnsi="仿宋_GB2312" w:eastAsia="仿宋_GB2312" w:cs="仿宋_GB2312"/>
                <w:color w:val="000000" w:themeColor="text1"/>
                <w:sz w:val="28"/>
                <w:szCs w:val="36"/>
                <w:highlight w:val="none"/>
                <w14:textFill>
                  <w14:solidFill>
                    <w14:schemeClr w14:val="tx1"/>
                  </w14:solidFill>
                </w14:textFill>
              </w:rPr>
              <w:t>为不合格</w:t>
            </w:r>
            <w:r>
              <w:rPr>
                <w:rFonts w:hint="eastAsia" w:ascii="仿宋_GB2312" w:hAnsi="仿宋_GB2312" w:eastAsia="仿宋_GB2312" w:cs="仿宋_GB2312"/>
                <w:color w:val="000000" w:themeColor="text1"/>
                <w:sz w:val="28"/>
                <w:szCs w:val="36"/>
                <w:highlight w:val="none"/>
                <w:lang w:eastAsia="zh-CN"/>
                <w14:textFill>
                  <w14:solidFill>
                    <w14:schemeClr w14:val="tx1"/>
                  </w14:solidFill>
                </w14:textFill>
              </w:rPr>
              <w:t>申报单位</w:t>
            </w:r>
            <w:r>
              <w:rPr>
                <w:rFonts w:hint="eastAsia" w:ascii="仿宋_GB2312" w:hAnsi="仿宋_GB2312" w:eastAsia="仿宋_GB2312" w:cs="仿宋_GB2312"/>
                <w:color w:val="000000" w:themeColor="text1"/>
                <w:sz w:val="28"/>
                <w:szCs w:val="36"/>
                <w:highlight w:val="none"/>
                <w14:textFill>
                  <w14:solidFill>
                    <w14:schemeClr w14:val="tx1"/>
                  </w14:solidFill>
                </w14:textFill>
              </w:rPr>
              <w:t>，不得进入下一步详细评审。</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pPr>
        <w:pStyle w:val="2"/>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pP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项目评分表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申报单位：</w:t>
      </w:r>
    </w:p>
    <w:tbl>
      <w:tblPr>
        <w:tblStyle w:val="5"/>
        <w:tblpPr w:leftFromText="180" w:rightFromText="180" w:vertAnchor="text" w:horzAnchor="page" w:tblpX="1879" w:tblpY="280"/>
        <w:tblOverlap w:val="never"/>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553"/>
        <w:gridCol w:w="6901"/>
        <w:gridCol w:w="801"/>
      </w:tblGrid>
      <w:tr>
        <w:tblPrEx>
          <w:tblLayout w:type="fixed"/>
          <w:tblCellMar>
            <w:top w:w="28" w:type="dxa"/>
            <w:left w:w="57" w:type="dxa"/>
            <w:bottom w:w="28" w:type="dxa"/>
            <w:right w:w="57" w:type="dxa"/>
          </w:tblCellMar>
        </w:tblPrEx>
        <w:tc>
          <w:tcPr>
            <w:tcW w:w="155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评价内容</w:t>
            </w:r>
          </w:p>
        </w:tc>
        <w:tc>
          <w:tcPr>
            <w:tcW w:w="69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61" w:firstLine="1680"/>
              <w:textAlignment w:val="auto"/>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 xml:space="preserve">评  价  指  标 </w:t>
            </w:r>
          </w:p>
        </w:tc>
        <w:tc>
          <w:tcPr>
            <w:tcW w:w="8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61"/>
              <w:jc w:val="center"/>
              <w:textAlignment w:val="auto"/>
              <w:rPr>
                <w:rFonts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得分</w:t>
            </w:r>
          </w:p>
        </w:tc>
      </w:tr>
      <w:tr>
        <w:tc>
          <w:tcPr>
            <w:tcW w:w="155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w:t>
            </w:r>
            <w:r>
              <w:rPr>
                <w:rFonts w:hint="eastAsia" w:ascii="仿宋" w:hAnsi="仿宋" w:eastAsia="仿宋" w:cs="仿宋"/>
                <w:color w:val="000000" w:themeColor="text1"/>
                <w:szCs w:val="21"/>
                <w:highlight w:val="none"/>
                <w:lang w:eastAsia="zh-CN"/>
                <w14:textFill>
                  <w14:solidFill>
                    <w14:schemeClr w14:val="tx1"/>
                  </w14:solidFill>
                </w14:textFill>
              </w:rPr>
              <w:t>项目申报书编制质量</w:t>
            </w:r>
          </w:p>
        </w:tc>
        <w:tc>
          <w:tcPr>
            <w:tcW w:w="69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符合申报公告要求，内容清晰，含项目评审所需内容。</w:t>
            </w:r>
            <w:r>
              <w:rPr>
                <w:rFonts w:hint="eastAsia" w:ascii="仿宋" w:hAnsi="仿宋" w:eastAsia="仿宋" w:cs="仿宋"/>
                <w:color w:val="000000" w:themeColor="text1"/>
                <w:szCs w:val="21"/>
                <w:highlight w:val="none"/>
                <w:lang w:val="en-US" w:eastAsia="zh-CN"/>
                <w14:textFill>
                  <w14:solidFill>
                    <w14:schemeClr w14:val="tx1"/>
                  </w14:solidFill>
                </w14:textFill>
              </w:rPr>
              <w:t>较差的，得4分；一般的，得7分；较好的，得10分。</w:t>
            </w:r>
          </w:p>
        </w:tc>
        <w:tc>
          <w:tcPr>
            <w:tcW w:w="8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61"/>
              <w:jc w:val="center"/>
              <w:textAlignment w:val="auto"/>
              <w:rPr>
                <w:rFonts w:hint="eastAsia" w:ascii="仿宋" w:hAnsi="仿宋" w:eastAsia="仿宋" w:cs="仿宋"/>
                <w:b/>
                <w:bCs/>
                <w:color w:val="000000" w:themeColor="text1"/>
                <w:szCs w:val="21"/>
                <w:highlight w:val="none"/>
                <w14:textFill>
                  <w14:solidFill>
                    <w14:schemeClr w14:val="tx1"/>
                  </w14:solidFill>
                </w14:textFill>
              </w:rPr>
            </w:pPr>
          </w:p>
        </w:tc>
      </w:tr>
      <w:tr>
        <w:trPr>
          <w:trHeight w:val="689" w:hRule="atLeast"/>
        </w:trPr>
        <w:tc>
          <w:tcPr>
            <w:tcW w:w="155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三、</w:t>
            </w:r>
            <w:r>
              <w:rPr>
                <w:rFonts w:hint="eastAsia" w:ascii="仿宋" w:hAnsi="仿宋" w:eastAsia="仿宋" w:cs="仿宋"/>
                <w:color w:val="000000" w:themeColor="text1"/>
                <w:szCs w:val="21"/>
                <w:highlight w:val="none"/>
                <w:lang w:eastAsia="zh-CN"/>
                <w14:textFill>
                  <w14:solidFill>
                    <w14:schemeClr w14:val="tx1"/>
                  </w14:solidFill>
                </w14:textFill>
              </w:rPr>
              <w:t>工作基础条件</w:t>
            </w:r>
          </w:p>
        </w:tc>
        <w:tc>
          <w:tcPr>
            <w:tcW w:w="69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eastAsia="zh-CN"/>
                <w14:textFill>
                  <w14:solidFill>
                    <w14:schemeClr w14:val="tx1"/>
                  </w14:solidFill>
                </w14:textFill>
              </w:rPr>
              <w:t>具有相应的</w:t>
            </w:r>
            <w:r>
              <w:rPr>
                <w:rFonts w:hint="eastAsia" w:ascii="仿宋" w:hAnsi="仿宋" w:eastAsia="仿宋" w:cs="仿宋"/>
                <w:color w:val="000000" w:themeColor="text1"/>
                <w:szCs w:val="21"/>
                <w:highlight w:val="none"/>
                <w:lang w:val="en-US" w:eastAsia="zh-CN"/>
                <w14:textFill>
                  <w14:solidFill>
                    <w14:schemeClr w14:val="tx1"/>
                  </w14:solidFill>
                </w14:textFill>
              </w:rPr>
              <w:t>工作</w:t>
            </w:r>
            <w:r>
              <w:rPr>
                <w:rFonts w:hint="eastAsia" w:ascii="仿宋" w:hAnsi="仿宋" w:eastAsia="仿宋" w:cs="仿宋"/>
                <w:color w:val="000000" w:themeColor="text1"/>
                <w:szCs w:val="21"/>
                <w:highlight w:val="none"/>
                <w:lang w:eastAsia="zh-CN"/>
                <w14:textFill>
                  <w14:solidFill>
                    <w14:schemeClr w14:val="tx1"/>
                  </w14:solidFill>
                </w14:textFill>
              </w:rPr>
              <w:t>人员，</w:t>
            </w:r>
            <w:r>
              <w:rPr>
                <w:rFonts w:hint="eastAsia" w:ascii="仿宋" w:hAnsi="仿宋" w:eastAsia="仿宋" w:cs="仿宋"/>
                <w:color w:val="000000" w:themeColor="text1"/>
                <w:szCs w:val="21"/>
                <w:highlight w:val="none"/>
                <w:lang w:val="en-US" w:eastAsia="zh-CN"/>
                <w14:textFill>
                  <w14:solidFill>
                    <w14:schemeClr w14:val="tx1"/>
                  </w14:solidFill>
                </w14:textFill>
              </w:rPr>
              <w:t>5-10人，得5分；11-20人，得10分；21人以上，</w:t>
            </w:r>
            <w:r>
              <w:rPr>
                <w:rFonts w:hint="eastAsia" w:ascii="仿宋" w:hAnsi="仿宋" w:eastAsia="仿宋" w:cs="仿宋"/>
                <w:color w:val="000000" w:themeColor="text1"/>
                <w:szCs w:val="21"/>
                <w:highlight w:val="none"/>
                <w:lang w:eastAsia="zh-CN"/>
                <w14:textFill>
                  <w14:solidFill>
                    <w14:schemeClr w14:val="tx1"/>
                  </w14:solidFill>
                </w14:textFill>
              </w:rPr>
              <w:t>得</w:t>
            </w:r>
            <w:r>
              <w:rPr>
                <w:rFonts w:hint="eastAsia" w:ascii="仿宋" w:hAnsi="仿宋" w:eastAsia="仿宋" w:cs="仿宋"/>
                <w:color w:val="000000" w:themeColor="text1"/>
                <w:szCs w:val="21"/>
                <w:highlight w:val="none"/>
                <w:lang w:val="en-US" w:eastAsia="zh-CN"/>
                <w14:textFill>
                  <w14:solidFill>
                    <w14:schemeClr w14:val="tx1"/>
                  </w14:solidFill>
                </w14:textFill>
              </w:rPr>
              <w:t>15分</w:t>
            </w:r>
            <w:r>
              <w:rPr>
                <w:rFonts w:hint="eastAsia" w:ascii="仿宋" w:hAnsi="仿宋" w:eastAsia="仿宋" w:cs="仿宋"/>
                <w:color w:val="000000" w:themeColor="text1"/>
                <w:szCs w:val="21"/>
                <w:highlight w:val="none"/>
                <w:lang w:eastAsia="zh-CN"/>
                <w14:textFill>
                  <w14:solidFill>
                    <w14:schemeClr w14:val="tx1"/>
                  </w14:solidFill>
                </w14:textFill>
              </w:rPr>
              <w:t>。</w:t>
            </w:r>
          </w:p>
        </w:tc>
        <w:tc>
          <w:tcPr>
            <w:tcW w:w="801" w:type="dxa"/>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Cs w:val="21"/>
                <w:highlight w:val="none"/>
                <w14:textFill>
                  <w14:solidFill>
                    <w14:schemeClr w14:val="tx1"/>
                  </w14:solidFill>
                </w14:textFill>
              </w:rPr>
            </w:pPr>
          </w:p>
        </w:tc>
      </w:tr>
      <w:tr>
        <w:tblPrEx>
          <w:tblLayout w:type="fixed"/>
          <w:tblCellMar>
            <w:top w:w="28" w:type="dxa"/>
            <w:left w:w="57" w:type="dxa"/>
            <w:bottom w:w="28" w:type="dxa"/>
            <w:right w:w="57" w:type="dxa"/>
          </w:tblCellMar>
        </w:tblPrEx>
        <w:trPr>
          <w:trHeight w:val="681" w:hRule="atLeast"/>
        </w:trPr>
        <w:tc>
          <w:tcPr>
            <w:tcW w:w="155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Cs w:val="21"/>
                <w:highlight w:val="none"/>
                <w14:textFill>
                  <w14:solidFill>
                    <w14:schemeClr w14:val="tx1"/>
                  </w14:solidFill>
                </w14:textFill>
              </w:rPr>
            </w:pPr>
          </w:p>
        </w:tc>
        <w:tc>
          <w:tcPr>
            <w:tcW w:w="69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具备50-100平方米的培训场地，得5分；具备100平方米以上的培训场地，得10分。</w:t>
            </w:r>
          </w:p>
        </w:tc>
        <w:tc>
          <w:tcPr>
            <w:tcW w:w="801" w:type="dxa"/>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Cs w:val="21"/>
                <w:highlight w:val="none"/>
                <w14:textFill>
                  <w14:solidFill>
                    <w14:schemeClr w14:val="tx1"/>
                  </w14:solidFill>
                </w14:textFill>
              </w:rPr>
            </w:pPr>
          </w:p>
        </w:tc>
      </w:tr>
      <w:tr>
        <w:tblPrEx>
          <w:tblLayout w:type="fixed"/>
          <w:tblCellMar>
            <w:top w:w="28" w:type="dxa"/>
            <w:left w:w="57" w:type="dxa"/>
            <w:bottom w:w="28" w:type="dxa"/>
            <w:right w:w="57" w:type="dxa"/>
          </w:tblCellMar>
        </w:tblPrEx>
        <w:trPr>
          <w:trHeight w:val="548" w:hRule="atLeast"/>
        </w:trPr>
        <w:tc>
          <w:tcPr>
            <w:tcW w:w="155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Cs w:val="21"/>
                <w:highlight w:val="none"/>
                <w14:textFill>
                  <w14:solidFill>
                    <w14:schemeClr w14:val="tx1"/>
                  </w14:solidFill>
                </w14:textFill>
              </w:rPr>
            </w:pPr>
          </w:p>
        </w:tc>
        <w:tc>
          <w:tcPr>
            <w:tcW w:w="69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3、电商平台的品种种类齐全（产品非自产）情况。较少的，得4分；一般的，得7分；较多的，得10分。</w:t>
            </w:r>
          </w:p>
        </w:tc>
        <w:tc>
          <w:tcPr>
            <w:tcW w:w="801" w:type="dxa"/>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Cs w:val="21"/>
                <w:highlight w:val="none"/>
                <w14:textFill>
                  <w14:solidFill>
                    <w14:schemeClr w14:val="tx1"/>
                  </w14:solidFill>
                </w14:textFill>
              </w:rPr>
            </w:pPr>
          </w:p>
        </w:tc>
      </w:tr>
      <w:tr>
        <w:tblPrEx>
          <w:tblLayout w:type="fixed"/>
          <w:tblCellMar>
            <w:top w:w="28" w:type="dxa"/>
            <w:left w:w="57" w:type="dxa"/>
            <w:bottom w:w="28" w:type="dxa"/>
            <w:right w:w="57" w:type="dxa"/>
          </w:tblCellMar>
        </w:tblPrEx>
        <w:trPr>
          <w:trHeight w:val="635" w:hRule="atLeast"/>
        </w:trPr>
        <w:tc>
          <w:tcPr>
            <w:tcW w:w="155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Cs w:val="21"/>
                <w:highlight w:val="none"/>
                <w14:textFill>
                  <w14:solidFill>
                    <w14:schemeClr w14:val="tx1"/>
                  </w14:solidFill>
                </w14:textFill>
              </w:rPr>
            </w:pPr>
          </w:p>
        </w:tc>
        <w:tc>
          <w:tcPr>
            <w:tcW w:w="6901" w:type="dxa"/>
            <w:vAlign w:val="center"/>
          </w:tcPr>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default" w:ascii="仿宋" w:hAnsi="仿宋" w:eastAsia="仿宋" w:cs="仿宋"/>
                <w:color w:val="000000" w:themeColor="text1"/>
                <w:szCs w:val="21"/>
                <w:highlight w:val="none"/>
                <w:lang w:val="en-US"/>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4、财务状况，较差的，得5分；一般的，得10分；较好的，得15分。</w:t>
            </w:r>
          </w:p>
        </w:tc>
        <w:tc>
          <w:tcPr>
            <w:tcW w:w="801" w:type="dxa"/>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Cs w:val="21"/>
                <w:highlight w:val="none"/>
                <w14:textFill>
                  <w14:solidFill>
                    <w14:schemeClr w14:val="tx1"/>
                  </w14:solidFill>
                </w14:textFill>
              </w:rPr>
            </w:pPr>
          </w:p>
        </w:tc>
      </w:tr>
      <w:tr>
        <w:tblPrEx>
          <w:tblLayout w:type="fixed"/>
          <w:tblCellMar>
            <w:top w:w="28" w:type="dxa"/>
            <w:left w:w="57" w:type="dxa"/>
            <w:bottom w:w="28" w:type="dxa"/>
            <w:right w:w="57" w:type="dxa"/>
          </w:tblCellMar>
        </w:tblPrEx>
        <w:trPr>
          <w:trHeight w:val="762" w:hRule="atLeast"/>
        </w:trPr>
        <w:tc>
          <w:tcPr>
            <w:tcW w:w="1553" w:type="dxa"/>
            <w:vAlign w:val="center"/>
          </w:tcPr>
          <w:p>
            <w:pPr>
              <w:keepNext w:val="0"/>
              <w:keepLines w:val="0"/>
              <w:pageBreakBefore w:val="0"/>
              <w:widowControl w:val="0"/>
              <w:tabs>
                <w:tab w:val="left" w:pos="-61"/>
              </w:tabs>
              <w:kinsoku/>
              <w:wordWrap/>
              <w:overflowPunct/>
              <w:topLinePunct w:val="0"/>
              <w:autoSpaceDE/>
              <w:autoSpaceDN/>
              <w:bidi w:val="0"/>
              <w:adjustRightInd w:val="0"/>
              <w:snapToGrid w:val="0"/>
              <w:spacing w:line="400" w:lineRule="exact"/>
              <w:ind w:left="-61"/>
              <w:textAlignment w:val="auto"/>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三</w:t>
            </w:r>
            <w:r>
              <w:rPr>
                <w:rFonts w:hint="eastAsia" w:ascii="仿宋" w:hAnsi="仿宋" w:eastAsia="仿宋" w:cs="仿宋"/>
                <w:color w:val="000000" w:themeColor="text1"/>
                <w:szCs w:val="21"/>
                <w:highlight w:val="none"/>
                <w14:textFill>
                  <w14:solidFill>
                    <w14:schemeClr w14:val="tx1"/>
                  </w14:solidFill>
                </w14:textFill>
              </w:rPr>
              <w:t>、实施内容及技术路线</w:t>
            </w:r>
          </w:p>
        </w:tc>
        <w:tc>
          <w:tcPr>
            <w:tcW w:w="69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、实施内容设置的合理性与系统性，进度安排、工作计划</w:t>
            </w:r>
            <w:r>
              <w:rPr>
                <w:rFonts w:hint="eastAsia" w:ascii="仿宋" w:hAnsi="仿宋" w:eastAsia="仿宋" w:cs="仿宋"/>
                <w:color w:val="000000" w:themeColor="text1"/>
                <w:szCs w:val="21"/>
                <w:highlight w:val="none"/>
                <w:lang w:eastAsia="zh-CN"/>
                <w14:textFill>
                  <w14:solidFill>
                    <w14:schemeClr w14:val="tx1"/>
                  </w14:solidFill>
                </w14:textFill>
              </w:rPr>
              <w:t>等情况。</w:t>
            </w:r>
            <w:r>
              <w:rPr>
                <w:rFonts w:hint="eastAsia" w:ascii="仿宋" w:hAnsi="仿宋" w:eastAsia="仿宋" w:cs="仿宋"/>
                <w:color w:val="000000" w:themeColor="text1"/>
                <w:szCs w:val="21"/>
                <w:highlight w:val="none"/>
                <w:lang w:val="en-US" w:eastAsia="zh-CN"/>
                <w14:textFill>
                  <w14:solidFill>
                    <w14:schemeClr w14:val="tx1"/>
                  </w14:solidFill>
                </w14:textFill>
              </w:rPr>
              <w:t>较差的，得4分；一般的，得7分；较好的，得10分。</w:t>
            </w:r>
          </w:p>
        </w:tc>
        <w:tc>
          <w:tcPr>
            <w:tcW w:w="8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Cs w:val="21"/>
                <w:highlight w:val="none"/>
                <w14:textFill>
                  <w14:solidFill>
                    <w14:schemeClr w14:val="tx1"/>
                  </w14:solidFill>
                </w14:textFill>
              </w:rPr>
            </w:pPr>
          </w:p>
        </w:tc>
      </w:tr>
      <w:tr>
        <w:tblPrEx>
          <w:tblLayout w:type="fixed"/>
          <w:tblCellMar>
            <w:top w:w="28" w:type="dxa"/>
            <w:left w:w="57" w:type="dxa"/>
            <w:bottom w:w="28" w:type="dxa"/>
            <w:right w:w="57" w:type="dxa"/>
          </w:tblCellMar>
        </w:tblPrEx>
        <w:trPr>
          <w:trHeight w:val="883" w:hRule="atLeast"/>
        </w:trPr>
        <w:tc>
          <w:tcPr>
            <w:tcW w:w="1553"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四、效益分析</w:t>
            </w:r>
          </w:p>
        </w:tc>
        <w:tc>
          <w:tcPr>
            <w:tcW w:w="69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绩效目标设置合理性，</w:t>
            </w:r>
            <w:r>
              <w:rPr>
                <w:rFonts w:hint="eastAsia" w:ascii="仿宋" w:hAnsi="仿宋" w:eastAsia="仿宋" w:cs="仿宋"/>
                <w:color w:val="000000" w:themeColor="text1"/>
                <w:szCs w:val="21"/>
                <w:highlight w:val="none"/>
                <w:lang w:val="en-US" w:eastAsia="zh-CN"/>
                <w14:textFill>
                  <w14:solidFill>
                    <w14:schemeClr w14:val="tx1"/>
                  </w14:solidFill>
                </w14:textFill>
              </w:rPr>
              <w:t>较差的，得4分；一般的，得7分；较好的，得10分。</w:t>
            </w:r>
          </w:p>
        </w:tc>
        <w:tc>
          <w:tcPr>
            <w:tcW w:w="801"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 w:hAnsi="仿宋" w:eastAsia="仿宋" w:cs="仿宋"/>
                <w:color w:val="000000" w:themeColor="text1"/>
                <w:szCs w:val="21"/>
                <w:highlight w:val="none"/>
                <w14:textFill>
                  <w14:solidFill>
                    <w14:schemeClr w14:val="tx1"/>
                  </w14:solidFill>
                </w14:textFill>
              </w:rPr>
            </w:pPr>
          </w:p>
        </w:tc>
      </w:tr>
      <w:tr>
        <w:tblPrEx>
          <w:tblLayout w:type="fixed"/>
          <w:tblCellMar>
            <w:top w:w="28" w:type="dxa"/>
            <w:left w:w="57" w:type="dxa"/>
            <w:bottom w:w="28" w:type="dxa"/>
            <w:right w:w="57" w:type="dxa"/>
          </w:tblCellMar>
        </w:tblPrEx>
        <w:trPr>
          <w:trHeight w:val="635" w:hRule="atLeast"/>
        </w:trPr>
        <w:tc>
          <w:tcPr>
            <w:tcW w:w="1553" w:type="dxa"/>
            <w:vMerge w:val="restart"/>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五、加分指标</w:t>
            </w:r>
          </w:p>
        </w:tc>
        <w:tc>
          <w:tcPr>
            <w:tcW w:w="6901" w:type="dxa"/>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1、整合农产品、物流、包装、打包分拣等资源的能力情况，较差的，得4分；一般的，得7分；较好的，得10分。</w:t>
            </w:r>
          </w:p>
        </w:tc>
        <w:tc>
          <w:tcPr>
            <w:tcW w:w="801" w:type="dxa"/>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textAlignment w:val="auto"/>
              <w:rPr>
                <w:rFonts w:hint="default" w:ascii="仿宋" w:hAnsi="仿宋" w:eastAsia="仿宋" w:cs="仿宋"/>
                <w:color w:val="000000" w:themeColor="text1"/>
                <w:szCs w:val="21"/>
                <w:highlight w:val="none"/>
                <w:lang w:val="en-US" w:eastAsia="zh-CN"/>
                <w14:textFill>
                  <w14:solidFill>
                    <w14:schemeClr w14:val="tx1"/>
                  </w14:solidFill>
                </w14:textFill>
              </w:rPr>
            </w:pPr>
          </w:p>
        </w:tc>
      </w:tr>
      <w:tr>
        <w:tblPrEx>
          <w:tblLayout w:type="fixed"/>
          <w:tblCellMar>
            <w:top w:w="28" w:type="dxa"/>
            <w:left w:w="57" w:type="dxa"/>
            <w:bottom w:w="28" w:type="dxa"/>
            <w:right w:w="57" w:type="dxa"/>
          </w:tblCellMar>
        </w:tblPrEx>
        <w:trPr>
          <w:trHeight w:val="635" w:hRule="atLeast"/>
        </w:trPr>
        <w:tc>
          <w:tcPr>
            <w:tcW w:w="1553" w:type="dxa"/>
            <w:vMerge w:val="continue"/>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center"/>
              <w:textAlignment w:val="auto"/>
              <w:rPr>
                <w:color w:val="000000" w:themeColor="text1"/>
                <w:highlight w:val="none"/>
                <w14:textFill>
                  <w14:solidFill>
                    <w14:schemeClr w14:val="tx1"/>
                  </w14:solidFill>
                </w14:textFill>
              </w:rPr>
            </w:pPr>
          </w:p>
        </w:tc>
        <w:tc>
          <w:tcPr>
            <w:tcW w:w="6901" w:type="dxa"/>
            <w:vAlign w:val="center"/>
          </w:tcPr>
          <w:p>
            <w:pPr>
              <w:keepNext w:val="0"/>
              <w:keepLines w:val="0"/>
              <w:pageBreakBefore w:val="0"/>
              <w:widowControl w:val="0"/>
              <w:numPr>
                <w:ilvl w:val="0"/>
                <w:numId w:val="0"/>
              </w:numPr>
              <w:tabs>
                <w:tab w:val="left" w:pos="8403"/>
                <w:tab w:val="left" w:pos="9453"/>
              </w:tabs>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2、农产品电商公益活动情况，每举办一场得1分，最高得10分。</w:t>
            </w:r>
          </w:p>
        </w:tc>
        <w:tc>
          <w:tcPr>
            <w:tcW w:w="801" w:type="dxa"/>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color w:val="000000" w:themeColor="text1"/>
                <w:szCs w:val="21"/>
                <w:highlight w:val="none"/>
                <w:lang w:eastAsia="zh-CN"/>
                <w14:textFill>
                  <w14:solidFill>
                    <w14:schemeClr w14:val="tx1"/>
                  </w14:solidFill>
                </w14:textFill>
              </w:rPr>
            </w:pPr>
          </w:p>
        </w:tc>
      </w:tr>
      <w:tr>
        <w:tblPrEx>
          <w:tblLayout w:type="fixed"/>
          <w:tblCellMar>
            <w:top w:w="28" w:type="dxa"/>
            <w:left w:w="57" w:type="dxa"/>
            <w:bottom w:w="28" w:type="dxa"/>
            <w:right w:w="57" w:type="dxa"/>
          </w:tblCellMar>
        </w:tblPrEx>
        <w:trPr>
          <w:trHeight w:val="582" w:hRule="atLeast"/>
        </w:trPr>
        <w:tc>
          <w:tcPr>
            <w:tcW w:w="9255" w:type="dxa"/>
            <w:gridSpan w:val="3"/>
            <w:vAlign w:val="center"/>
          </w:tcPr>
          <w:p>
            <w:pPr>
              <w:keepNext w:val="0"/>
              <w:keepLines w:val="0"/>
              <w:pageBreakBefore w:val="0"/>
              <w:widowControl w:val="0"/>
              <w:tabs>
                <w:tab w:val="left" w:pos="8403"/>
                <w:tab w:val="left" w:pos="9453"/>
              </w:tabs>
              <w:kinsoku/>
              <w:wordWrap/>
              <w:overflowPunct/>
              <w:topLinePunct w:val="0"/>
              <w:autoSpaceDE/>
              <w:autoSpaceDN/>
              <w:bidi w:val="0"/>
              <w:adjustRightInd w:val="0"/>
              <w:snapToGrid w:val="0"/>
              <w:spacing w:line="400" w:lineRule="exact"/>
              <w:textAlignment w:val="auto"/>
              <w:rPr>
                <w:rFonts w:hint="eastAsia" w:ascii="仿宋" w:hAnsi="仿宋" w:eastAsia="仿宋_GB2312" w:cs="仿宋"/>
                <w:color w:val="000000" w:themeColor="text1"/>
                <w:szCs w:val="21"/>
                <w:highlight w:val="none"/>
                <w:lang w:val="en-US" w:eastAsia="zh-CN"/>
                <w14:textFill>
                  <w14:solidFill>
                    <w14:schemeClr w14:val="tx1"/>
                  </w14:solidFill>
                </w14:textFill>
              </w:rPr>
            </w:pPr>
            <w:r>
              <w:rPr>
                <w:rFonts w:hint="eastAsia" w:ascii="仿宋_GB2312" w:hAnsi="宋体" w:eastAsia="仿宋_GB2312"/>
                <w:b w:val="0"/>
                <w:bCs w:val="0"/>
                <w:snapToGrid w:val="0"/>
                <w:color w:val="000000" w:themeColor="text1"/>
                <w:kern w:val="0"/>
                <w:sz w:val="28"/>
                <w:szCs w:val="28"/>
                <w:highlight w:val="none"/>
                <w:lang w:eastAsia="zh-CN"/>
                <w14:textFill>
                  <w14:solidFill>
                    <w14:schemeClr w14:val="tx1"/>
                  </w14:solidFill>
                </w14:textFill>
              </w:rPr>
              <w:t>备注：</w:t>
            </w:r>
            <w:r>
              <w:rPr>
                <w:rFonts w:hint="eastAsia" w:ascii="仿宋_GB2312" w:hAnsi="宋体" w:eastAsia="仿宋_GB2312"/>
                <w:b w:val="0"/>
                <w:bCs w:val="0"/>
                <w:snapToGrid w:val="0"/>
                <w:color w:val="000000" w:themeColor="text1"/>
                <w:kern w:val="0"/>
                <w:sz w:val="28"/>
                <w:szCs w:val="28"/>
                <w:highlight w:val="none"/>
                <w:lang w:val="en-US" w:eastAsia="zh-CN"/>
                <w14:textFill>
                  <w14:solidFill>
                    <w14:schemeClr w14:val="tx1"/>
                  </w14:solidFill>
                </w14:textFill>
              </w:rPr>
              <w:t>1.</w:t>
            </w:r>
            <w:r>
              <w:rPr>
                <w:rFonts w:hint="eastAsia" w:ascii="仿宋_GB2312" w:hAnsi="宋体" w:eastAsia="仿宋_GB2312"/>
                <w:b w:val="0"/>
                <w:bCs w:val="0"/>
                <w:snapToGrid w:val="0"/>
                <w:color w:val="000000" w:themeColor="text1"/>
                <w:kern w:val="0"/>
                <w:sz w:val="28"/>
                <w:szCs w:val="28"/>
                <w:highlight w:val="none"/>
                <w14:textFill>
                  <w14:solidFill>
                    <w14:schemeClr w14:val="tx1"/>
                  </w14:solidFill>
                </w14:textFill>
              </w:rPr>
              <w:t>总分</w:t>
            </w:r>
            <w:r>
              <w:rPr>
                <w:rFonts w:hint="eastAsia" w:ascii="仿宋_GB2312" w:hAnsi="宋体" w:eastAsia="仿宋_GB2312"/>
                <w:b w:val="0"/>
                <w:bCs w:val="0"/>
                <w:snapToGrid w:val="0"/>
                <w:color w:val="000000" w:themeColor="text1"/>
                <w:kern w:val="0"/>
                <w:sz w:val="28"/>
                <w:szCs w:val="28"/>
                <w:highlight w:val="none"/>
                <w:lang w:val="en-US" w:eastAsia="zh-CN"/>
                <w14:textFill>
                  <w14:solidFill>
                    <w14:schemeClr w14:val="tx1"/>
                  </w14:solidFill>
                </w14:textFill>
              </w:rPr>
              <w:t>100；2.</w:t>
            </w:r>
            <w:r>
              <w:rPr>
                <w:rFonts w:hint="eastAsia" w:ascii="仿宋_GB2312" w:hAnsi="宋体" w:eastAsia="仿宋_GB2312"/>
                <w:b w:val="0"/>
                <w:bCs w:val="0"/>
                <w:snapToGrid w:val="0"/>
                <w:color w:val="000000" w:themeColor="text1"/>
                <w:kern w:val="0"/>
                <w:sz w:val="28"/>
                <w:szCs w:val="28"/>
                <w:highlight w:val="none"/>
                <w14:textFill>
                  <w14:solidFill>
                    <w14:schemeClr w14:val="tx1"/>
                  </w14:solidFill>
                </w14:textFill>
              </w:rPr>
              <w:t>各评审小组成员按规定的范围内进行量化打分，并统计得分</w:t>
            </w:r>
            <w:r>
              <w:rPr>
                <w:rFonts w:hint="eastAsia" w:ascii="仿宋_GB2312" w:hAnsi="宋体" w:eastAsia="仿宋_GB2312"/>
                <w:b w:val="0"/>
                <w:bCs w:val="0"/>
                <w:snapToGrid w:val="0"/>
                <w:color w:val="000000" w:themeColor="text1"/>
                <w:kern w:val="0"/>
                <w:sz w:val="28"/>
                <w:szCs w:val="28"/>
                <w:highlight w:val="none"/>
                <w:lang w:eastAsia="zh-CN"/>
                <w14:textFill>
                  <w14:solidFill>
                    <w14:schemeClr w14:val="tx1"/>
                  </w14:solidFill>
                </w14:textFill>
              </w:rPr>
              <w:t>；</w:t>
            </w:r>
            <w:r>
              <w:rPr>
                <w:rFonts w:hint="eastAsia" w:ascii="仿宋_GB2312" w:hAnsi="宋体" w:eastAsia="仿宋_GB2312"/>
                <w:b w:val="0"/>
                <w:bCs w:val="0"/>
                <w:snapToGrid w:val="0"/>
                <w:color w:val="000000" w:themeColor="text1"/>
                <w:kern w:val="0"/>
                <w:sz w:val="28"/>
                <w:szCs w:val="28"/>
                <w:highlight w:val="none"/>
                <w:lang w:val="en-US" w:eastAsia="zh-CN"/>
                <w14:textFill>
                  <w14:solidFill>
                    <w14:schemeClr w14:val="tx1"/>
                  </w14:solidFill>
                </w14:textFill>
              </w:rPr>
              <w:t>3</w:t>
            </w:r>
            <w:r>
              <w:rPr>
                <w:rFonts w:hint="eastAsia" w:ascii="仿宋_GB2312" w:hAnsi="宋体" w:eastAsia="仿宋_GB2312"/>
                <w:b w:val="0"/>
                <w:bCs w:val="0"/>
                <w:snapToGrid w:val="0"/>
                <w:color w:val="000000" w:themeColor="text1"/>
                <w:kern w:val="0"/>
                <w:sz w:val="28"/>
                <w:szCs w:val="28"/>
                <w:highlight w:val="none"/>
                <w14:textFill>
                  <w14:solidFill>
                    <w14:schemeClr w14:val="tx1"/>
                  </w14:solidFill>
                </w14:textFill>
              </w:rPr>
              <w:t>.本表中所要求提交的与评分项目相关的各类证明文件或资料，需清晰反映相关的数据及印章等，如模糊不清无法辨别的，视为未按要求提交，该项评分为零分。</w:t>
            </w:r>
            <w:r>
              <w:rPr>
                <w:rFonts w:hint="eastAsia" w:ascii="仿宋_GB2312" w:eastAsia="仿宋_GB2312"/>
                <w:b w:val="0"/>
                <w:bCs w:val="0"/>
                <w:color w:val="000000" w:themeColor="text1"/>
                <w:sz w:val="28"/>
                <w:szCs w:val="28"/>
                <w:highlight w:val="none"/>
                <w:lang w:val="en-US" w:eastAsia="zh-CN"/>
                <w14:textFill>
                  <w14:solidFill>
                    <w14:schemeClr w14:val="tx1"/>
                  </w14:solidFill>
                </w14:textFill>
              </w:rPr>
              <w:t>4</w:t>
            </w:r>
            <w:r>
              <w:rPr>
                <w:rFonts w:hint="eastAsia" w:ascii="仿宋_GB2312" w:eastAsia="仿宋_GB2312"/>
                <w:b w:val="0"/>
                <w:bCs w:val="0"/>
                <w:color w:val="000000" w:themeColor="text1"/>
                <w:sz w:val="28"/>
                <w:szCs w:val="28"/>
                <w:highlight w:val="none"/>
                <w14:textFill>
                  <w14:solidFill>
                    <w14:schemeClr w14:val="tx1"/>
                  </w14:solidFill>
                </w14:textFill>
              </w:rPr>
              <w:t>.</w:t>
            </w:r>
            <w:r>
              <w:rPr>
                <w:rFonts w:hint="eastAsia" w:ascii="仿宋_GB2312" w:hAnsi="宋体" w:eastAsia="仿宋_GB2312"/>
                <w:b w:val="0"/>
                <w:bCs w:val="0"/>
                <w:snapToGrid w:val="0"/>
                <w:color w:val="000000" w:themeColor="text1"/>
                <w:kern w:val="0"/>
                <w:sz w:val="28"/>
                <w:szCs w:val="28"/>
                <w:highlight w:val="none"/>
                <w14:textFill>
                  <w14:solidFill>
                    <w14:schemeClr w14:val="tx1"/>
                  </w14:solidFill>
                </w14:textFill>
              </w:rPr>
              <w:t>本表中所要求提交的与评分项目相关的各类证明文件或资料如涉及有效期的，须在有效期内，否则该项评分为零分。</w:t>
            </w:r>
          </w:p>
        </w:tc>
      </w:tr>
    </w:tbl>
    <w:p>
      <w:pPr>
        <w:adjustRightInd w:val="0"/>
        <w:snapToGrid w:val="0"/>
        <w:rPr>
          <w:rFonts w:hint="eastAsia" w:cs="宋体"/>
          <w:b/>
          <w:bCs/>
          <w:color w:val="000000" w:themeColor="text1"/>
          <w:sz w:val="32"/>
          <w:szCs w:val="40"/>
          <w:highlight w:val="non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00000000" w:usb1="00000000" w:usb2="0000003F" w:usb3="00000000" w:csb0="603F01FF" w:csb1="FFFF0000"/>
  </w:font>
  <w:font w:name="华文中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spacing w:line="360" w:lineRule="auto"/>
      <w:ind w:firstLine="420"/>
      <w:jc w:val="left"/>
    </w:pPr>
    <w:rPr>
      <w:rFonts w:ascii="Calibri" w:hAnsi="Calibri" w:eastAsia="宋体"/>
      <w:sz w:val="21"/>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Heading3"/>
    <w:basedOn w:val="1"/>
    <w:next w:val="1"/>
    <w:qFormat/>
    <w:uiPriority w:val="0"/>
    <w:pPr>
      <w:keepNext/>
      <w:keepLines/>
    </w:pPr>
    <w:rPr>
      <w:rFonts w:eastAsia="仿宋"/>
      <w:sz w:val="28"/>
    </w:rPr>
  </w:style>
  <w:style w:type="paragraph" w:customStyle="1" w:styleId="8">
    <w:name w:val="纯文本1"/>
    <w:basedOn w:val="1"/>
    <w:qFormat/>
    <w:uiPriority w:val="0"/>
    <w:pPr>
      <w:jc w:val="left"/>
    </w:pPr>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2021-09-01T11:17:00Z</dcterms:created>
  <dc:creator>叶锦佩</dc:creator>
  <cp:lastModifiedBy>iPhone</cp:lastModifiedBy>
  <cp:lastPrinted>2021-11-26T11:00:00Z</cp:lastPrinted>
  <dcterms:modified xsi:type="dcterms:W3CDTF">2021-12-06T11:19:19Z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2052-10.10.0</vt:lpwstr>
  </property>
</Properties>
</file>