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52" w:rsidRDefault="00EB2196" w:rsidP="00E36435">
      <w:pPr>
        <w:widowControl/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/>
          <w:b/>
          <w:bCs/>
          <w:kern w:val="36"/>
          <w:sz w:val="44"/>
          <w:szCs w:val="44"/>
        </w:rPr>
      </w:pPr>
      <w:r w:rsidRPr="00C64BC4"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江门市市场监督管理局关于</w:t>
      </w:r>
      <w:r w:rsidR="003E0CC5"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4</w:t>
      </w:r>
      <w:r w:rsidRPr="00C64BC4"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批次食品</w:t>
      </w:r>
    </w:p>
    <w:p w:rsidR="00233552" w:rsidRDefault="00233552" w:rsidP="00E36435">
      <w:pPr>
        <w:widowControl/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/>
          <w:b/>
          <w:bCs/>
          <w:kern w:val="36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不</w:t>
      </w:r>
      <w:r w:rsidR="00EB2196" w:rsidRPr="00C64BC4"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合格情况的通告</w:t>
      </w:r>
    </w:p>
    <w:p w:rsidR="00C64BC4" w:rsidRDefault="00233552" w:rsidP="00E36435">
      <w:pPr>
        <w:widowControl/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/>
          <w:b/>
          <w:bCs/>
          <w:kern w:val="36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kern w:val="36"/>
          <w:sz w:val="44"/>
          <w:szCs w:val="44"/>
        </w:rPr>
        <w:t>（2021年第9期）</w:t>
      </w:r>
    </w:p>
    <w:p w:rsidR="00E36435" w:rsidRPr="00CC3AF5" w:rsidRDefault="00E36435" w:rsidP="00E36435">
      <w:pPr>
        <w:widowControl/>
        <w:shd w:val="clear" w:color="auto" w:fill="FFFFFF"/>
        <w:spacing w:line="525" w:lineRule="atLeast"/>
        <w:jc w:val="center"/>
        <w:outlineLvl w:val="0"/>
        <w:rPr>
          <w:rFonts w:ascii="微软雅黑" w:eastAsia="微软雅黑" w:hAnsi="微软雅黑" w:cs="宋体"/>
          <w:b/>
          <w:bCs/>
          <w:color w:val="DF3A39"/>
          <w:kern w:val="36"/>
          <w:sz w:val="36"/>
          <w:szCs w:val="36"/>
        </w:rPr>
      </w:pPr>
    </w:p>
    <w:p w:rsidR="00EB2196" w:rsidRPr="00AE0D87" w:rsidRDefault="00EB2196" w:rsidP="00C82BEC">
      <w:pPr>
        <w:widowControl/>
        <w:shd w:val="clear" w:color="auto" w:fill="FFFFFF"/>
        <w:spacing w:line="450" w:lineRule="atLeas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根据202</w:t>
      </w:r>
      <w:r w:rsidR="00C82BEC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</w:t>
      </w: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年江门市食品安全监督抽检计划，江门市市场监督管理局组织对全市范围内</w:t>
      </w:r>
      <w:r w:rsidR="00B51A9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流通</w:t>
      </w: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环节的食品进行监督抽检工作，具体</w:t>
      </w:r>
      <w:r w:rsidR="00E77D6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包括</w:t>
      </w:r>
      <w:r w:rsidR="00B51A9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茶叶及相关制品、饼干、</w:t>
      </w:r>
      <w:r w:rsidR="00C9023F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食糖、罐头、乳制品、蜂产品、豆制品、蛋制品、方便食品、</w:t>
      </w:r>
      <w:r w:rsidR="00B51A9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酒类、炒货食品及坚果制品、糖果制品、水果制品、</w:t>
      </w:r>
      <w:r w:rsidR="00C9023F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水产制品、</w:t>
      </w:r>
      <w:r w:rsidR="00B51A9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糕点、食用农产品、蔬菜制品、调味品、</w:t>
      </w:r>
      <w:r w:rsidR="00F646A8" w:rsidRPr="00AE0D87">
        <w:rPr>
          <w:rFonts w:ascii="仿宋" w:eastAsia="仿宋" w:hAnsi="仿宋" w:hint="eastAsia"/>
          <w:sz w:val="32"/>
          <w:szCs w:val="32"/>
        </w:rPr>
        <w:t>淀粉及淀粉制品、</w:t>
      </w:r>
      <w:r w:rsidR="00B51A9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肉制品、粮食加工品、食用油、油脂及其制品、饮料等</w:t>
      </w:r>
      <w:r w:rsidR="00C9023F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23</w:t>
      </w:r>
      <w:r w:rsidR="003E17E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大类抽样检验</w:t>
      </w:r>
      <w:r w:rsidR="00C82BEC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</w:t>
      </w:r>
      <w:r w:rsidR="00C9023F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5</w:t>
      </w:r>
      <w:r w:rsidR="003E0CC5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7</w:t>
      </w:r>
      <w:r w:rsidR="003E17E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批次，其中合格样品3</w:t>
      </w:r>
      <w:r w:rsidR="00C9023F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53</w:t>
      </w:r>
      <w:r w:rsidR="003E17E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批次，不合格样品</w:t>
      </w:r>
      <w:r w:rsidR="003E0CC5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4</w:t>
      </w:r>
      <w:r w:rsidR="00233552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批次，</w:t>
      </w:r>
      <w:r w:rsidR="00A15E5D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检出</w:t>
      </w:r>
      <w:r w:rsidR="00680C89">
        <w:rPr>
          <w:rFonts w:ascii="仿宋_GB2312" w:eastAsia="仿宋_GB2312" w:hint="eastAsia"/>
          <w:sz w:val="32"/>
          <w:szCs w:val="32"/>
          <w:shd w:val="clear" w:color="auto" w:fill="FFFFFF"/>
        </w:rPr>
        <w:t>微生物污染</w:t>
      </w:r>
      <w:r w:rsidR="00A15E5D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及其他指标问题，检验机构</w:t>
      </w:r>
      <w:r w:rsidR="00AE0D87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均</w:t>
      </w:r>
      <w:r w:rsidR="00A15E5D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为精益和</w:t>
      </w:r>
      <w:proofErr w:type="gramStart"/>
      <w:r w:rsidR="00A15E5D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泰质量</w:t>
      </w:r>
      <w:proofErr w:type="gramEnd"/>
      <w:r w:rsidR="00A15E5D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检测股份有限公司。现将具体情况通告如下：</w:t>
      </w:r>
      <w:r w:rsidR="00A15E5D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</w:p>
    <w:p w:rsidR="00680C89" w:rsidRPr="00AE0D87" w:rsidRDefault="00680C89" w:rsidP="00680C89">
      <w:pPr>
        <w:pStyle w:val="a5"/>
        <w:widowControl/>
        <w:numPr>
          <w:ilvl w:val="0"/>
          <w:numId w:val="2"/>
        </w:numPr>
        <w:shd w:val="clear" w:color="auto" w:fill="FFFFFF"/>
        <w:spacing w:line="450" w:lineRule="atLeas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 w:rsidRPr="00AE0D87">
        <w:rPr>
          <w:rFonts w:ascii="黑体" w:eastAsia="黑体" w:hAnsi="黑体" w:cs="宋体" w:hint="eastAsia"/>
          <w:kern w:val="0"/>
          <w:sz w:val="32"/>
          <w:szCs w:val="32"/>
        </w:rPr>
        <w:t>微生物</w:t>
      </w:r>
      <w:r>
        <w:rPr>
          <w:rFonts w:ascii="黑体" w:eastAsia="黑体" w:hAnsi="黑体" w:cs="宋体" w:hint="eastAsia"/>
          <w:kern w:val="0"/>
          <w:sz w:val="32"/>
          <w:szCs w:val="32"/>
        </w:rPr>
        <w:t>污染</w:t>
      </w:r>
      <w:r w:rsidRPr="00AE0D87">
        <w:rPr>
          <w:rFonts w:ascii="黑体" w:eastAsia="黑体" w:hAnsi="黑体" w:cs="宋体" w:hint="eastAsia"/>
          <w:kern w:val="0"/>
          <w:sz w:val="32"/>
          <w:szCs w:val="32"/>
        </w:rPr>
        <w:t>问题</w:t>
      </w:r>
    </w:p>
    <w:p w:rsidR="00680C89" w:rsidRPr="00AE0D87" w:rsidRDefault="00680C89" w:rsidP="00680C89">
      <w:pPr>
        <w:widowControl/>
        <w:shd w:val="clear" w:color="auto" w:fill="FFFFFF"/>
        <w:spacing w:line="450" w:lineRule="atLeas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蓬江区</w:t>
      </w:r>
      <w:proofErr w:type="gramStart"/>
      <w:r w:rsidRPr="00AE0D87">
        <w:rPr>
          <w:rFonts w:ascii="仿宋" w:eastAsia="仿宋" w:hAnsi="仿宋" w:cs="宋体" w:hint="eastAsia"/>
          <w:kern w:val="0"/>
          <w:sz w:val="32"/>
          <w:szCs w:val="32"/>
        </w:rPr>
        <w:t>荷塘六坊永兴</w:t>
      </w:r>
      <w:proofErr w:type="gramEnd"/>
      <w:r w:rsidRPr="00AE0D87">
        <w:rPr>
          <w:rFonts w:ascii="仿宋" w:eastAsia="仿宋" w:hAnsi="仿宋" w:cs="宋体" w:hint="eastAsia"/>
          <w:kern w:val="0"/>
          <w:sz w:val="32"/>
          <w:szCs w:val="32"/>
        </w:rPr>
        <w:t>超市销售的迷你山楂饼（280克/袋），</w:t>
      </w:r>
      <w:r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菌落总数</w:t>
      </w:r>
      <w:r w:rsidRPr="00680C89">
        <w:rPr>
          <w:rFonts w:ascii="仿宋" w:eastAsia="仿宋" w:hAnsi="仿宋" w:cs="宋体"/>
          <w:kern w:val="0"/>
          <w:sz w:val="32"/>
          <w:szCs w:val="32"/>
        </w:rPr>
        <w:t>不符合食品安全国家标准规定。</w:t>
      </w:r>
    </w:p>
    <w:p w:rsidR="00A15E5D" w:rsidRPr="00680C89" w:rsidRDefault="00680C89" w:rsidP="00680C89">
      <w:pPr>
        <w:pStyle w:val="a5"/>
        <w:widowControl/>
        <w:numPr>
          <w:ilvl w:val="0"/>
          <w:numId w:val="2"/>
        </w:numPr>
        <w:shd w:val="clear" w:color="auto" w:fill="FFFFFF"/>
        <w:spacing w:line="450" w:lineRule="atLeas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其他指标</w:t>
      </w:r>
      <w:r w:rsidR="00A85A65" w:rsidRPr="00680C89">
        <w:rPr>
          <w:rFonts w:ascii="黑体" w:eastAsia="黑体" w:hAnsi="黑体" w:cs="宋体" w:hint="eastAsia"/>
          <w:kern w:val="0"/>
          <w:sz w:val="32"/>
          <w:szCs w:val="32"/>
        </w:rPr>
        <w:t>问题</w:t>
      </w:r>
    </w:p>
    <w:p w:rsidR="004C5FBA" w:rsidRPr="00AE0D87" w:rsidRDefault="001E5440" w:rsidP="001E5440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4A6CE0" w:rsidRPr="00AE0D87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4C5FBA" w:rsidRPr="00AE0D87">
        <w:rPr>
          <w:rFonts w:ascii="仿宋" w:eastAsia="仿宋" w:hAnsi="仿宋" w:cs="宋体" w:hint="eastAsia"/>
          <w:kern w:val="0"/>
          <w:sz w:val="32"/>
          <w:szCs w:val="32"/>
        </w:rPr>
        <w:t>蓬江区大昌超市有限公司地王店销售的薄荷佛手粒（320克/瓶），钠</w:t>
      </w:r>
      <w:r w:rsidR="004C5FBA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不符合产品标签明示要求。</w:t>
      </w:r>
    </w:p>
    <w:p w:rsidR="004C5FBA" w:rsidRPr="00AE0D87" w:rsidRDefault="001E5440" w:rsidP="001E5440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4A6CE0" w:rsidRPr="00AE0D87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4C5FBA" w:rsidRPr="00AE0D87">
        <w:rPr>
          <w:rFonts w:ascii="仿宋" w:eastAsia="仿宋" w:hAnsi="仿宋" w:cs="宋体" w:hint="eastAsia"/>
          <w:kern w:val="0"/>
          <w:sz w:val="32"/>
          <w:szCs w:val="32"/>
        </w:rPr>
        <w:t>蓬江区惠客多百货商场销售的阿胶枣（300克/包），钠</w:t>
      </w:r>
      <w:r w:rsidR="004C5FBA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不符合产品标签明示要求。</w:t>
      </w:r>
    </w:p>
    <w:p w:rsidR="004700DD" w:rsidRDefault="001E5440" w:rsidP="004700DD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/>
          <w:sz w:val="32"/>
          <w:szCs w:val="32"/>
          <w:shd w:val="clear" w:color="auto" w:fill="FFFFFF"/>
        </w:rPr>
      </w:pPr>
      <w:r w:rsidRPr="00AE0D8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</w:t>
      </w:r>
      <w:r w:rsidR="00AE0D87" w:rsidRPr="00AE0D87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4C5FBA" w:rsidRPr="00AE0D87">
        <w:rPr>
          <w:rFonts w:ascii="仿宋" w:eastAsia="仿宋" w:hAnsi="仿宋" w:cs="宋体" w:hint="eastAsia"/>
          <w:kern w:val="0"/>
          <w:sz w:val="32"/>
          <w:szCs w:val="32"/>
        </w:rPr>
        <w:t>蓬江区</w:t>
      </w:r>
      <w:proofErr w:type="gramStart"/>
      <w:r w:rsidR="004C5FBA" w:rsidRPr="00AE0D87">
        <w:rPr>
          <w:rFonts w:ascii="仿宋" w:eastAsia="仿宋" w:hAnsi="仿宋" w:cs="宋体" w:hint="eastAsia"/>
          <w:kern w:val="0"/>
          <w:sz w:val="32"/>
          <w:szCs w:val="32"/>
        </w:rPr>
        <w:t>荷塘六坊永兴</w:t>
      </w:r>
      <w:proofErr w:type="gramEnd"/>
      <w:r w:rsidR="004C5FBA" w:rsidRPr="00AE0D87">
        <w:rPr>
          <w:rFonts w:ascii="仿宋" w:eastAsia="仿宋" w:hAnsi="仿宋" w:cs="宋体" w:hint="eastAsia"/>
          <w:kern w:val="0"/>
          <w:sz w:val="32"/>
          <w:szCs w:val="32"/>
        </w:rPr>
        <w:t>超市销售的迷你山楂饼（280克/袋），钠</w:t>
      </w:r>
      <w:r w:rsidR="004C5FBA"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不符合产品标签明示要求。</w:t>
      </w:r>
    </w:p>
    <w:p w:rsidR="00680C89" w:rsidRPr="00680C89" w:rsidRDefault="00680C89" w:rsidP="004700DD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（四）</w:t>
      </w: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蓬江区华润万家生活超市有限公司新</w:t>
      </w:r>
      <w:proofErr w:type="gramStart"/>
      <w:r w:rsidRPr="00AE0D87">
        <w:rPr>
          <w:rFonts w:ascii="仿宋" w:eastAsia="仿宋" w:hAnsi="仿宋" w:cs="宋体" w:hint="eastAsia"/>
          <w:kern w:val="0"/>
          <w:sz w:val="32"/>
          <w:szCs w:val="32"/>
        </w:rPr>
        <w:t>之城店销售</w:t>
      </w:r>
      <w:proofErr w:type="gramEnd"/>
      <w:r w:rsidRPr="00AE0D87">
        <w:rPr>
          <w:rFonts w:ascii="仿宋" w:eastAsia="仿宋" w:hAnsi="仿宋" w:cs="宋体" w:hint="eastAsia"/>
          <w:kern w:val="0"/>
          <w:sz w:val="32"/>
          <w:szCs w:val="32"/>
        </w:rPr>
        <w:t>的集美盐焗花生（400克/包），过氧化值</w:t>
      </w:r>
      <w:r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不符合食品安全标准规定。</w:t>
      </w:r>
    </w:p>
    <w:p w:rsidR="001E5440" w:rsidRPr="00AE0D87" w:rsidRDefault="001E5440" w:rsidP="001E5440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E0D87">
        <w:rPr>
          <w:rFonts w:ascii="仿宋_GB2312" w:eastAsia="仿宋_GB2312" w:hint="eastAsia"/>
          <w:sz w:val="32"/>
          <w:szCs w:val="32"/>
          <w:shd w:val="clear" w:color="auto" w:fill="FFFFFF"/>
        </w:rPr>
        <w:t>江门市市场监督管理局要求相关市（区）市场监管部门及时对不合格产品及其生产经营者进行调查处理，责令查清产品流向，召回不合格产品，并分析原因进行整改；并要求经营单位立即采取下架等措施，控制风险，并依法予以查处。以此督促企业履行法定义务，并将相关情况记入食品生产经营者食品安全信用档案。查处情况由企业所在地负责案件查办的市（区）市场监督管理部门按规定公开。</w:t>
      </w:r>
    </w:p>
    <w:p w:rsidR="00C82BEC" w:rsidRPr="00AE0D87" w:rsidRDefault="00EB2196" w:rsidP="001E5440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食品安全消费提示：消费者应当在正规可靠渠道购买所需食品并保存相应购物凭证，要看清外包装上的相关标识，如生产日期、保质期、生产者名称和地址、成分或配料表、食品生产许可证编号等标识是否齐全并符合法律法规的规定。不要购买无厂名、厂址、生产日期和保质期的产品，不要购买超过保质期的产品，不要购买公布的不合格产品。欢迎广大消费者积极参与食品安全监督，关注食品安全抽检信息公布，如在市场上发现本次公布信息中所涉的不合格食品，请及时拨打投诉举报电话12315。</w:t>
      </w:r>
    </w:p>
    <w:p w:rsidR="00EB2196" w:rsidRPr="00AE0D87" w:rsidRDefault="00EB2196" w:rsidP="004E491D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特此通告。</w:t>
      </w:r>
    </w:p>
    <w:p w:rsidR="004E491D" w:rsidRPr="00AE0D87" w:rsidRDefault="004E491D" w:rsidP="001E5440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/>
          <w:kern w:val="0"/>
          <w:sz w:val="32"/>
          <w:szCs w:val="32"/>
        </w:rPr>
      </w:pPr>
    </w:p>
    <w:p w:rsidR="004E491D" w:rsidRPr="00AE0D87" w:rsidRDefault="00EB2196" w:rsidP="004E491D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附件：</w:t>
      </w:r>
    </w:p>
    <w:p w:rsidR="00EB2196" w:rsidRPr="00AE0D87" w:rsidRDefault="00EB2196" w:rsidP="004E491D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1.本次检验项目</w:t>
      </w:r>
    </w:p>
    <w:p w:rsidR="00C82BEC" w:rsidRPr="00AE0D87" w:rsidRDefault="002421C8" w:rsidP="00C82BEC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</w:t>
      </w:r>
      <w:r w:rsidR="00C82BEC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.食品监督抽检</w:t>
      </w:r>
      <w:r w:rsidR="00753391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不</w:t>
      </w:r>
      <w:r w:rsidR="00C82BEC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合格信息(2021年第</w:t>
      </w:r>
      <w:r w:rsidR="00CB69CE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9</w:t>
      </w:r>
      <w:r w:rsidR="00C82BEC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号)</w:t>
      </w:r>
    </w:p>
    <w:p w:rsidR="00CB69CE" w:rsidRPr="00AE0D87" w:rsidRDefault="00CB69CE" w:rsidP="00CB69CE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3.食品监督抽检合格信息(2021年第9号)</w:t>
      </w:r>
    </w:p>
    <w:p w:rsidR="004E491D" w:rsidRPr="00AE0D87" w:rsidRDefault="00CB69CE" w:rsidP="001E5440">
      <w:pPr>
        <w:widowControl/>
        <w:shd w:val="clear" w:color="auto" w:fill="FFFFFF"/>
        <w:spacing w:line="450" w:lineRule="atLeas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AE0D87">
        <w:rPr>
          <w:rFonts w:asciiTheme="minorEastAsia" w:hAnsiTheme="minorEastAsia" w:cs="宋体" w:hint="eastAsia"/>
          <w:kern w:val="0"/>
          <w:sz w:val="32"/>
          <w:szCs w:val="32"/>
        </w:rPr>
        <w:t>4.</w:t>
      </w:r>
      <w:r w:rsidRPr="00AE0D87">
        <w:rPr>
          <w:rFonts w:ascii="仿宋" w:eastAsia="仿宋" w:hAnsi="仿宋" w:cs="宋体" w:hint="eastAsia"/>
          <w:kern w:val="0"/>
          <w:sz w:val="32"/>
          <w:szCs w:val="32"/>
        </w:rPr>
        <w:t>关于部分检验项目的说明（2</w:t>
      </w:r>
      <w:r w:rsidR="000F63D8">
        <w:rPr>
          <w:rFonts w:ascii="仿宋" w:eastAsia="仿宋" w:hAnsi="仿宋" w:cs="宋体" w:hint="eastAsia"/>
          <w:kern w:val="0"/>
          <w:sz w:val="32"/>
          <w:szCs w:val="32"/>
        </w:rPr>
        <w:t>0</w:t>
      </w:r>
      <w:bookmarkStart w:id="0" w:name="_GoBack"/>
      <w:bookmarkEnd w:id="0"/>
      <w:r w:rsidRPr="00AE0D87">
        <w:rPr>
          <w:rFonts w:ascii="仿宋" w:eastAsia="仿宋" w:hAnsi="仿宋" w:cs="宋体" w:hint="eastAsia"/>
          <w:kern w:val="0"/>
          <w:sz w:val="32"/>
          <w:szCs w:val="32"/>
        </w:rPr>
        <w:t>21年第9号）</w:t>
      </w:r>
    </w:p>
    <w:p w:rsidR="001E5440" w:rsidRDefault="004E491D" w:rsidP="004E491D">
      <w:pPr>
        <w:widowControl/>
        <w:shd w:val="clear" w:color="auto" w:fill="FFFFFF"/>
        <w:spacing w:line="450" w:lineRule="atLeast"/>
        <w:ind w:right="640"/>
        <w:jc w:val="center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             </w:t>
      </w:r>
    </w:p>
    <w:p w:rsidR="00AE0D87" w:rsidRPr="00AE0D87" w:rsidRDefault="00AE0D87" w:rsidP="004E491D">
      <w:pPr>
        <w:widowControl/>
        <w:shd w:val="clear" w:color="auto" w:fill="FFFFFF"/>
        <w:spacing w:line="450" w:lineRule="atLeast"/>
        <w:ind w:right="640"/>
        <w:jc w:val="center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</w:p>
    <w:p w:rsidR="00EB2196" w:rsidRPr="00AE0D87" w:rsidRDefault="001E5440" w:rsidP="004E491D">
      <w:pPr>
        <w:widowControl/>
        <w:shd w:val="clear" w:color="auto" w:fill="FFFFFF"/>
        <w:spacing w:line="450" w:lineRule="atLeast"/>
        <w:ind w:right="640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                   </w:t>
      </w:r>
      <w:r w:rsidR="004E491D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EB219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江门市市场监督管理局</w:t>
      </w:r>
    </w:p>
    <w:p w:rsidR="00EB2196" w:rsidRPr="00AE0D87" w:rsidRDefault="00DB35CF" w:rsidP="00AE0D87">
      <w:pPr>
        <w:widowControl/>
        <w:shd w:val="clear" w:color="auto" w:fill="FFFFFF"/>
        <w:spacing w:line="450" w:lineRule="atLeast"/>
        <w:ind w:right="960" w:firstLineChars="1300" w:firstLine="4160"/>
        <w:rPr>
          <w:rFonts w:ascii="微软雅黑" w:eastAsia="微软雅黑" w:hAnsi="微软雅黑" w:cs="宋体"/>
          <w:kern w:val="0"/>
          <w:sz w:val="32"/>
          <w:szCs w:val="32"/>
        </w:rPr>
      </w:pPr>
      <w:r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2021</w:t>
      </w:r>
      <w:r w:rsidR="00EB219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</w:t>
      </w:r>
      <w:r w:rsidR="00630B62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6</w:t>
      </w:r>
      <w:r w:rsidR="00EB219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月</w:t>
      </w:r>
      <w:r w:rsid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15</w:t>
      </w:r>
      <w:r w:rsidR="00EB2196" w:rsidRPr="00AE0D87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日</w:t>
      </w:r>
    </w:p>
    <w:p w:rsidR="00E77D66" w:rsidRPr="00AE0D87" w:rsidRDefault="00E77D66">
      <w:pPr>
        <w:rPr>
          <w:sz w:val="32"/>
          <w:szCs w:val="32"/>
        </w:rPr>
      </w:pPr>
    </w:p>
    <w:sectPr w:rsidR="00E77D66" w:rsidRPr="00AE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D5" w:rsidRDefault="00AB2CD5" w:rsidP="00F1295B">
      <w:r>
        <w:separator/>
      </w:r>
    </w:p>
  </w:endnote>
  <w:endnote w:type="continuationSeparator" w:id="0">
    <w:p w:rsidR="00AB2CD5" w:rsidRDefault="00AB2CD5" w:rsidP="00F1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D5" w:rsidRDefault="00AB2CD5" w:rsidP="00F1295B">
      <w:r>
        <w:separator/>
      </w:r>
    </w:p>
  </w:footnote>
  <w:footnote w:type="continuationSeparator" w:id="0">
    <w:p w:rsidR="00AB2CD5" w:rsidRDefault="00AB2CD5" w:rsidP="00F1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905"/>
    <w:multiLevelType w:val="hybridMultilevel"/>
    <w:tmpl w:val="827A1250"/>
    <w:lvl w:ilvl="0" w:tplc="6B40D34C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742568"/>
    <w:multiLevelType w:val="hybridMultilevel"/>
    <w:tmpl w:val="43880D22"/>
    <w:lvl w:ilvl="0" w:tplc="2E5CC89A">
      <w:start w:val="1"/>
      <w:numFmt w:val="japaneseCounting"/>
      <w:lvlText w:val="（%1）"/>
      <w:lvlJc w:val="left"/>
      <w:pPr>
        <w:ind w:left="1506" w:hanging="1080"/>
      </w:pPr>
      <w:rPr>
        <w:rFonts w:ascii="仿宋" w:eastAsia="仿宋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645" w:hanging="420"/>
      </w:pPr>
    </w:lvl>
    <w:lvl w:ilvl="2" w:tplc="0409001B" w:tentative="1">
      <w:start w:val="1"/>
      <w:numFmt w:val="lowerRoman"/>
      <w:lvlText w:val="%3."/>
      <w:lvlJc w:val="righ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9" w:tentative="1">
      <w:start w:val="1"/>
      <w:numFmt w:val="lowerLetter"/>
      <w:lvlText w:val="%5)"/>
      <w:lvlJc w:val="left"/>
      <w:pPr>
        <w:ind w:left="2905" w:hanging="420"/>
      </w:pPr>
    </w:lvl>
    <w:lvl w:ilvl="5" w:tplc="0409001B" w:tentative="1">
      <w:start w:val="1"/>
      <w:numFmt w:val="lowerRoman"/>
      <w:lvlText w:val="%6."/>
      <w:lvlJc w:val="righ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9" w:tentative="1">
      <w:start w:val="1"/>
      <w:numFmt w:val="lowerLetter"/>
      <w:lvlText w:val="%8)"/>
      <w:lvlJc w:val="left"/>
      <w:pPr>
        <w:ind w:left="4165" w:hanging="420"/>
      </w:pPr>
    </w:lvl>
    <w:lvl w:ilvl="8" w:tplc="0409001B" w:tentative="1">
      <w:start w:val="1"/>
      <w:numFmt w:val="lowerRoman"/>
      <w:lvlText w:val="%9."/>
      <w:lvlJc w:val="right"/>
      <w:pPr>
        <w:ind w:left="4585" w:hanging="420"/>
      </w:pPr>
    </w:lvl>
  </w:abstractNum>
  <w:abstractNum w:abstractNumId="2">
    <w:nsid w:val="11895984"/>
    <w:multiLevelType w:val="multilevel"/>
    <w:tmpl w:val="E0E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5054B"/>
    <w:multiLevelType w:val="hybridMultilevel"/>
    <w:tmpl w:val="C1A8BCDC"/>
    <w:lvl w:ilvl="0" w:tplc="913C38C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96"/>
    <w:rsid w:val="00093154"/>
    <w:rsid w:val="000C3BBB"/>
    <w:rsid w:val="000D153A"/>
    <w:rsid w:val="000F63D8"/>
    <w:rsid w:val="0012436D"/>
    <w:rsid w:val="0013075E"/>
    <w:rsid w:val="00135ED0"/>
    <w:rsid w:val="001441E5"/>
    <w:rsid w:val="00156B98"/>
    <w:rsid w:val="001705FD"/>
    <w:rsid w:val="00191DE4"/>
    <w:rsid w:val="00191F2C"/>
    <w:rsid w:val="001B4CCB"/>
    <w:rsid w:val="001E01E2"/>
    <w:rsid w:val="001E5440"/>
    <w:rsid w:val="001E7344"/>
    <w:rsid w:val="00204A41"/>
    <w:rsid w:val="00221503"/>
    <w:rsid w:val="00233552"/>
    <w:rsid w:val="002421C8"/>
    <w:rsid w:val="002421F8"/>
    <w:rsid w:val="00257FAC"/>
    <w:rsid w:val="002A21BF"/>
    <w:rsid w:val="002D30ED"/>
    <w:rsid w:val="002F78F0"/>
    <w:rsid w:val="00313849"/>
    <w:rsid w:val="003E0CC5"/>
    <w:rsid w:val="003E17E6"/>
    <w:rsid w:val="00452339"/>
    <w:rsid w:val="004700DD"/>
    <w:rsid w:val="004A6CE0"/>
    <w:rsid w:val="004C5FBA"/>
    <w:rsid w:val="004E491D"/>
    <w:rsid w:val="004F1323"/>
    <w:rsid w:val="005611C3"/>
    <w:rsid w:val="00630AA0"/>
    <w:rsid w:val="00630B62"/>
    <w:rsid w:val="006576A4"/>
    <w:rsid w:val="00680C89"/>
    <w:rsid w:val="006D5E69"/>
    <w:rsid w:val="006F4999"/>
    <w:rsid w:val="0072202D"/>
    <w:rsid w:val="00753391"/>
    <w:rsid w:val="007A4343"/>
    <w:rsid w:val="00875A2A"/>
    <w:rsid w:val="00877403"/>
    <w:rsid w:val="009718F8"/>
    <w:rsid w:val="009A5532"/>
    <w:rsid w:val="009B31DC"/>
    <w:rsid w:val="009B7E78"/>
    <w:rsid w:val="009D154C"/>
    <w:rsid w:val="00A03125"/>
    <w:rsid w:val="00A15E5D"/>
    <w:rsid w:val="00A66D53"/>
    <w:rsid w:val="00A85A65"/>
    <w:rsid w:val="00AB2CD5"/>
    <w:rsid w:val="00AD581F"/>
    <w:rsid w:val="00AE0D87"/>
    <w:rsid w:val="00B36025"/>
    <w:rsid w:val="00B51A9E"/>
    <w:rsid w:val="00B82CEC"/>
    <w:rsid w:val="00C351FC"/>
    <w:rsid w:val="00C64BC4"/>
    <w:rsid w:val="00C767AA"/>
    <w:rsid w:val="00C82BEC"/>
    <w:rsid w:val="00C9023F"/>
    <w:rsid w:val="00CB69CE"/>
    <w:rsid w:val="00CB6E24"/>
    <w:rsid w:val="00CC2BB9"/>
    <w:rsid w:val="00CC3AF5"/>
    <w:rsid w:val="00CD5D21"/>
    <w:rsid w:val="00CE66C3"/>
    <w:rsid w:val="00D00A22"/>
    <w:rsid w:val="00D40DD9"/>
    <w:rsid w:val="00D4188E"/>
    <w:rsid w:val="00DB35CF"/>
    <w:rsid w:val="00E113BA"/>
    <w:rsid w:val="00E35C2C"/>
    <w:rsid w:val="00E36435"/>
    <w:rsid w:val="00E54D80"/>
    <w:rsid w:val="00E7383E"/>
    <w:rsid w:val="00E77D66"/>
    <w:rsid w:val="00E86A83"/>
    <w:rsid w:val="00E9718D"/>
    <w:rsid w:val="00EB2196"/>
    <w:rsid w:val="00EB62AB"/>
    <w:rsid w:val="00EF46C6"/>
    <w:rsid w:val="00F1295B"/>
    <w:rsid w:val="00F33F70"/>
    <w:rsid w:val="00F340BC"/>
    <w:rsid w:val="00F646A8"/>
    <w:rsid w:val="00FC3648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9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95B"/>
    <w:rPr>
      <w:sz w:val="18"/>
      <w:szCs w:val="18"/>
    </w:rPr>
  </w:style>
  <w:style w:type="paragraph" w:styleId="a5">
    <w:name w:val="List Paragraph"/>
    <w:basedOn w:val="a"/>
    <w:uiPriority w:val="34"/>
    <w:qFormat/>
    <w:rsid w:val="00A85A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9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95B"/>
    <w:rPr>
      <w:sz w:val="18"/>
      <w:szCs w:val="18"/>
    </w:rPr>
  </w:style>
  <w:style w:type="paragraph" w:styleId="a5">
    <w:name w:val="List Paragraph"/>
    <w:basedOn w:val="a"/>
    <w:uiPriority w:val="34"/>
    <w:qFormat/>
    <w:rsid w:val="00A85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0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Chinese User</cp:lastModifiedBy>
  <cp:revision>12</cp:revision>
  <dcterms:created xsi:type="dcterms:W3CDTF">2021-06-07T07:16:00Z</dcterms:created>
  <dcterms:modified xsi:type="dcterms:W3CDTF">2021-06-15T02:20:00Z</dcterms:modified>
</cp:coreProperties>
</file>