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lang w:eastAsia="zh-CN"/>
        </w:rPr>
        <w:t>江门市</w:t>
      </w: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</w:rPr>
        <w:t>建筑施工“安全生产月”活动进展情况统计表</w:t>
      </w:r>
    </w:p>
    <w:p>
      <w:pPr>
        <w:pStyle w:val="4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Style w:val="5"/>
        <w:tblW w:w="13789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5397"/>
        <w:gridCol w:w="5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01" w:type="dxa"/>
            <w:vAlign w:val="top"/>
          </w:tcPr>
          <w:p>
            <w:pPr>
              <w:pStyle w:val="4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  <w:vAlign w:val="top"/>
          </w:tcPr>
          <w:p>
            <w:pPr>
              <w:pStyle w:val="4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内容要求</w:t>
            </w:r>
          </w:p>
        </w:tc>
        <w:tc>
          <w:tcPr>
            <w:tcW w:w="5791" w:type="dxa"/>
            <w:tcBorders>
              <w:left w:val="nil"/>
            </w:tcBorders>
            <w:vAlign w:val="top"/>
          </w:tcPr>
          <w:p>
            <w:pPr>
              <w:pStyle w:val="4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全媒体发布启动</w:t>
            </w:r>
          </w:p>
          <w:p>
            <w:pPr>
              <w:pStyle w:val="4"/>
              <w:spacing w:before="0" w:beforeAutospacing="0" w:line="240" w:lineRule="exact"/>
              <w:ind w:left="6" w:leftChars="0" w:hanging="6" w:firstLineChars="0"/>
              <w:jc w:val="center"/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“安全生产月”活动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80" w:lineRule="exact"/>
              <w:ind w:left="-86" w:leftChars="-27" w:firstLine="468" w:firstLineChars="0"/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全媒体发布启动“安全生产月”活动，向全社会发布第20个“安全生产月”活动正式启动，并公布活动的主题和主要活动内容，广泛动员全省各级机关、企事业单位和社会团体、社会群众积极关注和参与。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80" w:lineRule="exact"/>
              <w:ind w:left="0" w:leftChars="0" w:firstLine="423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</w:rPr>
              <w:t xml:space="preserve">　　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等形式启动“安全生产月”活动（）场次，（）人次参与；</w:t>
            </w:r>
          </w:p>
          <w:p>
            <w:pPr>
              <w:pStyle w:val="4"/>
              <w:spacing w:before="0" w:beforeAutospacing="0" w:line="280" w:lineRule="exact"/>
              <w:ind w:left="0" w:leftChars="0" w:firstLine="423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召开新闻发布会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次，参与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人次，参与媒体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家次；</w:t>
            </w:r>
          </w:p>
          <w:p>
            <w:pPr>
              <w:pStyle w:val="4"/>
              <w:spacing w:before="0" w:beforeAutospacing="0" w:line="280" w:lineRule="exact"/>
              <w:ind w:left="0" w:leftChars="0" w:firstLine="423" w:firstLineChars="0"/>
              <w:jc w:val="left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相关新闻媒体发布新闻报道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single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条次；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学习习近平总书记关于</w:t>
            </w:r>
          </w:p>
          <w:p>
            <w:pPr>
              <w:pStyle w:val="4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-86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理论学习中心组开展深入学习，专题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电视专题片；各级领导干部和企业负责人开展安全生产“大讲堂”“大家谈”“公开课”“微课堂”和在线访谈、基层宣讲等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；在报刊、广播、网络等媒体平台开设宣传专题、设置宣传专栏、张贴宣传挂图，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习近平总书记关于安全生产的重要论述精神在基层的宣贯工作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4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>
            <w:pPr>
              <w:pStyle w:val="4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专题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4"/>
              <w:spacing w:before="0" w:beforeAutospacing="0" w:line="240" w:lineRule="exact"/>
              <w:ind w:left="0" w:leftChars="0" w:firstLine="423" w:firstLineChars="0"/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spacing w:before="0" w:beforeAutospacing="0" w:line="240" w:lineRule="exact"/>
              <w:ind w:left="0" w:leftChars="0" w:firstLine="423" w:firstLineChars="0"/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在报刊、广播、网络等媒体平台开设宣传专题、设置宣传专栏、张贴宣传挂图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专项整治集中攻坚战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”“落实施工企业安全生产主体责任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主题年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“系统防范化解道路交通安全风险”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专题活动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-86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>
            <w:pPr>
              <w:pStyle w:val="4"/>
              <w:spacing w:before="0" w:beforeAutospacing="0" w:line="240" w:lineRule="exact"/>
              <w:ind w:left="0" w:leftChars="0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（  ）篇；</w:t>
            </w:r>
          </w:p>
          <w:p>
            <w:pPr>
              <w:pStyle w:val="4"/>
              <w:spacing w:before="0" w:beforeAutospacing="0" w:line="240" w:lineRule="exact"/>
              <w:ind w:left="0" w:leftChars="0" w:firstLine="420" w:firstLineChars="20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等活动（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）场，参与（   ）人次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·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安全宣传咨询日”</w:t>
            </w:r>
          </w:p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0" w:leftChars="0" w:firstLine="411" w:firstLineChars="196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各地区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•16我问你答”直播答题和“接力传安全——我为安全生产倡议”等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；围绕城市建设安全主题，以房屋市政工程安全生产为重点，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网上展厅、线上安全体验、网上知识竞赛、网络直播互动以及H5游戏互动等活动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0" w:leftChars="0" w:firstLine="411" w:firstLineChars="196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开展安全宣传咨询活动（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）场，参与（   ）人次；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创新开展线上活动（   ）场，参与（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</w:t>
            </w:r>
            <w:r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——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我为安全生产倡议”（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围绕城市建设安全主题，以房屋市政工程安全生产为重点，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网上展厅、线上安全体验、网上知识竞赛、网络直播互动以及H5游戏互动等活动（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-86" w:leftChars="-27" w:firstLine="411" w:firstLineChars="196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项目各参建企业认真排查梳理自身重大安全风险，灵活使用沙盘、网络平台等，针对各类危险性较大的分部分项工程组织开展应急救援演练，重点演练建筑起重机械防台风、高空坠落救援、坍塌救援、消防和紧急医疗救援等项目，向一线施工人员普及安全生产和应急救援知识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）部，开展建筑起重机械防台风、高空坠落救援、坍塌救援、消防和紧急医疗救援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演练（  ）场，参与（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开展安全生产“一线三排”工作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-86" w:leftChars="-27" w:firstLine="411" w:firstLineChars="196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建立健全安全事故隐患排查制度，明确隐患排查的目标和任务、组织机构及职责、资金保障、闭环管理程序、记录（台账）、隐患报告和举报奖励制度等；科学编制安全事故隐患排查计划，明确参加人员、排查内容、排查时间、排查安排、排查记录等事项；完善安全事故隐患排序机制，对照《广东省应急管理厅关于安全风险分级管控办法（试行）》隐患分级分类标准，细化编制本单位隐患分级分类标准，按照危害程度、整改难度对排查出的隐患合理排序，制定有针对性的管控措施，实现施工安全风险及管控措施“一企一标准”和“一项目一清单”；建立公司、分支机构、项目部、班组四级安全事故隐患治理机制，推动全员主动参与隐患治理，全程记录报告隐患治理情况，实现隐患排查治理自查自改自报的闭环管理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建立健全安全事故隐患排查制度，明确隐患排查的目标和任务、组织机构及职责、资金保障、闭环管理程序、记录（台账）、隐患报告和举报奖励制度等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□是□否；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科学编制安全事故隐患排查计划，明确参加人员、排查内容、排查时间、排查安排、排查记录等事项 □是□否；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完善安全事故隐患排序机制，对照《广东省应急管理厅关于安全风险分级管控办法（试行）》隐患分级分类标准，细化编制本单位隐患分级分类标准，按照危害程度、整改难度对排查出的隐患合理排序，制定有针对性的管控措施，实现施工安全风险及管控措施“一企一标准”和“一项目一清单” □是□否；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建立公司、分支机构、项目部、班组四级安全事故隐患治理机制，推动全员主动参与隐患治理，全程记录报告隐患治理情况，实现隐患排查治理自查自改自报的闭环管理 □是□否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601" w:type="dxa"/>
            <w:vAlign w:val="center"/>
          </w:tcPr>
          <w:p>
            <w:pPr>
              <w:pStyle w:val="4"/>
              <w:spacing w:before="0" w:beforeAutospacing="0" w:line="240" w:lineRule="exact"/>
              <w:ind w:left="-93" w:leftChars="-31" w:hanging="6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“安全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宣传五邑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4"/>
              <w:spacing w:line="240" w:lineRule="exact"/>
              <w:ind w:left="0" w:leftChars="0" w:firstLine="411" w:firstLineChars="196"/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各地区、各有关部门和单位采取多种形式组织开展好专题行、区域行、网上行等活动，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加大对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房屋市政工程安全生产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先进典型和经验做法的宣传报道，加强问题隐患和反面典型曝光，加强典型事故的案例剖析、警示教育，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推动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有关部门和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企业落实安全生产责任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充分利用“全国安全宣教和应急科普平台”，采取线上线下结合、线上为主线下为辅的方式，结合建筑施工安全实际，开发制作科普知识读本、微课堂、微视频、小游戏等寓教于乐的安全宣传产品，推动应急科普宣传教育和安全体验基地规范化、科学化建设，广泛开展“安全行为红黑榜”“我是安全培训师”“安全生产特色工作法征集”等安全文化示范企业创建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曝光问题隐患（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）条，省级主流媒体曝光典型案例（   ）个，媒体转发报道（   ）篇；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开展“专题行”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次、“区域行”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□否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安全文化示范企业创建活动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spacing w:before="0" w:beforeAutospacing="0" w:line="240" w:lineRule="exact"/>
              <w:ind w:left="-86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76BF9"/>
    <w:rsid w:val="057A1368"/>
    <w:rsid w:val="08285174"/>
    <w:rsid w:val="47576BF9"/>
    <w:rsid w:val="58B14201"/>
    <w:rsid w:val="6248451A"/>
    <w:rsid w:val="664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4</Pages>
  <Words>2625</Words>
  <Characters>2631</Characters>
  <Lines>0</Lines>
  <Paragraphs>0</Paragraphs>
  <TotalTime>4</TotalTime>
  <ScaleCrop>false</ScaleCrop>
  <LinksUpToDate>false</LinksUpToDate>
  <CharactersWithSpaces>2809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2021-06-01T06:56:00Z</dcterms:created>
  <dc:creator>廖秋影</dc:creator>
  <cp:lastModifiedBy>市住房和城乡建设局发文员</cp:lastModifiedBy>
  <cp:lastPrinted>2021-06-02T03:28:59Z</cp:lastPrinted>
  <dcterms:modified xsi:type="dcterms:W3CDTF">2021-06-02T03:29:31Z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