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44"/>
          <w:sz w:val="44"/>
          <w:szCs w:val="44"/>
          <w:lang w:val="en-US" w:eastAsia="zh-CN" w:bidi="ar-SA"/>
        </w:rPr>
      </w:pPr>
      <w:r>
        <w:rPr>
          <w:rFonts w:hint="eastAsia" w:ascii="方正小标宋简体" w:hAnsi="方正小标宋简体" w:eastAsia="方正小标宋简体" w:cs="方正小标宋简体"/>
          <w:kern w:val="44"/>
          <w:sz w:val="44"/>
          <w:szCs w:val="4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-751205</wp:posOffset>
                </wp:positionV>
                <wp:extent cx="1095375" cy="457200"/>
                <wp:effectExtent l="0" t="0" r="9525" b="0"/>
                <wp:wrapNone/>
                <wp:docPr id="1" name="文本框 1"/>
                <wp:cNvGraphicFramePr/>
                <a:graphic xmlns:a="http://schemas.openxmlformats.org/drawingml/2006/main">
                  <a:graphicData uri="http://schemas.microsoft.com/office/word/2010/wordprocessingShape">
                    <wps:wsp>
                      <wps:cNvSpPr txBox="1"/>
                      <wps:spPr>
                        <a:xfrm>
                          <a:off x="931545" y="391795"/>
                          <a:ext cx="1095375"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59.15pt;height:36pt;width:86.25pt;z-index:251659264;mso-width-relative:page;mso-height-relative:page;" fillcolor="#FFFFFF [3201]" filled="t" stroked="f" coordsize="21600,21600" o:gfxdata="UEsDBAoAAAAAAIdO4kAAAAAAAAAAAAAAAAAEAAAAZHJzL1BLAwQUAAAACACHTuJA0pnhm9YAAAAK&#10;AQAADwAAAGRycy9kb3ducmV2LnhtbE2Py27CMBBF95X4B2uQ2IHjQAGlcVhU6hapQFmbeBpHtceR&#10;bZ5fX7NqlzNzdOfcenNzll0wxN6TBDErgCG1XvfUSTjsP6ZrYDEp0sp6Qgl3jLBpRi+1qrS/0ide&#10;dqljOYRipSSYlIaK89gadCrO/ICUb98+OJXyGDqug7rmcGd5WRRL7lRP+YNRA74bbH92Zyfh2LnH&#10;8UsMwWhnF7R93PcH30s5GYviDVjCW/qD4amf1aHJTid/Jh2ZlVCuMihhKsR6DuwJrF5LYKe8Wizn&#10;wJua/6/Q/AJQSwMEFAAAAAgAh07iQKlU681XAgAAmQQAAA4AAABkcnMvZTJvRG9jLnhtbK1UzW4T&#10;MRC+I/EOlu90kyZpSdRNFVoFIVW0UkGcHa83a8n2mLGT3fIA8AacuHDnufocjL3bHwqHHsjBGXvG&#10;3/j7ZmZPTjtr2F5h0OBKPj4YcaachEq7bck/fli/es1ZiMJVwoBTJb9RgZ8uX744af1CHUIDplLI&#10;CMSFRetL3sToF0URZKOsCAfglSNnDWhFpC1uiwpFS+jWFIej0VHRAlYeQaoQ6PS8d/IBEZ8DCHWt&#10;pToHubPKxR4VlRGRKIVG+8CX+bV1rWS8rOugIjMlJ6Yxr5SE7E1ai+WJWGxR+EbL4QniOU94wskK&#10;7SjpPdS5iILtUP8FZbVECFDHAwm26IlkRYjFePREm+tGeJW5kNTB34se/h+sfL+/QqYr6gTOnLBU&#10;8Nvv325//Lr9+ZWNkzytDwuKuvYUF7s30KXQ4TzQYWLd1WjTP/Fh5J9PxrPpjLObkk/m4+P5rJdZ&#10;dZHJdH00n02OyS8pYDo7pq5IAcUDjscQ3yqwLBklRypjVlfsL0LsQ+9CUtoARldrbUze4HZzZpDt&#10;BZV8nX8D+h9hxrG25EeT2SgjO0j3e2jj6DGJdk8vWbHbdAPnDVQ3JAVC30vBy7WmV16IEK8EUvNQ&#10;a9F4xUtaagOUBAaLswbwy7/OUzzVlLyctdSMJQ+fdwIVZ+ado2rPx9Np6t68yYpxho89m8cet7Nn&#10;QOSpovS6bNJljObOrBHsJ5rCVcpKLuEk5S55vDPPYj8iNMVSrVY5iPrVi3jhrr1M0ElqB6tdhFrn&#10;kiSZem0G9ahjc1GH6Uoj8Xifox6+KM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pnhm9YAAAAK&#10;AQAADwAAAAAAAAABACAAAAAiAAAAZHJzL2Rvd25yZXYueG1sUEsBAhQAFAAAAAgAh07iQKlU681X&#10;AgAAmQQAAA4AAAAAAAAAAQAgAAAAJQ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附件2</w:t>
                      </w:r>
                    </w:p>
                  </w:txbxContent>
                </v:textbox>
              </v:shape>
            </w:pict>
          </mc:Fallback>
        </mc:AlternateContent>
      </w:r>
      <w:r>
        <w:rPr>
          <w:rFonts w:hint="eastAsia" w:ascii="方正小标宋简体" w:hAnsi="方正小标宋简体" w:eastAsia="方正小标宋简体" w:cs="方正小标宋简体"/>
          <w:kern w:val="44"/>
          <w:sz w:val="44"/>
          <w:szCs w:val="44"/>
          <w:lang w:val="en-US" w:eastAsia="zh-CN" w:bidi="ar-SA"/>
        </w:rPr>
        <w:t>2021年度江门市统计局普法责任清单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44"/>
          <w:sz w:val="44"/>
          <w:szCs w:val="44"/>
          <w:lang w:val="en-US" w:eastAsia="zh-CN" w:bidi="ar-SA"/>
        </w:rPr>
      </w:pPr>
    </w:p>
    <w:tbl>
      <w:tblPr>
        <w:tblStyle w:val="8"/>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615"/>
        <w:gridCol w:w="1005"/>
        <w:gridCol w:w="3825"/>
        <w:gridCol w:w="3180"/>
        <w:gridCol w:w="99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6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普法计划内容</w:t>
            </w:r>
          </w:p>
        </w:tc>
        <w:tc>
          <w:tcPr>
            <w:tcW w:w="10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对象</w:t>
            </w:r>
          </w:p>
        </w:tc>
        <w:tc>
          <w:tcPr>
            <w:tcW w:w="38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普法目标</w:t>
            </w:r>
          </w:p>
        </w:tc>
        <w:tc>
          <w:tcPr>
            <w:tcW w:w="31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具体措施</w:t>
            </w:r>
          </w:p>
        </w:tc>
        <w:tc>
          <w:tcPr>
            <w:tcW w:w="99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领导</w:t>
            </w:r>
          </w:p>
        </w:tc>
        <w:tc>
          <w:tcPr>
            <w:tcW w:w="10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仿宋_GBK" w:hAnsi="方正仿宋_GBK" w:eastAsia="方正仿宋_GBK" w:cs="方正仿宋_GBK"/>
                <w:sz w:val="28"/>
                <w:szCs w:val="28"/>
                <w:vertAlign w:val="baseline"/>
                <w:lang w:val="en-US" w:eastAsia="zh-CN"/>
              </w:rPr>
              <w:t>一</w:t>
            </w:r>
          </w:p>
        </w:tc>
        <w:tc>
          <w:tcPr>
            <w:tcW w:w="3615"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黑体" w:hAnsi="黑体" w:eastAsia="黑体" w:cs="黑体"/>
                <w:sz w:val="24"/>
                <w:szCs w:val="24"/>
                <w:vertAlign w:val="baseline"/>
                <w:lang w:val="en-US" w:eastAsia="zh-CN"/>
              </w:rPr>
              <w:t>习近平新时代中国特色社会主义思想和习近平法治思想</w:t>
            </w:r>
          </w:p>
        </w:tc>
        <w:tc>
          <w:tcPr>
            <w:tcW w:w="1005" w:type="dxa"/>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局全体党员干</w:t>
            </w:r>
          </w:p>
          <w:p>
            <w:pPr>
              <w:jc w:val="center"/>
              <w:rPr>
                <w:rFonts w:hint="eastAsia" w:ascii="方正楷体简体" w:hAnsi="方正楷体简体" w:eastAsia="方正楷体简体" w:cs="方正楷体简体"/>
                <w:sz w:val="32"/>
                <w:szCs w:val="32"/>
                <w:lang w:val="en-US" w:eastAsia="zh-CN"/>
              </w:rPr>
            </w:pPr>
            <w:r>
              <w:rPr>
                <w:rFonts w:hint="eastAsia" w:ascii="仿宋" w:hAnsi="仿宋" w:eastAsia="仿宋" w:cs="仿宋"/>
                <w:sz w:val="24"/>
                <w:szCs w:val="24"/>
                <w:vertAlign w:val="baseline"/>
                <w:lang w:val="en-US" w:eastAsia="zh-CN"/>
              </w:rPr>
              <w:t>部职工</w:t>
            </w:r>
          </w:p>
        </w:tc>
        <w:tc>
          <w:tcPr>
            <w:tcW w:w="3825" w:type="dxa"/>
            <w:vMerge w:val="restart"/>
            <w:vAlign w:val="center"/>
          </w:tcPr>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1.全面推动统计法治机关建设，提高全局党员干部职工运用法治思维、法治方式处理问题的能力，促进依法统计、依法治统落到实处。</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2.凝聚统计工作合力，切实提高统计数据质量，提供高质量的统计服务。</w:t>
            </w:r>
          </w:p>
          <w:p>
            <w:pPr>
              <w:numPr>
                <w:ilvl w:val="0"/>
                <w:numId w:val="0"/>
              </w:numPr>
              <w:ind w:left="240" w:hanging="240" w:hangingChars="100"/>
              <w:jc w:val="left"/>
              <w:rPr>
                <w:rFonts w:hint="eastAsia" w:ascii="方正楷体简体" w:hAnsi="方正楷体简体" w:eastAsia="方正楷体简体" w:cs="方正楷体简体"/>
                <w:b w:val="0"/>
                <w:bCs w:val="0"/>
                <w:kern w:val="2"/>
                <w:sz w:val="22"/>
                <w:szCs w:val="22"/>
                <w:lang w:val="en-US" w:eastAsia="zh-CN" w:bidi="ar-SA"/>
              </w:rPr>
            </w:pPr>
            <w:r>
              <w:rPr>
                <w:rFonts w:hint="eastAsia" w:ascii="仿宋" w:hAnsi="仿宋" w:eastAsia="仿宋" w:cs="仿宋"/>
                <w:sz w:val="24"/>
                <w:szCs w:val="24"/>
                <w:vertAlign w:val="baseline"/>
                <w:lang w:val="en-US" w:eastAsia="zh-CN"/>
              </w:rPr>
              <w:t>3.不断增强“四个意识”，坚定“四 个自信”，做到“两个维护”，为江门全力打造珠江西岸新增长极和沿海经济带上的江海门户提供有力的统计保障。</w:t>
            </w:r>
          </w:p>
        </w:tc>
        <w:tc>
          <w:tcPr>
            <w:tcW w:w="3180" w:type="dxa"/>
            <w:vMerge w:val="restart"/>
            <w:vAlign w:val="center"/>
          </w:tcPr>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1.组织参加市直机关组织的培训学习等。</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2.召开党组会议、党组扩大会议、全局干部职工大会、党员大会、专题辅导会等。</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3.党支部“三会一课”学习、主题党日及重大节日活动组织学习教育。</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4.参加江门市干部培训网络学院网课学习。</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5.参加国家统计局在线学习中心网课学习。</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6.组织干部职工到爱国主义教育基地培训学习。</w:t>
            </w:r>
          </w:p>
          <w:p>
            <w:pPr>
              <w:numPr>
                <w:ilvl w:val="0"/>
                <w:numId w:val="0"/>
              </w:numPr>
              <w:jc w:val="left"/>
              <w:rPr>
                <w:rFonts w:hint="default" w:ascii="仿宋" w:hAnsi="仿宋" w:eastAsia="仿宋" w:cs="仿宋"/>
                <w:sz w:val="24"/>
                <w:szCs w:val="24"/>
                <w:vertAlign w:val="baseline"/>
                <w:lang w:val="en-US" w:eastAsia="zh-CN"/>
              </w:rPr>
            </w:pPr>
          </w:p>
        </w:tc>
        <w:tc>
          <w:tcPr>
            <w:tcW w:w="9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朱惠文</w:t>
            </w:r>
          </w:p>
        </w:tc>
        <w:tc>
          <w:tcPr>
            <w:tcW w:w="108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简体" w:hAnsi="方正楷体简体" w:eastAsia="方正楷体简体" w:cs="方正楷体简体"/>
                <w:b w:val="0"/>
                <w:bCs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办公室、法规执法科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7" w:hRule="atLeast"/>
        </w:trPr>
        <w:tc>
          <w:tcPr>
            <w:tcW w:w="54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615" w:type="dxa"/>
          </w:tcPr>
          <w:p>
            <w:pPr>
              <w:numPr>
                <w:ilvl w:val="0"/>
                <w:numId w:val="0"/>
              </w:numPr>
              <w:ind w:left="240" w:hanging="240" w:hanging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1.党的十九大精神、十九届二中、三中、四中、五中全会精神、《习近平新时代中国特色社会主义思想学习纲要》，省委十二届十三次全会精神、市委十三届十四次全会精神等。</w:t>
            </w:r>
          </w:p>
          <w:p>
            <w:pPr>
              <w:numPr>
                <w:ilvl w:val="0"/>
                <w:numId w:val="0"/>
              </w:numPr>
              <w:ind w:left="240" w:hanging="240" w:hanging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2.习近平法治思想、习近平总书记对广东工作和统计工作系列重要讲话和指示批示精神，省委书记李希到江门调研的讲话精神等。</w:t>
            </w:r>
          </w:p>
          <w:p>
            <w:pPr>
              <w:numPr>
                <w:ilvl w:val="0"/>
                <w:numId w:val="0"/>
              </w:numPr>
              <w:ind w:left="240" w:hanging="240" w:hangingChars="100"/>
              <w:rPr>
                <w:rFonts w:hint="eastAsia" w:ascii="方正黑体简体" w:hAnsi="方正黑体简体" w:eastAsia="方正黑体简体" w:cs="方正黑体简体"/>
                <w:kern w:val="2"/>
                <w:sz w:val="32"/>
                <w:szCs w:val="32"/>
                <w:lang w:val="en-US" w:eastAsia="zh-CN" w:bidi="ar-SA"/>
              </w:rPr>
            </w:pPr>
            <w:r>
              <w:rPr>
                <w:rFonts w:hint="eastAsia" w:ascii="仿宋" w:hAnsi="仿宋" w:eastAsia="仿宋" w:cs="仿宋"/>
                <w:sz w:val="24"/>
                <w:szCs w:val="24"/>
                <w:vertAlign w:val="baseline"/>
                <w:lang w:val="en-US" w:eastAsia="zh-CN"/>
              </w:rPr>
              <w:t>3.《习近平谈治国理政》，中央省、市有关深化改革系列文件、《防范和惩治统计造假、弄虚作假督察工作规定》等。</w:t>
            </w:r>
          </w:p>
        </w:tc>
        <w:tc>
          <w:tcPr>
            <w:tcW w:w="1005" w:type="dxa"/>
            <w:vMerge w:val="continue"/>
          </w:tcPr>
          <w:p>
            <w:pPr>
              <w:bidi w:val="0"/>
              <w:adjustRightInd w:val="0"/>
              <w:ind w:firstLine="640" w:firstLineChars="200"/>
              <w:rPr>
                <w:rFonts w:hint="eastAsia" w:ascii="方正仿宋简体" w:hAnsi="方正仿宋简体" w:eastAsia="方正仿宋简体" w:cs="方正仿宋简体"/>
                <w:sz w:val="32"/>
                <w:szCs w:val="32"/>
                <w:lang w:val="en-US" w:eastAsia="zh-CN"/>
              </w:rPr>
            </w:pPr>
          </w:p>
        </w:tc>
        <w:tc>
          <w:tcPr>
            <w:tcW w:w="3825"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18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99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108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6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普法计划内容</w:t>
            </w:r>
          </w:p>
        </w:tc>
        <w:tc>
          <w:tcPr>
            <w:tcW w:w="10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对象</w:t>
            </w:r>
          </w:p>
        </w:tc>
        <w:tc>
          <w:tcPr>
            <w:tcW w:w="38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普法目标</w:t>
            </w:r>
          </w:p>
        </w:tc>
        <w:tc>
          <w:tcPr>
            <w:tcW w:w="31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具体措施</w:t>
            </w:r>
          </w:p>
        </w:tc>
        <w:tc>
          <w:tcPr>
            <w:tcW w:w="99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领导</w:t>
            </w:r>
          </w:p>
        </w:tc>
        <w:tc>
          <w:tcPr>
            <w:tcW w:w="10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仿宋_GBK" w:hAnsi="方正仿宋_GBK" w:eastAsia="方正仿宋_GBK" w:cs="方正仿宋_GBK"/>
                <w:sz w:val="28"/>
                <w:szCs w:val="28"/>
                <w:vertAlign w:val="baseline"/>
                <w:lang w:val="en-US" w:eastAsia="zh-CN"/>
              </w:rPr>
              <w:t>二</w:t>
            </w:r>
          </w:p>
        </w:tc>
        <w:tc>
          <w:tcPr>
            <w:tcW w:w="36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黑体" w:hAnsi="黑体" w:eastAsia="黑体" w:cs="黑体"/>
                <w:sz w:val="24"/>
                <w:szCs w:val="24"/>
                <w:vertAlign w:val="baseline"/>
                <w:lang w:val="en-US" w:eastAsia="zh-CN"/>
              </w:rPr>
              <w:t>中国特色社会主义法律体系</w:t>
            </w:r>
          </w:p>
        </w:tc>
        <w:tc>
          <w:tcPr>
            <w:tcW w:w="1005" w:type="dxa"/>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局全体党员干</w:t>
            </w:r>
          </w:p>
          <w:p>
            <w:pPr>
              <w:jc w:val="center"/>
              <w:rPr>
                <w:rFonts w:hint="eastAsia" w:ascii="方正楷体简体" w:hAnsi="方正楷体简体" w:eastAsia="方正楷体简体" w:cs="方正楷体简体"/>
                <w:sz w:val="32"/>
                <w:szCs w:val="32"/>
                <w:lang w:val="en-US" w:eastAsia="zh-CN"/>
              </w:rPr>
            </w:pPr>
            <w:r>
              <w:rPr>
                <w:rFonts w:hint="eastAsia" w:ascii="仿宋" w:hAnsi="仿宋" w:eastAsia="仿宋" w:cs="仿宋"/>
                <w:sz w:val="24"/>
                <w:szCs w:val="24"/>
                <w:vertAlign w:val="baseline"/>
                <w:lang w:val="en-US" w:eastAsia="zh-CN"/>
              </w:rPr>
              <w:t>部职工</w:t>
            </w:r>
          </w:p>
        </w:tc>
        <w:tc>
          <w:tcPr>
            <w:tcW w:w="382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220" w:hanging="240" w:hangingChars="100"/>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1.加强局全体党员干部职工法治意识，全面推动统计法治机关建设。</w:t>
            </w:r>
          </w:p>
          <w:p>
            <w:pPr>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2.努力提高全局依法行政工作意识，促进统计工作的依法管理。</w:t>
            </w:r>
          </w:p>
          <w:p>
            <w:pPr>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仿宋" w:hAnsi="仿宋" w:eastAsia="仿宋" w:cs="仿宋"/>
                <w:kern w:val="0"/>
                <w:sz w:val="24"/>
                <w:szCs w:val="24"/>
                <w:vertAlign w:val="baseline"/>
                <w:lang w:val="en-US" w:eastAsia="zh-CN" w:bidi="ar-SA"/>
              </w:rPr>
              <w:t>3.营造尊法、学法、用法、守法的浓厚法治宣传氛围，为我市法治政府建设贡献统计力量。</w:t>
            </w:r>
          </w:p>
        </w:tc>
        <w:tc>
          <w:tcPr>
            <w:tcW w:w="31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20" w:hanging="220" w:hangingChars="100"/>
              <w:jc w:val="left"/>
              <w:textAlignment w:val="auto"/>
              <w:rPr>
                <w:rFonts w:hint="eastAsia" w:ascii="仿宋" w:hAnsi="仿宋" w:eastAsia="仿宋" w:cs="仿宋"/>
                <w:sz w:val="22"/>
                <w:szCs w:val="22"/>
                <w:vertAlign w:val="baseline"/>
                <w:lang w:val="en-US" w:eastAsia="zh-CN"/>
              </w:rPr>
            </w:pPr>
            <w:r>
              <w:rPr>
                <w:rFonts w:hint="eastAsia" w:ascii="方正楷体简体" w:hAnsi="方正楷体简体" w:eastAsia="方正楷体简体" w:cs="方正楷体简体"/>
                <w:b w:val="0"/>
                <w:bCs w:val="0"/>
                <w:kern w:val="2"/>
                <w:sz w:val="22"/>
                <w:szCs w:val="22"/>
                <w:lang w:val="en-US" w:eastAsia="zh-CN" w:bidi="ar-SA"/>
              </w:rPr>
              <w:t>1.</w:t>
            </w:r>
            <w:r>
              <w:rPr>
                <w:rFonts w:hint="eastAsia" w:ascii="仿宋" w:hAnsi="仿宋" w:eastAsia="仿宋" w:cs="仿宋"/>
                <w:sz w:val="22"/>
                <w:szCs w:val="22"/>
                <w:vertAlign w:val="baseline"/>
                <w:lang w:val="en-US" w:eastAsia="zh-CN"/>
              </w:rPr>
              <w:t>参加市直机关学法专题讲座和培训等。</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2.召开党组会议、党组扩大会议、全局干部职工大会、党员大会等。</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3.领导班子和领导干部年度述职述廉述法工作考核。</w:t>
            </w:r>
          </w:p>
          <w:p>
            <w:pPr>
              <w:numPr>
                <w:ilvl w:val="0"/>
                <w:numId w:val="0"/>
              </w:numPr>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4.发放有关法律法规和书籍。</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5.组织干部职工登录“国家工作人员学法考试系统”“行政执法人员综合法律知识网上考试培训系统”进行学习、考试。</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6.组织干部参加市直机关教育培训，公务员初任培训等。</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7.组织“12.4”国家宪法日、“12.8”统计法颁布纪念日等重大活动。</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8.根据市普法办的安排，结合各大普法平台，组织开展形式多样的民法典宣传实施专题活动。</w:t>
            </w:r>
          </w:p>
          <w:p>
            <w:pPr>
              <w:numPr>
                <w:ilvl w:val="0"/>
                <w:numId w:val="0"/>
              </w:numPr>
              <w:ind w:left="220" w:hanging="220" w:hangingChars="100"/>
              <w:jc w:val="lef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r>
              <w:rPr>
                <w:rFonts w:hint="eastAsia" w:ascii="仿宋" w:hAnsi="仿宋" w:eastAsia="仿宋" w:cs="仿宋"/>
                <w:sz w:val="21"/>
                <w:szCs w:val="21"/>
                <w:vertAlign w:val="baseline"/>
                <w:lang w:val="en-US" w:eastAsia="zh-CN"/>
              </w:rPr>
              <w:t>按要求参加行政诉讼庭审的旁听。</w:t>
            </w:r>
          </w:p>
        </w:tc>
        <w:tc>
          <w:tcPr>
            <w:tcW w:w="9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朱惠文</w:t>
            </w:r>
          </w:p>
        </w:tc>
        <w:tc>
          <w:tcPr>
            <w:tcW w:w="108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办公室、</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法规执法科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5" w:hRule="atLeast"/>
        </w:trPr>
        <w:tc>
          <w:tcPr>
            <w:tcW w:w="54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6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1.《中华人民共和国宪法》</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2.《中华人民共和国民法通则》</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3.《中华人民共和国行政处罚法》（新修订）</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4.《中华人民共和国行政诉讼法》</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5.《中华人民共和国行政许可法》</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6.《中华人民共和国保守国家秘密法》</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7.《中华人民共和国行政复议法》</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8.《中华人民共和国民事诉讼法》</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9.《中华人民共和国政府信息公开条例》</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10.《中华人民共和国民法典》</w:t>
            </w:r>
          </w:p>
          <w:p>
            <w:pPr>
              <w:numPr>
                <w:ilvl w:val="0"/>
                <w:numId w:val="0"/>
              </w:numPr>
              <w:jc w:val="left"/>
              <w:rPr>
                <w:rFonts w:hint="default" w:ascii="仿宋" w:hAnsi="仿宋" w:eastAsia="仿宋" w:cs="仿宋"/>
                <w:sz w:val="24"/>
                <w:szCs w:val="24"/>
                <w:vertAlign w:val="baseline"/>
                <w:lang w:val="en-US" w:eastAsia="zh-CN"/>
              </w:rPr>
            </w:pPr>
          </w:p>
        </w:tc>
        <w:tc>
          <w:tcPr>
            <w:tcW w:w="1005" w:type="dxa"/>
            <w:vMerge w:val="continue"/>
          </w:tcPr>
          <w:p>
            <w:pPr>
              <w:bidi w:val="0"/>
              <w:adjustRightInd w:val="0"/>
              <w:ind w:firstLine="640" w:firstLineChars="200"/>
              <w:rPr>
                <w:rFonts w:hint="eastAsia" w:ascii="方正仿宋简体" w:hAnsi="方正仿宋简体" w:eastAsia="方正仿宋简体" w:cs="方正仿宋简体"/>
                <w:sz w:val="32"/>
                <w:szCs w:val="32"/>
                <w:lang w:val="en-US" w:eastAsia="zh-CN"/>
              </w:rPr>
            </w:pPr>
          </w:p>
        </w:tc>
        <w:tc>
          <w:tcPr>
            <w:tcW w:w="3825"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18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99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108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6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普法计划内容</w:t>
            </w:r>
          </w:p>
        </w:tc>
        <w:tc>
          <w:tcPr>
            <w:tcW w:w="10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对象</w:t>
            </w:r>
          </w:p>
        </w:tc>
        <w:tc>
          <w:tcPr>
            <w:tcW w:w="38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普法目标</w:t>
            </w:r>
          </w:p>
        </w:tc>
        <w:tc>
          <w:tcPr>
            <w:tcW w:w="31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具体措施</w:t>
            </w:r>
          </w:p>
        </w:tc>
        <w:tc>
          <w:tcPr>
            <w:tcW w:w="99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领导</w:t>
            </w:r>
          </w:p>
        </w:tc>
        <w:tc>
          <w:tcPr>
            <w:tcW w:w="10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仿宋_GBK" w:hAnsi="方正仿宋_GBK" w:eastAsia="方正仿宋_GBK" w:cs="方正仿宋_GBK"/>
                <w:sz w:val="28"/>
                <w:szCs w:val="28"/>
                <w:vertAlign w:val="baseline"/>
                <w:lang w:val="en-US" w:eastAsia="zh-CN"/>
              </w:rPr>
              <w:t>三</w:t>
            </w:r>
          </w:p>
        </w:tc>
        <w:tc>
          <w:tcPr>
            <w:tcW w:w="36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cs="方正黑体简体" w:eastAsiaTheme="minorEastAsia"/>
                <w:kern w:val="2"/>
                <w:sz w:val="32"/>
                <w:szCs w:val="32"/>
                <w:lang w:val="en-US" w:eastAsia="zh-CN" w:bidi="ar-SA"/>
              </w:rPr>
            </w:pPr>
            <w:r>
              <w:rPr>
                <w:rFonts w:hint="eastAsia" w:ascii="黑体" w:hAnsi="黑体" w:eastAsia="黑体" w:cs="黑体"/>
                <w:sz w:val="24"/>
                <w:szCs w:val="24"/>
                <w:vertAlign w:val="baseline"/>
                <w:lang w:val="en-US" w:eastAsia="zh-CN"/>
              </w:rPr>
              <w:t>党内法规</w:t>
            </w:r>
          </w:p>
        </w:tc>
        <w:tc>
          <w:tcPr>
            <w:tcW w:w="1005" w:type="dxa"/>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局全体党员干</w:t>
            </w:r>
          </w:p>
          <w:p>
            <w:pPr>
              <w:jc w:val="center"/>
              <w:rPr>
                <w:rFonts w:hint="eastAsia" w:ascii="方正楷体简体" w:hAnsi="方正楷体简体" w:eastAsia="方正楷体简体" w:cs="方正楷体简体"/>
                <w:sz w:val="32"/>
                <w:szCs w:val="32"/>
                <w:lang w:val="en-US" w:eastAsia="zh-CN"/>
              </w:rPr>
            </w:pPr>
            <w:r>
              <w:rPr>
                <w:rFonts w:hint="eastAsia" w:ascii="仿宋" w:hAnsi="仿宋" w:eastAsia="仿宋" w:cs="仿宋"/>
                <w:sz w:val="24"/>
                <w:szCs w:val="24"/>
                <w:vertAlign w:val="baseline"/>
                <w:lang w:val="en-US" w:eastAsia="zh-CN"/>
              </w:rPr>
              <w:t>部职工</w:t>
            </w:r>
          </w:p>
        </w:tc>
        <w:tc>
          <w:tcPr>
            <w:tcW w:w="382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220" w:hanging="240" w:hangingChars="100"/>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1.按照全面从严治党的要求，提高党建的规范化建设，提升组织力，增强“四个意识”，坚定“四个自信”，做到“两个维护”，严守组织纪律，加快推进统计法治机关建设。</w:t>
            </w:r>
          </w:p>
          <w:p>
            <w:pPr>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2.努力提高党员学习党章的积极性，促进党员遵守各项党内纪律，提高党性修养水平。</w:t>
            </w:r>
          </w:p>
          <w:p>
            <w:pPr>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left"/>
              <w:textAlignment w:val="auto"/>
              <w:rPr>
                <w:rFonts w:hint="eastAsia" w:ascii="方正楷体简体" w:hAnsi="方正楷体简体" w:eastAsia="方正楷体简体" w:cs="方正楷体简体"/>
                <w:kern w:val="2"/>
                <w:sz w:val="28"/>
                <w:szCs w:val="28"/>
                <w:lang w:val="en-US" w:eastAsia="zh-CN" w:bidi="ar-SA"/>
              </w:rPr>
            </w:pPr>
            <w:r>
              <w:rPr>
                <w:rFonts w:hint="eastAsia" w:ascii="仿宋" w:hAnsi="仿宋" w:eastAsia="仿宋" w:cs="仿宋"/>
                <w:kern w:val="0"/>
                <w:sz w:val="24"/>
                <w:szCs w:val="24"/>
                <w:vertAlign w:val="baseline"/>
                <w:lang w:val="en-US" w:eastAsia="zh-CN" w:bidi="ar-SA"/>
              </w:rPr>
              <w:t>3.充分发挥党组织“头雁效应”和党员干部先锋模范作用，不断提高党员干部守土有责、守土担责、守土尽责的责任意识和自觉行动。</w:t>
            </w:r>
          </w:p>
        </w:tc>
        <w:tc>
          <w:tcPr>
            <w:tcW w:w="318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40" w:hanging="240" w:hangingChars="1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vertAlign w:val="baseline"/>
                <w:lang w:val="en-US" w:eastAsia="zh-CN" w:bidi="ar-SA"/>
              </w:rPr>
              <w:t>1.</w:t>
            </w:r>
            <w:r>
              <w:rPr>
                <w:rFonts w:hint="eastAsia" w:ascii="仿宋" w:hAnsi="仿宋" w:eastAsia="仿宋" w:cs="仿宋"/>
                <w:sz w:val="24"/>
                <w:szCs w:val="24"/>
                <w:vertAlign w:val="baseline"/>
                <w:lang w:val="en-US" w:eastAsia="zh-CN"/>
              </w:rPr>
              <w:t>组织党员集中学习及自学。</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2.党组会或党组中心组理论学习研讨。</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3.发放有关党内法规书籍。</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4.利用“5.4”、“7.1”等时点，通过民主评议、组织生活、座谈交流等方式大力宣传遵纪守法、爱岗敬业的优秀青年团员和优秀共产党员。</w:t>
            </w:r>
          </w:p>
          <w:p>
            <w:pPr>
              <w:numPr>
                <w:ilvl w:val="0"/>
                <w:numId w:val="0"/>
              </w:numPr>
              <w:ind w:left="240" w:hanging="240" w:hangingChars="100"/>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5.组织全局党员干部参观江门市廉政教育基地。</w:t>
            </w:r>
          </w:p>
        </w:tc>
        <w:tc>
          <w:tcPr>
            <w:tcW w:w="9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朱惠文</w:t>
            </w:r>
          </w:p>
        </w:tc>
        <w:tc>
          <w:tcPr>
            <w:tcW w:w="108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办公室、法规执法科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trPr>
        <w:tc>
          <w:tcPr>
            <w:tcW w:w="54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615" w:type="dxa"/>
            <w:vAlign w:val="center"/>
          </w:tcPr>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1.《中国共产党章程》</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2.《中国共产党纪律处分条例》</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3.《中国共产党巡视工作条例》</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4.《关于新形势下党内政治生活</w:t>
            </w:r>
          </w:p>
          <w:p>
            <w:pPr>
              <w:numPr>
                <w:ilvl w:val="0"/>
                <w:numId w:val="0"/>
              </w:numPr>
              <w:ind w:firstLine="480" w:firstLineChars="2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的若干准则》</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5.《中国共产党廉洁自律准则》</w:t>
            </w:r>
          </w:p>
          <w:p>
            <w:pPr>
              <w:numPr>
                <w:ilvl w:val="0"/>
                <w:numId w:val="0"/>
              </w:numPr>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6.《中国共产党问责条例》</w:t>
            </w:r>
          </w:p>
        </w:tc>
        <w:tc>
          <w:tcPr>
            <w:tcW w:w="1005" w:type="dxa"/>
            <w:vMerge w:val="continue"/>
          </w:tcPr>
          <w:p>
            <w:pPr>
              <w:bidi w:val="0"/>
              <w:adjustRightInd w:val="0"/>
              <w:ind w:firstLine="640" w:firstLineChars="200"/>
              <w:rPr>
                <w:rFonts w:hint="eastAsia" w:ascii="方正仿宋简体" w:hAnsi="方正仿宋简体" w:eastAsia="方正仿宋简体" w:cs="方正仿宋简体"/>
                <w:sz w:val="32"/>
                <w:szCs w:val="32"/>
                <w:lang w:val="en-US" w:eastAsia="zh-CN"/>
              </w:rPr>
            </w:pPr>
          </w:p>
        </w:tc>
        <w:tc>
          <w:tcPr>
            <w:tcW w:w="3825"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18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99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108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r>
    </w:tbl>
    <w:p>
      <w:pPr>
        <w:jc w:val="both"/>
        <w:rPr>
          <w:rFonts w:hint="eastAsia" w:ascii="方正小标宋简体" w:hAnsi="方正小标宋简体" w:eastAsia="方正小标宋简体" w:cs="方正小标宋简体"/>
          <w:kern w:val="44"/>
          <w:sz w:val="44"/>
          <w:szCs w:val="44"/>
          <w:lang w:val="en-US" w:eastAsia="zh-CN" w:bidi="ar-SA"/>
        </w:rPr>
      </w:pP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615"/>
        <w:gridCol w:w="1005"/>
        <w:gridCol w:w="3405"/>
        <w:gridCol w:w="3600"/>
        <w:gridCol w:w="99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5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6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普法计划内容</w:t>
            </w:r>
          </w:p>
        </w:tc>
        <w:tc>
          <w:tcPr>
            <w:tcW w:w="10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对象</w:t>
            </w:r>
          </w:p>
        </w:tc>
        <w:tc>
          <w:tcPr>
            <w:tcW w:w="34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普法目标</w:t>
            </w:r>
          </w:p>
        </w:tc>
        <w:tc>
          <w:tcPr>
            <w:tcW w:w="360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具体措施</w:t>
            </w:r>
          </w:p>
        </w:tc>
        <w:tc>
          <w:tcPr>
            <w:tcW w:w="99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领导</w:t>
            </w:r>
          </w:p>
        </w:tc>
        <w:tc>
          <w:tcPr>
            <w:tcW w:w="101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仿宋_GBK" w:hAnsi="方正仿宋_GBK" w:eastAsia="方正仿宋_GBK" w:cs="方正仿宋_GBK"/>
                <w:sz w:val="28"/>
                <w:szCs w:val="28"/>
                <w:vertAlign w:val="baseline"/>
                <w:lang w:val="en-US" w:eastAsia="zh-CN"/>
              </w:rPr>
              <w:t>四</w:t>
            </w:r>
            <w:bookmarkStart w:id="0" w:name="_GoBack"/>
            <w:bookmarkEnd w:id="0"/>
          </w:p>
        </w:tc>
        <w:tc>
          <w:tcPr>
            <w:tcW w:w="36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cs="方正黑体简体" w:eastAsiaTheme="minorEastAsia"/>
                <w:kern w:val="2"/>
                <w:sz w:val="32"/>
                <w:szCs w:val="32"/>
                <w:lang w:val="en-US" w:eastAsia="zh-CN" w:bidi="ar-SA"/>
              </w:rPr>
            </w:pPr>
            <w:r>
              <w:rPr>
                <w:rFonts w:hint="eastAsia" w:ascii="黑体" w:hAnsi="黑体" w:eastAsia="黑体" w:cs="黑体"/>
                <w:sz w:val="24"/>
                <w:szCs w:val="24"/>
                <w:vertAlign w:val="baseline"/>
                <w:lang w:val="en-US" w:eastAsia="zh-CN"/>
              </w:rPr>
              <w:t>统计法律法规</w:t>
            </w:r>
          </w:p>
        </w:tc>
        <w:tc>
          <w:tcPr>
            <w:tcW w:w="1005" w:type="dxa"/>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局全体党员干</w:t>
            </w:r>
          </w:p>
          <w:p>
            <w:pPr>
              <w:jc w:val="center"/>
              <w:rPr>
                <w:rFonts w:hint="eastAsia" w:ascii="方正楷体简体" w:hAnsi="方正楷体简体" w:eastAsia="方正楷体简体" w:cs="方正楷体简体"/>
                <w:sz w:val="32"/>
                <w:szCs w:val="32"/>
                <w:lang w:val="en-US" w:eastAsia="zh-CN"/>
              </w:rPr>
            </w:pPr>
            <w:r>
              <w:rPr>
                <w:rFonts w:hint="eastAsia" w:ascii="仿宋" w:hAnsi="仿宋" w:eastAsia="仿宋" w:cs="仿宋"/>
                <w:sz w:val="24"/>
                <w:szCs w:val="24"/>
                <w:vertAlign w:val="baseline"/>
                <w:lang w:val="en-US" w:eastAsia="zh-CN"/>
              </w:rPr>
              <w:t>部职工、调查对象、服务对象</w:t>
            </w:r>
          </w:p>
        </w:tc>
        <w:tc>
          <w:tcPr>
            <w:tcW w:w="3405" w:type="dxa"/>
            <w:vMerge w:val="restart"/>
            <w:vAlign w:val="center"/>
          </w:tcPr>
          <w:p>
            <w:pPr>
              <w:numPr>
                <w:ilvl w:val="0"/>
                <w:numId w:val="0"/>
              </w:numPr>
              <w:ind w:left="220" w:hanging="220" w:hangingChars="100"/>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1.促进局全体党员干部职工   在统计服务中普法，面向服务对象和社会公众开展宣传普及，营造统计法律法规学习宣传的浓厚氛围。</w:t>
            </w:r>
          </w:p>
          <w:p>
            <w:pPr>
              <w:numPr>
                <w:ilvl w:val="0"/>
                <w:numId w:val="0"/>
              </w:numPr>
              <w:ind w:left="220" w:hanging="220" w:hangingChars="100"/>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2.进一步健全法治宣传教育机制，有效提高我局普法宣传的质量和效果，营造尊法、学法、用法、守法的浓厚氛围，努力夯实我市统计法治建设的基础。</w:t>
            </w:r>
          </w:p>
          <w:p>
            <w:pPr>
              <w:numPr>
                <w:ilvl w:val="0"/>
                <w:numId w:val="0"/>
              </w:numPr>
              <w:ind w:left="220" w:hanging="220" w:hangingChars="100"/>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3.提高公民依法统计意识，在全社会形成“尊法学法守法用法的良好氛围”，促进统计工作的依法管理，进一步提高统计数据质量。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楷体简体" w:hAnsi="方正楷体简体" w:eastAsia="方正楷体简体" w:cs="方正楷体简体"/>
                <w:kern w:val="2"/>
                <w:sz w:val="28"/>
                <w:szCs w:val="28"/>
                <w:lang w:val="en-US" w:eastAsia="zh-CN" w:bidi="ar-SA"/>
              </w:rPr>
            </w:pPr>
          </w:p>
        </w:tc>
        <w:tc>
          <w:tcPr>
            <w:tcW w:w="3600" w:type="dxa"/>
            <w:vMerge w:val="restart"/>
            <w:vAlign w:val="center"/>
          </w:tcPr>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1.运用网站、微信、微博平台加强《统计法》《统计法实施条例》等法律法规的宣传。</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2.组织行政执法人员积极参加行政执法考试培训。</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3.扩大和丰富开展统计开放日活动的范围和内容。</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4.结合“9.20”统计开放日、“12.4”宪法颁布日、“12.8”统计法实施纪念日等时机，开展普法活动。</w:t>
            </w:r>
          </w:p>
          <w:p>
            <w:pPr>
              <w:numPr>
                <w:ilvl w:val="0"/>
                <w:numId w:val="0"/>
              </w:numPr>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5.发放有关统计法律法规和书籍。</w:t>
            </w:r>
          </w:p>
          <w:p>
            <w:pPr>
              <w:numPr>
                <w:ilvl w:val="0"/>
                <w:numId w:val="0"/>
              </w:numPr>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6.推动《统计法》进各级党校。</w:t>
            </w:r>
          </w:p>
          <w:p>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7.邀请高校老师、公职律师和行政执法专家来局做法治讲座，通过以案释法、举一反三，力求从法理上诠释地位和作用；从执法实践中阐明统计违法的危害性和深刻教训。</w:t>
            </w:r>
          </w:p>
        </w:tc>
        <w:tc>
          <w:tcPr>
            <w:tcW w:w="9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朱惠文</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简体" w:hAnsi="方正楷体简体" w:eastAsia="方正楷体简体" w:cs="方正楷体简体"/>
                <w:b w:val="0"/>
                <w:bCs w:val="0"/>
                <w:kern w:val="2"/>
                <w:sz w:val="24"/>
                <w:szCs w:val="24"/>
                <w:lang w:val="en-US" w:eastAsia="zh-CN" w:bidi="ar-SA"/>
              </w:rPr>
            </w:pPr>
            <w:r>
              <w:rPr>
                <w:rFonts w:hint="eastAsia" w:ascii="方正楷体简体" w:hAnsi="方正楷体简体" w:eastAsia="方正楷体简体" w:cs="方正楷体简体"/>
                <w:b w:val="0"/>
                <w:bCs w:val="0"/>
                <w:kern w:val="2"/>
                <w:sz w:val="24"/>
                <w:szCs w:val="24"/>
                <w:lang w:val="en-US" w:eastAsia="zh-CN" w:bidi="ar-SA"/>
              </w:rPr>
              <w:t>各科室队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trPr>
        <w:tc>
          <w:tcPr>
            <w:tcW w:w="54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615" w:type="dxa"/>
            <w:vAlign w:val="center"/>
          </w:tcPr>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1.《中华人民共和国统计法》</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2.《中华人民共和国统计法实施条例》</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3.《全国人口普查条例》</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4.《全国经济普查条例》</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5.《全国农业普查条例》</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6.《统计执法证管理办法》</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7.《统计执法监督检查办法》</w:t>
            </w:r>
          </w:p>
          <w:p>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8.《企业统计信用管理办法》</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9.《统计从业人员统计信用档案管理办法》</w:t>
            </w:r>
          </w:p>
          <w:p>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10.印发《关于对统计领域严重失信企业及其有关人员开展联合惩戒的合作备忘录（修订版）》的通知</w:t>
            </w:r>
          </w:p>
          <w:p>
            <w:pPr>
              <w:numPr>
                <w:ilvl w:val="0"/>
                <w:numId w:val="0"/>
              </w:num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11.《选编》</w:t>
            </w:r>
          </w:p>
        </w:tc>
        <w:tc>
          <w:tcPr>
            <w:tcW w:w="1005" w:type="dxa"/>
            <w:vMerge w:val="continue"/>
            <w:vAlign w:val="center"/>
          </w:tcPr>
          <w:p>
            <w:pPr>
              <w:bidi w:val="0"/>
              <w:adjustRightInd w:val="0"/>
              <w:ind w:firstLine="640" w:firstLineChars="200"/>
              <w:jc w:val="center"/>
              <w:rPr>
                <w:rFonts w:hint="eastAsia" w:ascii="方正仿宋简体" w:hAnsi="方正仿宋简体" w:eastAsia="方正仿宋简体" w:cs="方正仿宋简体"/>
                <w:sz w:val="32"/>
                <w:szCs w:val="32"/>
                <w:lang w:val="en-US" w:eastAsia="zh-CN"/>
              </w:rPr>
            </w:pPr>
          </w:p>
        </w:tc>
        <w:tc>
          <w:tcPr>
            <w:tcW w:w="3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p>
        </w:tc>
        <w:tc>
          <w:tcPr>
            <w:tcW w:w="36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p>
        </w:tc>
        <w:tc>
          <w:tcPr>
            <w:tcW w:w="99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1019"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r>
    </w:tbl>
    <w:p>
      <w:pPr>
        <w:jc w:val="both"/>
        <w:rPr>
          <w:rFonts w:hint="default" w:ascii="方正小标宋简体" w:hAnsi="方正小标宋简体" w:eastAsia="方正小标宋简体" w:cs="方正小标宋简体"/>
          <w:kern w:val="44"/>
          <w:sz w:val="44"/>
          <w:szCs w:val="44"/>
          <w:lang w:val="en-US" w:eastAsia="zh-CN" w:bidi="ar-SA"/>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pPr>
                          <w:r>
                            <w:rPr>
                              <w:rFonts w:hint="eastAsia" w:ascii="Times New Roman" w:hAnsi="Times New Roman" w:cs="Times New Roman"/>
                              <w:sz w:val="24"/>
                              <w:szCs w:val="24"/>
                            </w:rPr>
                            <w:t xml:space="preserve">— </w:t>
                          </w:r>
                          <w:r>
                            <w:rPr>
                              <w:rFonts w:hint="eastAsia"/>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pPr>
                    <w:r>
                      <w:rPr>
                        <w:rFonts w:hint="eastAsia" w:ascii="Times New Roman" w:hAnsi="Times New Roman" w:cs="Times New Roman"/>
                        <w:sz w:val="24"/>
                        <w:szCs w:val="24"/>
                      </w:rPr>
                      <w:t xml:space="preserve">— </w:t>
                    </w:r>
                    <w:r>
                      <w:rPr>
                        <w:rFonts w:hint="eastAsia"/>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1411"/>
    <w:rsid w:val="0498728B"/>
    <w:rsid w:val="06CE7C94"/>
    <w:rsid w:val="0A3B4E0D"/>
    <w:rsid w:val="0E020193"/>
    <w:rsid w:val="0E0E27E7"/>
    <w:rsid w:val="0EC228D7"/>
    <w:rsid w:val="0F612636"/>
    <w:rsid w:val="0F6E4923"/>
    <w:rsid w:val="11AC370C"/>
    <w:rsid w:val="14256A4E"/>
    <w:rsid w:val="146035B8"/>
    <w:rsid w:val="147F3435"/>
    <w:rsid w:val="156F07F2"/>
    <w:rsid w:val="158C0A8C"/>
    <w:rsid w:val="15F22B16"/>
    <w:rsid w:val="17181ECF"/>
    <w:rsid w:val="19012CF4"/>
    <w:rsid w:val="1A57006F"/>
    <w:rsid w:val="1AE55179"/>
    <w:rsid w:val="1E941066"/>
    <w:rsid w:val="1ECF7C1A"/>
    <w:rsid w:val="1FD912AD"/>
    <w:rsid w:val="20B062B0"/>
    <w:rsid w:val="20F565EE"/>
    <w:rsid w:val="211C16F9"/>
    <w:rsid w:val="221A74EE"/>
    <w:rsid w:val="26BE0365"/>
    <w:rsid w:val="278856DA"/>
    <w:rsid w:val="288D6D69"/>
    <w:rsid w:val="289B6DBE"/>
    <w:rsid w:val="2C233884"/>
    <w:rsid w:val="2C9D68D9"/>
    <w:rsid w:val="2DAA480A"/>
    <w:rsid w:val="2EF02435"/>
    <w:rsid w:val="31A443A0"/>
    <w:rsid w:val="32E05BB7"/>
    <w:rsid w:val="35CB32F3"/>
    <w:rsid w:val="36BF16A9"/>
    <w:rsid w:val="374C146B"/>
    <w:rsid w:val="388C257A"/>
    <w:rsid w:val="397D5AD3"/>
    <w:rsid w:val="39E254EC"/>
    <w:rsid w:val="3AF96F86"/>
    <w:rsid w:val="3B2C04E6"/>
    <w:rsid w:val="3B3B5A2A"/>
    <w:rsid w:val="3B8C2272"/>
    <w:rsid w:val="3BC83964"/>
    <w:rsid w:val="3BD121FE"/>
    <w:rsid w:val="3BD73F9F"/>
    <w:rsid w:val="3BE445AA"/>
    <w:rsid w:val="3DF64F34"/>
    <w:rsid w:val="3F003F9F"/>
    <w:rsid w:val="415C0E9A"/>
    <w:rsid w:val="4171292A"/>
    <w:rsid w:val="463B4B37"/>
    <w:rsid w:val="46A90A4F"/>
    <w:rsid w:val="47405232"/>
    <w:rsid w:val="4AC21A7B"/>
    <w:rsid w:val="4B59580C"/>
    <w:rsid w:val="4B692BB8"/>
    <w:rsid w:val="4BBD5B80"/>
    <w:rsid w:val="4C6D1634"/>
    <w:rsid w:val="4DBF41D4"/>
    <w:rsid w:val="4E8A4F50"/>
    <w:rsid w:val="4EFA7F10"/>
    <w:rsid w:val="50146303"/>
    <w:rsid w:val="50A67135"/>
    <w:rsid w:val="51DE3718"/>
    <w:rsid w:val="52DD0D89"/>
    <w:rsid w:val="54855E0B"/>
    <w:rsid w:val="54E8534F"/>
    <w:rsid w:val="55E643D5"/>
    <w:rsid w:val="56A61DEC"/>
    <w:rsid w:val="56D16AB0"/>
    <w:rsid w:val="58AB6AE2"/>
    <w:rsid w:val="59536E8C"/>
    <w:rsid w:val="59B67FE0"/>
    <w:rsid w:val="5A827ED0"/>
    <w:rsid w:val="5B4E4851"/>
    <w:rsid w:val="5B85119B"/>
    <w:rsid w:val="5D370910"/>
    <w:rsid w:val="5DA566C5"/>
    <w:rsid w:val="5DAB283A"/>
    <w:rsid w:val="5EB37F2A"/>
    <w:rsid w:val="5EBC36F1"/>
    <w:rsid w:val="5F184C77"/>
    <w:rsid w:val="641B5ECF"/>
    <w:rsid w:val="653A73E3"/>
    <w:rsid w:val="67E75180"/>
    <w:rsid w:val="68C31929"/>
    <w:rsid w:val="693D33FE"/>
    <w:rsid w:val="69962A3D"/>
    <w:rsid w:val="69C804F9"/>
    <w:rsid w:val="69F67B98"/>
    <w:rsid w:val="6A7407BB"/>
    <w:rsid w:val="6A7F7106"/>
    <w:rsid w:val="6A8A594A"/>
    <w:rsid w:val="6DEA5FE9"/>
    <w:rsid w:val="6EC91816"/>
    <w:rsid w:val="6EEE3F5F"/>
    <w:rsid w:val="6F32461B"/>
    <w:rsid w:val="6FB13ACE"/>
    <w:rsid w:val="6FB604D3"/>
    <w:rsid w:val="6FDA7945"/>
    <w:rsid w:val="703C01A2"/>
    <w:rsid w:val="71C30B73"/>
    <w:rsid w:val="71D87145"/>
    <w:rsid w:val="734167FF"/>
    <w:rsid w:val="73CF287B"/>
    <w:rsid w:val="7466748C"/>
    <w:rsid w:val="74780A08"/>
    <w:rsid w:val="74B77D7A"/>
    <w:rsid w:val="750D371C"/>
    <w:rsid w:val="75BE1593"/>
    <w:rsid w:val="78CD5F4B"/>
    <w:rsid w:val="7AC84895"/>
    <w:rsid w:val="7B292FB9"/>
    <w:rsid w:val="7C825C80"/>
    <w:rsid w:val="7DA2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0" w:beforeAutospacing="0" w:afterLines="0" w:afterAutospacing="0" w:line="560" w:lineRule="exact"/>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unhideWhenUsed/>
    <w:qFormat/>
    <w:uiPriority w:val="9"/>
    <w:pPr>
      <w:keepNext/>
      <w:keepLines/>
      <w:spacing w:beforeLines="0" w:beforeAutospacing="0" w:afterLines="0" w:afterAutospacing="0" w:line="240" w:lineRule="auto"/>
      <w:ind w:firstLine="720" w:firstLineChars="200"/>
      <w:outlineLvl w:val="1"/>
    </w:pPr>
    <w:rPr>
      <w:rFonts w:ascii="方正黑体简体" w:hAnsi="方正黑体简体" w:eastAsia="方正黑体简体" w:cs="方正黑体简体"/>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2021-03-17T07:05:00Z</dcterms:created>
  <dc:creator>Administrator</dc:creator>
  <cp:lastModifiedBy>李嘉欣(排版打印)</cp:lastModifiedBy>
  <cp:lastPrinted>2021-04-14T09:17:46Z</cp:lastPrinted>
  <dcterms:modified xsi:type="dcterms:W3CDTF">2021-04-14T09:19:26Z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DEAC38F552924FAFADFEC2F567EE2207</vt:lpwstr>
  </property>
</Properties>
</file>