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DECEA" w14:textId="77777777" w:rsidR="00C24A53" w:rsidRPr="00EE1845" w:rsidRDefault="00EE1845">
      <w:pPr>
        <w:spacing w:line="590" w:lineRule="exact"/>
        <w:jc w:val="left"/>
        <w:rPr>
          <w:rFonts w:ascii="仿宋" w:hAnsi="仿宋"/>
        </w:rPr>
      </w:pPr>
      <w:r w:rsidRPr="00EE1845">
        <w:rPr>
          <w:rFonts w:ascii="仿宋" w:hAnsi="仿宋" w:hint="eastAsia"/>
        </w:rPr>
        <w:t>附件1</w:t>
      </w:r>
    </w:p>
    <w:p w14:paraId="13668F3F" w14:textId="77777777" w:rsidR="00C24A53" w:rsidRDefault="00A429CB" w:rsidP="009A70CE">
      <w:pPr>
        <w:spacing w:line="590" w:lineRule="exact"/>
        <w:jc w:val="center"/>
        <w:rPr>
          <w:rFonts w:asciiTheme="majorEastAsia" w:eastAsiaTheme="majorEastAsia" w:hAnsiTheme="majorEastAsia" w:cs="仿宋"/>
          <w:b/>
          <w:sz w:val="44"/>
          <w:szCs w:val="44"/>
        </w:rPr>
      </w:pPr>
      <w:r w:rsidRPr="00EE1845">
        <w:rPr>
          <w:rFonts w:asciiTheme="majorEastAsia" w:eastAsiaTheme="majorEastAsia" w:hAnsiTheme="majorEastAsia" w:cs="仿宋" w:hint="eastAsia"/>
          <w:b/>
          <w:sz w:val="44"/>
          <w:szCs w:val="44"/>
        </w:rPr>
        <w:t>本次检验项目</w:t>
      </w:r>
    </w:p>
    <w:p w14:paraId="60922D3D" w14:textId="77777777" w:rsidR="009A70CE" w:rsidRPr="009A70CE" w:rsidRDefault="00A632C8" w:rsidP="00C05A63">
      <w:pPr>
        <w:pStyle w:val="2"/>
      </w:pPr>
      <w:r>
        <w:t>保健食品</w:t>
      </w:r>
    </w:p>
    <w:p w14:paraId="62DE76B1" w14:textId="77777777" w:rsidR="00DD784E" w:rsidRDefault="00C05A63" w:rsidP="00C05A63">
      <w:pPr>
        <w:pStyle w:val="3"/>
      </w:pPr>
      <w:r>
        <w:rPr>
          <w:rFonts w:hint="eastAsia"/>
        </w:rPr>
        <w:t>（一）</w:t>
      </w:r>
      <w:r w:rsidR="00A429CB" w:rsidRPr="00DD784E">
        <w:rPr>
          <w:rFonts w:hint="eastAsia"/>
        </w:rPr>
        <w:t>抽检依据</w:t>
      </w:r>
    </w:p>
    <w:p w14:paraId="0B7C55F8" w14:textId="1D8E4ECF"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GB2762食品安全国家标准食品中污染物限量</w:t>
      </w:r>
    </w:p>
    <w:p w14:paraId="3BFAD3A0" w14:textId="6F5EC0DC"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GB4789.2食品安全国家标准食品微生物学检验菌落总数测定</w:t>
      </w:r>
    </w:p>
    <w:p w14:paraId="2095745F" w14:textId="70CB0B9D"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GB4789.3食品安全国家标准食品微生物学检验大肠菌群计数</w:t>
      </w:r>
    </w:p>
    <w:p w14:paraId="209E32C9" w14:textId="0CE75B65"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GB4789.4食品安全国家标准食品微生物学检验沙门氏菌检验</w:t>
      </w:r>
    </w:p>
    <w:p w14:paraId="700F0D6D" w14:textId="699BA1DF"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GB4789.10食品安全国家标准食品微生物学检验金黄色葡萄球菌检验</w:t>
      </w:r>
    </w:p>
    <w:p w14:paraId="0C830896" w14:textId="4AAC6826"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GB4789.15食品安全国家标准食品微生物学检验霉菌和酵母计数</w:t>
      </w:r>
    </w:p>
    <w:p w14:paraId="19ED0AE2" w14:textId="353940A3"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GB5009.11食品安全国家标准食品中总砷及无机砷的测定</w:t>
      </w:r>
    </w:p>
    <w:p w14:paraId="35C72FE8" w14:textId="4EAA5202"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GB5009.12食品安全国家标准食品中铅的测定</w:t>
      </w:r>
    </w:p>
    <w:p w14:paraId="3585ACC7" w14:textId="1219C4A1"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GB5009.17食品安全国家标准食品中总汞及有机汞的测定</w:t>
      </w:r>
    </w:p>
    <w:p w14:paraId="64420B6F" w14:textId="660FE932"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GB16740食品安全国家标准保健食品</w:t>
      </w:r>
    </w:p>
    <w:p w14:paraId="54BD838E" w14:textId="30B3191A"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GB29921食品安全国家标准食品中致病菌限量</w:t>
      </w:r>
    </w:p>
    <w:p w14:paraId="37AC969B" w14:textId="68A963E2"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lastRenderedPageBreak/>
        <w:t>《中国药典》2015年版</w:t>
      </w:r>
    </w:p>
    <w:p w14:paraId="731A8A21" w14:textId="4569D65A"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食药监办许[2010]114号</w:t>
      </w:r>
    </w:p>
    <w:p w14:paraId="5C31FB50" w14:textId="77777777"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国家食品药品监督管理总局药品检验补充检验方法和检验项目批准件</w:t>
      </w:r>
    </w:p>
    <w:p w14:paraId="0483187D" w14:textId="77777777" w:rsidR="00A632C8" w:rsidRPr="00A632C8"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现行有效的企业标准及产品明示质量要求</w:t>
      </w:r>
    </w:p>
    <w:p w14:paraId="344F2085" w14:textId="77777777" w:rsidR="00C05A63" w:rsidRPr="00C05A63"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相关的法律法规、部门规章和规定</w:t>
      </w:r>
    </w:p>
    <w:p w14:paraId="5A9F4F21" w14:textId="77777777" w:rsidR="00C24A53" w:rsidRDefault="00A429CB" w:rsidP="00C05A63">
      <w:pPr>
        <w:pStyle w:val="3"/>
      </w:pPr>
      <w:r w:rsidRPr="00C05A63">
        <w:rPr>
          <w:rFonts w:hint="eastAsia"/>
        </w:rPr>
        <w:t>（二）检验项目</w:t>
      </w:r>
    </w:p>
    <w:p w14:paraId="4ADCB4CC" w14:textId="06C909F1" w:rsidR="00C05A63" w:rsidRPr="009944FC" w:rsidRDefault="00A632C8" w:rsidP="009944FC">
      <w:pPr>
        <w:shd w:val="clear" w:color="auto" w:fill="FFFFFF"/>
        <w:snapToGrid w:val="0"/>
        <w:spacing w:line="590" w:lineRule="exact"/>
        <w:ind w:firstLineChars="200" w:firstLine="640"/>
        <w:rPr>
          <w:rFonts w:ascii="仿宋" w:hAnsi="仿宋"/>
        </w:rPr>
      </w:pPr>
      <w:r>
        <w:rPr>
          <w:rFonts w:ascii="仿宋" w:hAnsi="仿宋" w:hint="eastAsia"/>
        </w:rPr>
        <w:t>保健食品检测</w:t>
      </w:r>
      <w:r w:rsidR="00C05A63" w:rsidRPr="00C05A63">
        <w:rPr>
          <w:rFonts w:ascii="仿宋" w:hAnsi="仿宋" w:hint="eastAsia"/>
        </w:rPr>
        <w:t>项目包括</w:t>
      </w:r>
      <w:r w:rsidR="00850DFE" w:rsidRPr="00850DFE">
        <w:rPr>
          <w:rFonts w:ascii="仿宋" w:hAnsi="仿宋" w:hint="eastAsia"/>
        </w:rPr>
        <w:t>PH值、氨基他达那非、崩解时限、不溶性膳食纤维、大肠菌群、泛酸、辅酶Q10、钙（以Ca计）、汞（以Hg计）、豪莫西地那非、黄曲霉毒素B1、灰分、金黄色葡萄球菌、菌落总数、可溶性固形物、硫代艾地那非、硫酸软骨素、霉菌和酵母、那红地那非、那莫西地那非、铅（以Pb计）、羟基豪莫西地那非、沙门氏菌、砷（以As计）、水分、酸价、铁、维生素B1、维生素B2、维生素B6、维生素C、维生素D（以胆钙化醇计）、伪伐地那非、西地那非/伟哥、相对密度、锌、烟酸、盐酸氨基葡萄糖、叶酸、总汞（以Hg计）、总砷（以As计）</w:t>
      </w:r>
      <w:r w:rsidR="00850DFE">
        <w:rPr>
          <w:rFonts w:ascii="仿宋" w:hAnsi="仿宋" w:hint="eastAsia"/>
        </w:rPr>
        <w:t>.</w:t>
      </w:r>
    </w:p>
    <w:sectPr w:rsidR="00C05A63" w:rsidRPr="009944FC" w:rsidSect="00D31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AB96" w14:textId="77777777" w:rsidR="008763E9" w:rsidRDefault="008763E9" w:rsidP="00EF7126">
      <w:r>
        <w:separator/>
      </w:r>
    </w:p>
  </w:endnote>
  <w:endnote w:type="continuationSeparator" w:id="0">
    <w:p w14:paraId="344A2E2E" w14:textId="77777777" w:rsidR="008763E9" w:rsidRDefault="008763E9" w:rsidP="00EF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F2BD3" w14:textId="77777777" w:rsidR="008763E9" w:rsidRDefault="008763E9" w:rsidP="00EF7126">
      <w:r>
        <w:separator/>
      </w:r>
    </w:p>
  </w:footnote>
  <w:footnote w:type="continuationSeparator" w:id="0">
    <w:p w14:paraId="617171EF" w14:textId="77777777" w:rsidR="008763E9" w:rsidRDefault="008763E9" w:rsidP="00EF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6749"/>
    <w:multiLevelType w:val="hybridMultilevel"/>
    <w:tmpl w:val="7C9E4864"/>
    <w:lvl w:ilvl="0" w:tplc="7CB0D56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2625B"/>
    <w:multiLevelType w:val="hybridMultilevel"/>
    <w:tmpl w:val="A46E926C"/>
    <w:lvl w:ilvl="0" w:tplc="1E7852F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A520FE"/>
    <w:multiLevelType w:val="hybridMultilevel"/>
    <w:tmpl w:val="2F7C1C2C"/>
    <w:lvl w:ilvl="0" w:tplc="E934F66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334F7D"/>
    <w:multiLevelType w:val="hybridMultilevel"/>
    <w:tmpl w:val="374013B2"/>
    <w:lvl w:ilvl="0" w:tplc="C476953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E21063"/>
    <w:multiLevelType w:val="hybridMultilevel"/>
    <w:tmpl w:val="E1C87AF4"/>
    <w:lvl w:ilvl="0" w:tplc="6F5EEC8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583FC9"/>
    <w:multiLevelType w:val="hybridMultilevel"/>
    <w:tmpl w:val="6860A256"/>
    <w:lvl w:ilvl="0" w:tplc="3C0E6BC2">
      <w:start w:val="1"/>
      <w:numFmt w:val="japaneseCounting"/>
      <w:pStyle w:val="2"/>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011ACE"/>
    <w:multiLevelType w:val="hybridMultilevel"/>
    <w:tmpl w:val="87BCBFD6"/>
    <w:lvl w:ilvl="0" w:tplc="9DB48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5FA7D5A"/>
    <w:multiLevelType w:val="hybridMultilevel"/>
    <w:tmpl w:val="884438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FAB3779"/>
    <w:multiLevelType w:val="hybridMultilevel"/>
    <w:tmpl w:val="BB5A168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8B6A91"/>
    <w:multiLevelType w:val="hybridMultilevel"/>
    <w:tmpl w:val="C024D1EC"/>
    <w:lvl w:ilvl="0" w:tplc="772C74D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8225BF"/>
    <w:multiLevelType w:val="hybridMultilevel"/>
    <w:tmpl w:val="5D26E01A"/>
    <w:lvl w:ilvl="0" w:tplc="AABA38F4">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87F389A"/>
    <w:multiLevelType w:val="hybridMultilevel"/>
    <w:tmpl w:val="8BDE528E"/>
    <w:lvl w:ilvl="0" w:tplc="EC9EF5C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1A3BBB"/>
    <w:multiLevelType w:val="hybridMultilevel"/>
    <w:tmpl w:val="ABC4EFDE"/>
    <w:lvl w:ilvl="0" w:tplc="E7EAB2A4">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3355C"/>
    <w:multiLevelType w:val="hybridMultilevel"/>
    <w:tmpl w:val="5E846A30"/>
    <w:lvl w:ilvl="0" w:tplc="E5FA439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FB907C0"/>
    <w:multiLevelType w:val="hybridMultilevel"/>
    <w:tmpl w:val="5E08E98A"/>
    <w:lvl w:ilvl="0" w:tplc="7B42117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E22DF0"/>
    <w:multiLevelType w:val="hybridMultilevel"/>
    <w:tmpl w:val="B860B012"/>
    <w:lvl w:ilvl="0" w:tplc="ACB2BF1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B32B7"/>
    <w:multiLevelType w:val="hybridMultilevel"/>
    <w:tmpl w:val="EBC688E0"/>
    <w:lvl w:ilvl="0" w:tplc="F3C69ED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232DFB"/>
    <w:multiLevelType w:val="hybridMultilevel"/>
    <w:tmpl w:val="AD6EF4B2"/>
    <w:lvl w:ilvl="0" w:tplc="0374CA4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7E03C0"/>
    <w:multiLevelType w:val="hybridMultilevel"/>
    <w:tmpl w:val="D2BC3468"/>
    <w:lvl w:ilvl="0" w:tplc="F7147A8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88092B"/>
    <w:multiLevelType w:val="hybridMultilevel"/>
    <w:tmpl w:val="3E64EDC0"/>
    <w:lvl w:ilvl="0" w:tplc="E7DA2DB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7"/>
  </w:num>
  <w:num w:numId="4">
    <w:abstractNumId w:val="5"/>
  </w:num>
  <w:num w:numId="5">
    <w:abstractNumId w:val="2"/>
  </w:num>
  <w:num w:numId="6">
    <w:abstractNumId w:val="19"/>
  </w:num>
  <w:num w:numId="7">
    <w:abstractNumId w:val="17"/>
  </w:num>
  <w:num w:numId="8">
    <w:abstractNumId w:val="13"/>
  </w:num>
  <w:num w:numId="9">
    <w:abstractNumId w:val="4"/>
  </w:num>
  <w:num w:numId="10">
    <w:abstractNumId w:val="11"/>
  </w:num>
  <w:num w:numId="11">
    <w:abstractNumId w:val="1"/>
  </w:num>
  <w:num w:numId="12">
    <w:abstractNumId w:val="10"/>
  </w:num>
  <w:num w:numId="13">
    <w:abstractNumId w:val="15"/>
  </w:num>
  <w:num w:numId="14">
    <w:abstractNumId w:val="0"/>
  </w:num>
  <w:num w:numId="15">
    <w:abstractNumId w:val="14"/>
  </w:num>
  <w:num w:numId="16">
    <w:abstractNumId w:val="12"/>
  </w:num>
  <w:num w:numId="17">
    <w:abstractNumId w:val="3"/>
  </w:num>
  <w:num w:numId="18">
    <w:abstractNumId w:val="18"/>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UwMTA3AkEzS3MjJR2l4NTi4sz8PJAC41oAoPE+6CwAAAA="/>
  </w:docVars>
  <w:rsids>
    <w:rsidRoot w:val="3AC03211"/>
    <w:rsid w:val="0003460D"/>
    <w:rsid w:val="000417B7"/>
    <w:rsid w:val="00052B39"/>
    <w:rsid w:val="00054C81"/>
    <w:rsid w:val="000572B6"/>
    <w:rsid w:val="00064C1F"/>
    <w:rsid w:val="0007118D"/>
    <w:rsid w:val="000801EC"/>
    <w:rsid w:val="000C363A"/>
    <w:rsid w:val="00106F7D"/>
    <w:rsid w:val="00136B19"/>
    <w:rsid w:val="001422E1"/>
    <w:rsid w:val="00164A95"/>
    <w:rsid w:val="001A267F"/>
    <w:rsid w:val="001B33C8"/>
    <w:rsid w:val="001F3311"/>
    <w:rsid w:val="00220048"/>
    <w:rsid w:val="0022138D"/>
    <w:rsid w:val="00223B22"/>
    <w:rsid w:val="00241242"/>
    <w:rsid w:val="00254DDD"/>
    <w:rsid w:val="00257BE3"/>
    <w:rsid w:val="00263376"/>
    <w:rsid w:val="00265ECD"/>
    <w:rsid w:val="002945AB"/>
    <w:rsid w:val="002B26E4"/>
    <w:rsid w:val="002C5E62"/>
    <w:rsid w:val="002D43FE"/>
    <w:rsid w:val="002D45E9"/>
    <w:rsid w:val="00351721"/>
    <w:rsid w:val="003600EA"/>
    <w:rsid w:val="00367587"/>
    <w:rsid w:val="00372532"/>
    <w:rsid w:val="00374A51"/>
    <w:rsid w:val="00382C4A"/>
    <w:rsid w:val="00387AE5"/>
    <w:rsid w:val="003A16A4"/>
    <w:rsid w:val="003A1E05"/>
    <w:rsid w:val="003A79C5"/>
    <w:rsid w:val="003B4B33"/>
    <w:rsid w:val="003C3EE9"/>
    <w:rsid w:val="003D4B01"/>
    <w:rsid w:val="003D6DF1"/>
    <w:rsid w:val="003F3A63"/>
    <w:rsid w:val="003F56A9"/>
    <w:rsid w:val="00412037"/>
    <w:rsid w:val="00466A4A"/>
    <w:rsid w:val="00483A8B"/>
    <w:rsid w:val="00486833"/>
    <w:rsid w:val="004933B9"/>
    <w:rsid w:val="004B3352"/>
    <w:rsid w:val="004B3990"/>
    <w:rsid w:val="004E637E"/>
    <w:rsid w:val="004F2D1E"/>
    <w:rsid w:val="004F2EAD"/>
    <w:rsid w:val="00500F05"/>
    <w:rsid w:val="005033C4"/>
    <w:rsid w:val="005115C2"/>
    <w:rsid w:val="00533B18"/>
    <w:rsid w:val="00545D16"/>
    <w:rsid w:val="00547DEE"/>
    <w:rsid w:val="005631EB"/>
    <w:rsid w:val="00564C0C"/>
    <w:rsid w:val="0059639F"/>
    <w:rsid w:val="005D50DA"/>
    <w:rsid w:val="005F4D1D"/>
    <w:rsid w:val="00615785"/>
    <w:rsid w:val="00622C5D"/>
    <w:rsid w:val="00633999"/>
    <w:rsid w:val="00640196"/>
    <w:rsid w:val="006972CA"/>
    <w:rsid w:val="006A1353"/>
    <w:rsid w:val="006A6ECE"/>
    <w:rsid w:val="006B1E29"/>
    <w:rsid w:val="006B78E1"/>
    <w:rsid w:val="006E78C5"/>
    <w:rsid w:val="006F52D3"/>
    <w:rsid w:val="00704DD6"/>
    <w:rsid w:val="00742642"/>
    <w:rsid w:val="007540AB"/>
    <w:rsid w:val="0075503A"/>
    <w:rsid w:val="007552D5"/>
    <w:rsid w:val="00765A81"/>
    <w:rsid w:val="00767533"/>
    <w:rsid w:val="007749F0"/>
    <w:rsid w:val="00776B71"/>
    <w:rsid w:val="00786F76"/>
    <w:rsid w:val="00794C78"/>
    <w:rsid w:val="007F30DF"/>
    <w:rsid w:val="00811046"/>
    <w:rsid w:val="00811C44"/>
    <w:rsid w:val="00826788"/>
    <w:rsid w:val="008276F3"/>
    <w:rsid w:val="00831098"/>
    <w:rsid w:val="00831E21"/>
    <w:rsid w:val="00847707"/>
    <w:rsid w:val="00850DFE"/>
    <w:rsid w:val="00852A3C"/>
    <w:rsid w:val="00865E4B"/>
    <w:rsid w:val="008763E9"/>
    <w:rsid w:val="0088089B"/>
    <w:rsid w:val="008A123E"/>
    <w:rsid w:val="008B32D9"/>
    <w:rsid w:val="0091310C"/>
    <w:rsid w:val="0093216B"/>
    <w:rsid w:val="00935A35"/>
    <w:rsid w:val="00950A03"/>
    <w:rsid w:val="00962DD3"/>
    <w:rsid w:val="009668E2"/>
    <w:rsid w:val="00966F04"/>
    <w:rsid w:val="0097650A"/>
    <w:rsid w:val="00993EF2"/>
    <w:rsid w:val="009944FC"/>
    <w:rsid w:val="009A70CE"/>
    <w:rsid w:val="009B692F"/>
    <w:rsid w:val="009C1BB2"/>
    <w:rsid w:val="009E2067"/>
    <w:rsid w:val="00A15EE9"/>
    <w:rsid w:val="00A429CB"/>
    <w:rsid w:val="00A50490"/>
    <w:rsid w:val="00A632C8"/>
    <w:rsid w:val="00A727C9"/>
    <w:rsid w:val="00A73A51"/>
    <w:rsid w:val="00A81D07"/>
    <w:rsid w:val="00AA0779"/>
    <w:rsid w:val="00AA2507"/>
    <w:rsid w:val="00AB0453"/>
    <w:rsid w:val="00AB4465"/>
    <w:rsid w:val="00AC6822"/>
    <w:rsid w:val="00AD060C"/>
    <w:rsid w:val="00AD5875"/>
    <w:rsid w:val="00AE6427"/>
    <w:rsid w:val="00AF2D24"/>
    <w:rsid w:val="00AF5216"/>
    <w:rsid w:val="00B24421"/>
    <w:rsid w:val="00B57347"/>
    <w:rsid w:val="00B7352D"/>
    <w:rsid w:val="00BB2AC0"/>
    <w:rsid w:val="00BD12AA"/>
    <w:rsid w:val="00BE25E5"/>
    <w:rsid w:val="00BE3BBC"/>
    <w:rsid w:val="00BE46EE"/>
    <w:rsid w:val="00BF3734"/>
    <w:rsid w:val="00C0460F"/>
    <w:rsid w:val="00C05A63"/>
    <w:rsid w:val="00C10D64"/>
    <w:rsid w:val="00C202C2"/>
    <w:rsid w:val="00C24A53"/>
    <w:rsid w:val="00C2535F"/>
    <w:rsid w:val="00C36455"/>
    <w:rsid w:val="00C61259"/>
    <w:rsid w:val="00C67BE7"/>
    <w:rsid w:val="00C974E2"/>
    <w:rsid w:val="00CA0789"/>
    <w:rsid w:val="00CB0DF2"/>
    <w:rsid w:val="00CC634A"/>
    <w:rsid w:val="00CD0F9A"/>
    <w:rsid w:val="00CF0A3A"/>
    <w:rsid w:val="00CF4D75"/>
    <w:rsid w:val="00D02C10"/>
    <w:rsid w:val="00D27A24"/>
    <w:rsid w:val="00D316E1"/>
    <w:rsid w:val="00D5110C"/>
    <w:rsid w:val="00D54AD6"/>
    <w:rsid w:val="00D57ABE"/>
    <w:rsid w:val="00D64503"/>
    <w:rsid w:val="00D6509B"/>
    <w:rsid w:val="00D65773"/>
    <w:rsid w:val="00D86384"/>
    <w:rsid w:val="00D865E2"/>
    <w:rsid w:val="00DA6872"/>
    <w:rsid w:val="00DD2BB2"/>
    <w:rsid w:val="00DD784E"/>
    <w:rsid w:val="00DF60F0"/>
    <w:rsid w:val="00E10BF3"/>
    <w:rsid w:val="00E24CB3"/>
    <w:rsid w:val="00E34301"/>
    <w:rsid w:val="00E410AF"/>
    <w:rsid w:val="00E43353"/>
    <w:rsid w:val="00E50A40"/>
    <w:rsid w:val="00E64023"/>
    <w:rsid w:val="00E71930"/>
    <w:rsid w:val="00E84157"/>
    <w:rsid w:val="00E97B55"/>
    <w:rsid w:val="00ED5E54"/>
    <w:rsid w:val="00ED77B3"/>
    <w:rsid w:val="00EE1845"/>
    <w:rsid w:val="00EE4E59"/>
    <w:rsid w:val="00EE52EC"/>
    <w:rsid w:val="00EF4675"/>
    <w:rsid w:val="00EF6FA7"/>
    <w:rsid w:val="00EF7126"/>
    <w:rsid w:val="00EF7805"/>
    <w:rsid w:val="00F04689"/>
    <w:rsid w:val="00F17387"/>
    <w:rsid w:val="00F21941"/>
    <w:rsid w:val="00F27105"/>
    <w:rsid w:val="00F35220"/>
    <w:rsid w:val="00F40987"/>
    <w:rsid w:val="00FA149A"/>
    <w:rsid w:val="00FB4D52"/>
    <w:rsid w:val="00FB6C69"/>
    <w:rsid w:val="00FD160B"/>
    <w:rsid w:val="02365ABE"/>
    <w:rsid w:val="386D6E5C"/>
    <w:rsid w:val="3AC03211"/>
    <w:rsid w:val="6A1B3B8E"/>
    <w:rsid w:val="7BB1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B4CB0"/>
  <w15:docId w15:val="{47DE81E0-79DF-4A57-93FB-E710C9B5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301"/>
    <w:pPr>
      <w:widowControl w:val="0"/>
      <w:jc w:val="both"/>
    </w:pPr>
    <w:rPr>
      <w:rFonts w:eastAsia="仿宋"/>
      <w:kern w:val="2"/>
      <w:sz w:val="32"/>
      <w:szCs w:val="24"/>
    </w:rPr>
  </w:style>
  <w:style w:type="paragraph" w:styleId="2">
    <w:name w:val="heading 2"/>
    <w:basedOn w:val="a"/>
    <w:next w:val="a"/>
    <w:link w:val="20"/>
    <w:unhideWhenUsed/>
    <w:qFormat/>
    <w:rsid w:val="00C05A63"/>
    <w:pPr>
      <w:keepNext/>
      <w:keepLines/>
      <w:numPr>
        <w:numId w:val="4"/>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autoRedefine/>
    <w:unhideWhenUsed/>
    <w:qFormat/>
    <w:rsid w:val="00C05A63"/>
    <w:pPr>
      <w:shd w:val="clear" w:color="auto" w:fill="FFFFFF"/>
      <w:spacing w:line="590" w:lineRule="exact"/>
      <w:outlineLvl w:val="2"/>
    </w:pPr>
    <w:rPr>
      <w:rFonts w:ascii="楷体" w:hAnsi="楷体"/>
    </w:rPr>
  </w:style>
  <w:style w:type="paragraph" w:styleId="4">
    <w:name w:val="heading 4"/>
    <w:basedOn w:val="a"/>
    <w:next w:val="a"/>
    <w:link w:val="40"/>
    <w:unhideWhenUsed/>
    <w:qFormat/>
    <w:rsid w:val="00C05A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16E1"/>
    <w:pPr>
      <w:tabs>
        <w:tab w:val="center" w:pos="4153"/>
        <w:tab w:val="right" w:pos="8306"/>
      </w:tabs>
      <w:snapToGrid w:val="0"/>
      <w:jc w:val="left"/>
    </w:pPr>
    <w:rPr>
      <w:sz w:val="18"/>
      <w:szCs w:val="18"/>
    </w:rPr>
  </w:style>
  <w:style w:type="character" w:styleId="a4">
    <w:name w:val="page number"/>
    <w:basedOn w:val="a0"/>
    <w:rsid w:val="00D316E1"/>
  </w:style>
  <w:style w:type="paragraph" w:styleId="a5">
    <w:name w:val="header"/>
    <w:basedOn w:val="a"/>
    <w:link w:val="a6"/>
    <w:unhideWhenUsed/>
    <w:rsid w:val="00EF71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F7126"/>
    <w:rPr>
      <w:rFonts w:eastAsia="仿宋"/>
      <w:kern w:val="2"/>
      <w:sz w:val="18"/>
      <w:szCs w:val="18"/>
    </w:rPr>
  </w:style>
  <w:style w:type="paragraph" w:styleId="a7">
    <w:name w:val="List Paragraph"/>
    <w:basedOn w:val="a"/>
    <w:uiPriority w:val="99"/>
    <w:unhideWhenUsed/>
    <w:rsid w:val="00EF7126"/>
    <w:pPr>
      <w:ind w:firstLineChars="200" w:firstLine="420"/>
    </w:pPr>
  </w:style>
  <w:style w:type="paragraph" w:styleId="a8">
    <w:name w:val="Body Text"/>
    <w:basedOn w:val="a"/>
    <w:link w:val="a9"/>
    <w:uiPriority w:val="1"/>
    <w:qFormat/>
    <w:rsid w:val="006E78C5"/>
    <w:pPr>
      <w:autoSpaceDE w:val="0"/>
      <w:autoSpaceDN w:val="0"/>
      <w:ind w:left="651"/>
      <w:jc w:val="left"/>
    </w:pPr>
    <w:rPr>
      <w:rFonts w:ascii="宋体" w:eastAsia="宋体" w:hAnsi="宋体" w:cs="宋体"/>
      <w:kern w:val="0"/>
      <w:sz w:val="21"/>
      <w:szCs w:val="21"/>
      <w:lang w:val="zh-CN" w:bidi="zh-CN"/>
    </w:rPr>
  </w:style>
  <w:style w:type="character" w:customStyle="1" w:styleId="a9">
    <w:name w:val="正文文本 字符"/>
    <w:basedOn w:val="a0"/>
    <w:link w:val="a8"/>
    <w:uiPriority w:val="1"/>
    <w:rsid w:val="006E78C5"/>
    <w:rPr>
      <w:rFonts w:ascii="宋体" w:hAnsi="宋体" w:cs="宋体"/>
      <w:sz w:val="21"/>
      <w:szCs w:val="21"/>
      <w:lang w:val="zh-CN" w:bidi="zh-CN"/>
    </w:rPr>
  </w:style>
  <w:style w:type="paragraph" w:customStyle="1" w:styleId="Default">
    <w:name w:val="Default"/>
    <w:rsid w:val="0088089B"/>
    <w:pPr>
      <w:widowControl w:val="0"/>
      <w:autoSpaceDE w:val="0"/>
      <w:autoSpaceDN w:val="0"/>
      <w:adjustRightInd w:val="0"/>
    </w:pPr>
    <w:rPr>
      <w:color w:val="000000"/>
      <w:sz w:val="24"/>
      <w:szCs w:val="24"/>
    </w:rPr>
  </w:style>
  <w:style w:type="character" w:customStyle="1" w:styleId="20">
    <w:name w:val="标题 2 字符"/>
    <w:basedOn w:val="a0"/>
    <w:link w:val="2"/>
    <w:rsid w:val="00C05A63"/>
    <w:rPr>
      <w:rFonts w:asciiTheme="majorHAnsi" w:eastAsiaTheme="majorEastAsia" w:hAnsiTheme="majorHAnsi" w:cstheme="majorBidi"/>
      <w:b/>
      <w:bCs/>
      <w:kern w:val="2"/>
      <w:sz w:val="32"/>
      <w:szCs w:val="32"/>
    </w:rPr>
  </w:style>
  <w:style w:type="character" w:customStyle="1" w:styleId="30">
    <w:name w:val="标题 3 字符"/>
    <w:basedOn w:val="a0"/>
    <w:link w:val="3"/>
    <w:rsid w:val="00C05A63"/>
    <w:rPr>
      <w:rFonts w:ascii="楷体" w:eastAsia="仿宋" w:hAnsi="楷体"/>
      <w:kern w:val="2"/>
      <w:sz w:val="32"/>
      <w:szCs w:val="24"/>
      <w:shd w:val="clear" w:color="auto" w:fill="FFFFFF"/>
    </w:rPr>
  </w:style>
  <w:style w:type="character" w:customStyle="1" w:styleId="40">
    <w:name w:val="标题 4 字符"/>
    <w:basedOn w:val="a0"/>
    <w:link w:val="4"/>
    <w:rsid w:val="00C05A63"/>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367810">
      <w:bodyDiv w:val="1"/>
      <w:marLeft w:val="0"/>
      <w:marRight w:val="0"/>
      <w:marTop w:val="0"/>
      <w:marBottom w:val="0"/>
      <w:divBdr>
        <w:top w:val="none" w:sz="0" w:space="0" w:color="auto"/>
        <w:left w:val="none" w:sz="0" w:space="0" w:color="auto"/>
        <w:bottom w:val="none" w:sz="0" w:space="0" w:color="auto"/>
        <w:right w:val="none" w:sz="0" w:space="0" w:color="auto"/>
      </w:divBdr>
    </w:div>
    <w:div w:id="694424793">
      <w:bodyDiv w:val="1"/>
      <w:marLeft w:val="0"/>
      <w:marRight w:val="0"/>
      <w:marTop w:val="0"/>
      <w:marBottom w:val="0"/>
      <w:divBdr>
        <w:top w:val="none" w:sz="0" w:space="0" w:color="auto"/>
        <w:left w:val="none" w:sz="0" w:space="0" w:color="auto"/>
        <w:bottom w:val="none" w:sz="0" w:space="0" w:color="auto"/>
        <w:right w:val="none" w:sz="0" w:space="0" w:color="auto"/>
      </w:divBdr>
    </w:div>
    <w:div w:id="816608379">
      <w:bodyDiv w:val="1"/>
      <w:marLeft w:val="0"/>
      <w:marRight w:val="0"/>
      <w:marTop w:val="0"/>
      <w:marBottom w:val="0"/>
      <w:divBdr>
        <w:top w:val="none" w:sz="0" w:space="0" w:color="auto"/>
        <w:left w:val="none" w:sz="0" w:space="0" w:color="auto"/>
        <w:bottom w:val="none" w:sz="0" w:space="0" w:color="auto"/>
        <w:right w:val="none" w:sz="0" w:space="0" w:color="auto"/>
      </w:divBdr>
    </w:div>
    <w:div w:id="1819178428">
      <w:bodyDiv w:val="1"/>
      <w:marLeft w:val="0"/>
      <w:marRight w:val="0"/>
      <w:marTop w:val="0"/>
      <w:marBottom w:val="0"/>
      <w:divBdr>
        <w:top w:val="none" w:sz="0" w:space="0" w:color="auto"/>
        <w:left w:val="none" w:sz="0" w:space="0" w:color="auto"/>
        <w:bottom w:val="none" w:sz="0" w:space="0" w:color="auto"/>
        <w:right w:val="none" w:sz="0" w:space="0" w:color="auto"/>
      </w:divBdr>
      <w:divsChild>
        <w:div w:id="829977761">
          <w:marLeft w:val="0"/>
          <w:marRight w:val="0"/>
          <w:marTop w:val="375"/>
          <w:marBottom w:val="0"/>
          <w:divBdr>
            <w:top w:val="single" w:sz="6" w:space="0" w:color="000000"/>
            <w:left w:val="single" w:sz="6" w:space="0" w:color="000000"/>
            <w:bottom w:val="single" w:sz="6" w:space="0" w:color="000000"/>
            <w:right w:val="single" w:sz="6" w:space="0" w:color="000000"/>
          </w:divBdr>
        </w:div>
      </w:divsChild>
    </w:div>
    <w:div w:id="204979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8359D-3D71-4285-B46E-AA65A895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104</Words>
  <Characters>598</Characters>
  <Application>Microsoft Office Word</Application>
  <DocSecurity>0</DocSecurity>
  <Lines>4</Lines>
  <Paragraphs>1</Paragraphs>
  <ScaleCrop>false</ScaleCrop>
  <Company>省食品药品监督管理局</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陆江成</dc:creator>
  <cp:lastModifiedBy>厚德 载物</cp:lastModifiedBy>
  <cp:revision>4</cp:revision>
  <dcterms:created xsi:type="dcterms:W3CDTF">2020-09-24T15:03:00Z</dcterms:created>
  <dcterms:modified xsi:type="dcterms:W3CDTF">2020-10-26T09:27:00Z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