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江门市食品用金属制品</w:t>
      </w:r>
      <w:r>
        <w:rPr>
          <w:rFonts w:hint="eastAsia" w:ascii="方正小标宋简体" w:hAnsi="仿宋" w:eastAsia="方正小标宋简体" w:cs="方正仿宋简体"/>
          <w:bCs/>
          <w:color w:val="000000"/>
          <w:sz w:val="32"/>
          <w:szCs w:val="32"/>
        </w:rPr>
        <w:t>质量安全监督抽查</w:t>
      </w:r>
      <w:bookmarkStart w:id="0" w:name="_GoBack"/>
      <w:bookmarkEnd w:id="0"/>
      <w:r>
        <w:rPr>
          <w:rFonts w:hint="eastAsia" w:ascii="方正小标宋简体" w:hAnsi="仿宋" w:eastAsia="方正小标宋简体" w:cs="方正仿宋简体"/>
          <w:color w:val="000000"/>
          <w:sz w:val="32"/>
          <w:szCs w:val="32"/>
        </w:rPr>
        <w:t>实施细则</w:t>
      </w:r>
    </w:p>
    <w:p>
      <w:pPr>
        <w:widowControl/>
        <w:jc w:val="left"/>
        <w:rPr>
          <w:b/>
        </w:rPr>
      </w:pPr>
    </w:p>
    <w:p>
      <w:pPr>
        <w:spacing w:line="360" w:lineRule="auto"/>
        <w:ind w:firstLine="420" w:firstLineChars="200"/>
        <w:rPr>
          <w:rFonts w:ascii="仿宋_GB2312" w:hAnsi="仿宋_GB2312" w:eastAsia="仿宋_GB2312" w:cs="仿宋_GB2312"/>
          <w:sz w:val="28"/>
          <w:szCs w:val="28"/>
        </w:rPr>
      </w:pPr>
      <w:r>
        <w:rPr>
          <w:rFonts w:hint="eastAsia" w:ascii="宋体" w:hAnsi="宋体"/>
          <w:color w:val="000000"/>
          <w:szCs w:val="21"/>
        </w:rPr>
        <w:t>本细则适用于江门市生产领域中食品用金属制品的市级监督抽查。</w:t>
      </w: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spacing w:line="360" w:lineRule="auto"/>
        <w:ind w:firstLine="420" w:firstLineChars="200"/>
        <w:rPr>
          <w:rFonts w:ascii="仿宋_GB2312" w:hAnsi="仿宋_GB2312" w:eastAsia="仿宋_GB2312" w:cs="仿宋_GB2312"/>
          <w:sz w:val="28"/>
          <w:szCs w:val="28"/>
        </w:rPr>
      </w:pPr>
      <w:r>
        <w:rPr>
          <w:rFonts w:hint="eastAsia" w:ascii="宋体" w:hAnsi="宋体"/>
          <w:color w:val="000000"/>
          <w:szCs w:val="21"/>
        </w:rPr>
        <w:t>随机数一般可使用随机数表、随机数骰子或扑克牌等方法产生。</w:t>
      </w:r>
    </w:p>
    <w:p>
      <w:pPr>
        <w:snapToGrid w:val="0"/>
        <w:spacing w:line="440" w:lineRule="exact"/>
        <w:rPr>
          <w:rFonts w:ascii="仿宋_GB2312" w:hAnsi="仿宋_GB2312" w:eastAsia="仿宋_GB2312" w:cs="仿宋_GB2312"/>
          <w:sz w:val="28"/>
          <w:szCs w:val="28"/>
        </w:rPr>
      </w:pPr>
      <w:r>
        <w:rPr>
          <w:rFonts w:hint="eastAsia" w:ascii="黑体" w:hAnsi="宋体" w:eastAsia="黑体"/>
          <w:color w:val="000000"/>
          <w:szCs w:val="21"/>
        </w:rPr>
        <w:t>2 检验依据</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2016"/>
        <w:gridCol w:w="1594"/>
        <w:gridCol w:w="1989"/>
        <w:gridCol w:w="1009"/>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79" w:type="dxa"/>
            <w:vMerge w:val="restart"/>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2016" w:type="dxa"/>
            <w:vMerge w:val="restart"/>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检验项目</w:t>
            </w:r>
          </w:p>
        </w:tc>
        <w:tc>
          <w:tcPr>
            <w:tcW w:w="1594" w:type="dxa"/>
            <w:vMerge w:val="restart"/>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依据法律法规或标准</w:t>
            </w:r>
          </w:p>
        </w:tc>
        <w:tc>
          <w:tcPr>
            <w:tcW w:w="1989" w:type="dxa"/>
            <w:vMerge w:val="restart"/>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检测方法</w:t>
            </w:r>
          </w:p>
        </w:tc>
        <w:tc>
          <w:tcPr>
            <w:tcW w:w="2044" w:type="dxa"/>
            <w:gridSpan w:val="2"/>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79" w:type="dxa"/>
            <w:vMerge w:val="continue"/>
            <w:vAlign w:val="center"/>
          </w:tcPr>
          <w:p>
            <w:pPr>
              <w:spacing w:line="360" w:lineRule="auto"/>
              <w:jc w:val="center"/>
              <w:textAlignment w:val="center"/>
              <w:rPr>
                <w:rFonts w:ascii="仿宋_GB2312" w:hAnsi="仿宋_GB2312" w:eastAsia="仿宋_GB2312" w:cs="仿宋_GB2312"/>
                <w:kern w:val="0"/>
                <w:szCs w:val="21"/>
              </w:rPr>
            </w:pPr>
          </w:p>
        </w:tc>
        <w:tc>
          <w:tcPr>
            <w:tcW w:w="2016" w:type="dxa"/>
            <w:vMerge w:val="continue"/>
            <w:vAlign w:val="center"/>
          </w:tcPr>
          <w:p>
            <w:pPr>
              <w:spacing w:line="360" w:lineRule="auto"/>
              <w:jc w:val="center"/>
              <w:textAlignment w:val="center"/>
              <w:rPr>
                <w:rFonts w:ascii="仿宋_GB2312" w:hAnsi="仿宋_GB2312" w:eastAsia="仿宋_GB2312" w:cs="仿宋_GB2312"/>
                <w:kern w:val="0"/>
                <w:szCs w:val="21"/>
              </w:rPr>
            </w:pPr>
          </w:p>
        </w:tc>
        <w:tc>
          <w:tcPr>
            <w:tcW w:w="1594" w:type="dxa"/>
            <w:vMerge w:val="continue"/>
            <w:vAlign w:val="center"/>
          </w:tcPr>
          <w:p>
            <w:pPr>
              <w:spacing w:line="360" w:lineRule="auto"/>
              <w:jc w:val="center"/>
              <w:textAlignment w:val="center"/>
              <w:rPr>
                <w:rFonts w:ascii="仿宋_GB2312" w:hAnsi="仿宋_GB2312" w:eastAsia="仿宋_GB2312" w:cs="仿宋_GB2312"/>
                <w:kern w:val="0"/>
                <w:szCs w:val="21"/>
              </w:rPr>
            </w:pPr>
          </w:p>
        </w:tc>
        <w:tc>
          <w:tcPr>
            <w:tcW w:w="1989" w:type="dxa"/>
            <w:vMerge w:val="continue"/>
            <w:vAlign w:val="center"/>
          </w:tcPr>
          <w:p>
            <w:pPr>
              <w:spacing w:line="360" w:lineRule="auto"/>
              <w:jc w:val="center"/>
              <w:textAlignment w:val="center"/>
              <w:rPr>
                <w:rFonts w:ascii="仿宋_GB2312" w:hAnsi="仿宋_GB2312" w:eastAsia="仿宋_GB2312" w:cs="仿宋_GB2312"/>
                <w:kern w:val="0"/>
                <w:szCs w:val="21"/>
              </w:rPr>
            </w:pPr>
          </w:p>
        </w:tc>
        <w:tc>
          <w:tcPr>
            <w:tcW w:w="100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A类a</w:t>
            </w:r>
          </w:p>
        </w:tc>
        <w:tc>
          <w:tcPr>
            <w:tcW w:w="1035"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B类b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2016"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感官</w:t>
            </w:r>
          </w:p>
        </w:tc>
        <w:tc>
          <w:tcPr>
            <w:tcW w:w="1594"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8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00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35" w:type="dxa"/>
            <w:vAlign w:val="center"/>
          </w:tcPr>
          <w:p>
            <w:pPr>
              <w:spacing w:line="360" w:lineRule="auto"/>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2016"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浸泡液</w:t>
            </w:r>
          </w:p>
        </w:tc>
        <w:tc>
          <w:tcPr>
            <w:tcW w:w="1594"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8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00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35" w:type="dxa"/>
            <w:vAlign w:val="center"/>
          </w:tcPr>
          <w:p>
            <w:pPr>
              <w:spacing w:line="360" w:lineRule="auto"/>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2016"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砷（As）迁移量</w:t>
            </w:r>
          </w:p>
        </w:tc>
        <w:tc>
          <w:tcPr>
            <w:tcW w:w="1594"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8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31604.38</w:t>
            </w:r>
          </w:p>
        </w:tc>
        <w:tc>
          <w:tcPr>
            <w:tcW w:w="100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35" w:type="dxa"/>
            <w:vAlign w:val="center"/>
          </w:tcPr>
          <w:p>
            <w:pPr>
              <w:spacing w:line="360" w:lineRule="auto"/>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2016"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镉（Cd）迁移量</w:t>
            </w:r>
          </w:p>
        </w:tc>
        <w:tc>
          <w:tcPr>
            <w:tcW w:w="1594"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8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31604.24</w:t>
            </w:r>
          </w:p>
        </w:tc>
        <w:tc>
          <w:tcPr>
            <w:tcW w:w="100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35" w:type="dxa"/>
            <w:vAlign w:val="center"/>
          </w:tcPr>
          <w:p>
            <w:pPr>
              <w:spacing w:line="360" w:lineRule="auto"/>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2016"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铅（Pb）迁移量</w:t>
            </w:r>
          </w:p>
        </w:tc>
        <w:tc>
          <w:tcPr>
            <w:tcW w:w="1594"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8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31604.34</w:t>
            </w:r>
          </w:p>
        </w:tc>
        <w:tc>
          <w:tcPr>
            <w:tcW w:w="100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35" w:type="dxa"/>
            <w:vAlign w:val="center"/>
          </w:tcPr>
          <w:p>
            <w:pPr>
              <w:spacing w:line="360" w:lineRule="auto"/>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2016"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铬（Cr）迁移量（与食品直接接触的其他金属材料及制品不检测；与食品直接接触的其他金属材料及制品不检测）</w:t>
            </w:r>
          </w:p>
        </w:tc>
        <w:tc>
          <w:tcPr>
            <w:tcW w:w="1594"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8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31604.25</w:t>
            </w:r>
          </w:p>
        </w:tc>
        <w:tc>
          <w:tcPr>
            <w:tcW w:w="100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35" w:type="dxa"/>
            <w:vAlign w:val="center"/>
          </w:tcPr>
          <w:p>
            <w:pPr>
              <w:spacing w:line="360" w:lineRule="auto"/>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2016"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镍（Ni）迁移量（与食品直接接触的其他金属材料及制品不检测）</w:t>
            </w:r>
          </w:p>
        </w:tc>
        <w:tc>
          <w:tcPr>
            <w:tcW w:w="1594"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8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31604.33</w:t>
            </w:r>
          </w:p>
        </w:tc>
        <w:tc>
          <w:tcPr>
            <w:tcW w:w="1009" w:type="dxa"/>
            <w:vAlign w:val="center"/>
          </w:tcPr>
          <w:p>
            <w:pPr>
              <w:spacing w:line="360" w:lineRule="auto"/>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35" w:type="dxa"/>
            <w:vAlign w:val="center"/>
          </w:tcPr>
          <w:p>
            <w:pPr>
              <w:spacing w:line="360" w:lineRule="auto"/>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22" w:type="dxa"/>
            <w:gridSpan w:val="6"/>
            <w:vAlign w:val="center"/>
          </w:tcPr>
          <w:p>
            <w:pPr>
              <w:spacing w:line="360" w:lineRule="auto"/>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注：a极重要质量项目；b重要质量项目。</w:t>
            </w:r>
          </w:p>
        </w:tc>
      </w:tr>
    </w:tbl>
    <w:p>
      <w:pPr>
        <w:spacing w:line="360" w:lineRule="auto"/>
        <w:jc w:val="left"/>
        <w:textAlignment w:val="center"/>
        <w:rPr>
          <w:rFonts w:ascii="宋体" w:hAnsi="宋体"/>
          <w:color w:val="000000"/>
          <w:szCs w:val="21"/>
        </w:rPr>
      </w:pPr>
      <w:r>
        <w:rPr>
          <w:rFonts w:hint="eastAsia" w:ascii="宋体" w:hAnsi="宋体"/>
          <w:color w:val="000000"/>
          <w:szCs w:val="21"/>
        </w:rPr>
        <w:t>注：</w:t>
      </w:r>
      <w:r>
        <w:rPr>
          <w:rFonts w:hint="eastAsia" w:ascii="宋体" w:hAnsi="宋体"/>
          <w:color w:val="000000"/>
          <w:szCs w:val="21"/>
        </w:rPr>
        <w:fldChar w:fldCharType="begin"/>
      </w:r>
      <w:r>
        <w:rPr>
          <w:rFonts w:hint="eastAsia" w:ascii="宋体" w:hAnsi="宋体"/>
          <w:color w:val="000000"/>
          <w:szCs w:val="21"/>
        </w:rPr>
        <w:instrText xml:space="preserve"> = 1 \* GB3 </w:instrText>
      </w:r>
      <w:r>
        <w:rPr>
          <w:rFonts w:hint="eastAsia" w:ascii="宋体" w:hAnsi="宋体"/>
          <w:color w:val="000000"/>
          <w:szCs w:val="21"/>
        </w:rPr>
        <w:fldChar w:fldCharType="separate"/>
      </w:r>
      <w:r>
        <w:rPr>
          <w:rFonts w:hint="eastAsia" w:ascii="宋体" w:hAnsi="宋体"/>
          <w:color w:val="000000"/>
          <w:szCs w:val="21"/>
        </w:rPr>
        <w:t>①</w:t>
      </w:r>
      <w:r>
        <w:rPr>
          <w:rFonts w:hint="eastAsia" w:ascii="宋体" w:hAnsi="宋体"/>
          <w:color w:val="000000"/>
          <w:szCs w:val="21"/>
        </w:rPr>
        <w:fldChar w:fldCharType="end"/>
      </w:r>
      <w:r>
        <w:rPr>
          <w:rFonts w:hint="eastAsia" w:ascii="宋体" w:hAnsi="宋体"/>
          <w:color w:val="000000"/>
          <w:szCs w:val="21"/>
        </w:rPr>
        <w:t>极重要质量项目是指直接涉及人体健康、使用安全的指标；重要质量项目是指产品涉及环保、能效、关键性能或特征值的指标。</w:t>
      </w:r>
    </w:p>
    <w:p>
      <w:pPr>
        <w:spacing w:line="360" w:lineRule="auto"/>
        <w:ind w:firstLine="420" w:firstLineChars="200"/>
        <w:jc w:val="left"/>
        <w:textAlignment w:val="center"/>
        <w:rPr>
          <w:rFonts w:ascii="仿宋_GB2312" w:hAnsi="仿宋_GB2312" w:eastAsia="仿宋_GB2312" w:cs="仿宋_GB2312"/>
          <w:kern w:val="0"/>
          <w:szCs w:val="21"/>
        </w:rPr>
      </w:pPr>
      <w:r>
        <w:rPr>
          <w:rFonts w:hint="eastAsia" w:ascii="宋体" w:hAnsi="宋体"/>
          <w:color w:val="000000"/>
          <w:szCs w:val="21"/>
        </w:rPr>
        <w:fldChar w:fldCharType="begin"/>
      </w:r>
      <w:r>
        <w:rPr>
          <w:rFonts w:hint="eastAsia" w:ascii="宋体" w:hAnsi="宋体"/>
          <w:color w:val="000000"/>
          <w:szCs w:val="21"/>
        </w:rPr>
        <w:instrText xml:space="preserve"> = 2 \* GB3 </w:instrText>
      </w:r>
      <w:r>
        <w:rPr>
          <w:rFonts w:hint="eastAsia" w:ascii="宋体" w:hAnsi="宋体"/>
          <w:color w:val="000000"/>
          <w:szCs w:val="21"/>
        </w:rPr>
        <w:fldChar w:fldCharType="separate"/>
      </w:r>
      <w:r>
        <w:rPr>
          <w:rFonts w:hint="eastAsia" w:ascii="宋体" w:hAnsi="宋体"/>
          <w:color w:val="000000"/>
          <w:szCs w:val="21"/>
        </w:rPr>
        <w:t>②</w:t>
      </w:r>
      <w:r>
        <w:rPr>
          <w:rFonts w:hint="eastAsia" w:ascii="宋体" w:hAnsi="宋体"/>
          <w:color w:val="000000"/>
          <w:szCs w:val="21"/>
        </w:rPr>
        <w:fldChar w:fldCharType="end"/>
      </w:r>
      <w:r>
        <w:rPr>
          <w:rFonts w:hint="eastAsia" w:ascii="宋体" w:hAnsi="宋体"/>
          <w:color w:val="000000"/>
          <w:szCs w:val="21"/>
        </w:rPr>
        <w:t>上表所列检验项目是有关法律法规、标准等规定的，重点涉及健康、安全、节能、环保以及消费者、有关组织反映有质量问题的重要项目。</w:t>
      </w:r>
    </w:p>
    <w:p>
      <w:pPr>
        <w:snapToGrid w:val="0"/>
        <w:spacing w:line="440" w:lineRule="exact"/>
        <w:ind w:firstLine="420" w:firstLineChars="200"/>
        <w:rPr>
          <w:rFonts w:ascii="黑体" w:hAnsi="宋体" w:eastAsia="黑体"/>
          <w:sz w:val="28"/>
          <w:szCs w:val="28"/>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beforeLines="50" w:line="360" w:lineRule="auto"/>
        <w:ind w:left="420" w:hanging="420" w:hangingChars="200"/>
        <w:outlineLvl w:val="0"/>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 依据标准</w:t>
      </w:r>
    </w:p>
    <w:p>
      <w:pPr>
        <w:spacing w:line="360" w:lineRule="auto"/>
        <w:ind w:firstLine="420" w:firstLineChars="200"/>
        <w:rPr>
          <w:rFonts w:ascii="宋体" w:hAnsi="宋体"/>
          <w:color w:val="000000"/>
          <w:szCs w:val="21"/>
        </w:rPr>
      </w:pPr>
      <w:r>
        <w:rPr>
          <w:rFonts w:hint="eastAsia" w:ascii="宋体" w:hAnsi="宋体"/>
          <w:color w:val="000000"/>
          <w:szCs w:val="21"/>
        </w:rPr>
        <w:t>GB 4806.9-2016   食品安全国家标准 食品接触用金属材料及制品</w:t>
      </w:r>
    </w:p>
    <w:p>
      <w:pPr>
        <w:spacing w:line="360" w:lineRule="auto"/>
        <w:ind w:firstLine="420" w:firstLineChars="200"/>
        <w:rPr>
          <w:rFonts w:ascii="宋体" w:hAnsi="宋体"/>
          <w:color w:val="000000"/>
          <w:szCs w:val="21"/>
        </w:rPr>
      </w:pPr>
      <w:r>
        <w:rPr>
          <w:rFonts w:hint="eastAsia" w:ascii="宋体" w:hAnsi="宋体"/>
          <w:color w:val="000000"/>
          <w:szCs w:val="21"/>
        </w:rPr>
        <w:t>GB 31604.2-2016  食品安全国家标准 食品接触材料及制品 高锰酸钾消耗量的测定</w:t>
      </w:r>
    </w:p>
    <w:p>
      <w:pPr>
        <w:spacing w:line="360" w:lineRule="auto"/>
        <w:ind w:firstLine="420" w:firstLineChars="200"/>
        <w:rPr>
          <w:rFonts w:ascii="宋体" w:hAnsi="宋体"/>
          <w:color w:val="000000"/>
          <w:szCs w:val="21"/>
        </w:rPr>
      </w:pPr>
      <w:r>
        <w:rPr>
          <w:rFonts w:hint="eastAsia" w:ascii="宋体" w:hAnsi="宋体"/>
          <w:color w:val="000000"/>
          <w:szCs w:val="21"/>
        </w:rPr>
        <w:t>GB 31604.8-2016  食品安全国家标准 食品接触材料及制品 总迁移量的测定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31604.9-2016  食品安全国家标准 食品接触材料及制品 食品模拟物中重金属的测定</w:t>
      </w:r>
    </w:p>
    <w:p>
      <w:pPr>
        <w:spacing w:line="360" w:lineRule="auto"/>
        <w:ind w:firstLine="420" w:firstLineChars="200"/>
        <w:rPr>
          <w:rFonts w:ascii="宋体" w:hAnsi="宋体"/>
          <w:color w:val="000000"/>
          <w:szCs w:val="21"/>
        </w:rPr>
      </w:pPr>
      <w:r>
        <w:rPr>
          <w:rFonts w:hint="eastAsia" w:ascii="宋体" w:hAnsi="宋体"/>
          <w:color w:val="000000"/>
          <w:szCs w:val="21"/>
        </w:rPr>
        <w:t>GB 31604.24-2016 食品安全国家标准 食品接触材料及制品 镉迁移量的测定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31604.25-2016 食品安全国家标准 食品接触材料及制品 铬迁移量的测定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31604.33-2016 食品安全国家标准 食品接触材料及制品 镍迁移量的测定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30604.34-2016 食品安全国家标准 食品接触材料及制品 铅的测定和迁移量的测定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31604.38-2016 食品安全国家标准 食品接触材料及制品 砷的测定和迁移量的测定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30604.49-2016 食品安全国家标准 食品接触材料及制品 砷、镉、铬、铅的测定和砷、镉、镍、铅、锑、锌迁移量的测定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outlineLvl w:val="0"/>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经检验，检验项目全部合格，判定为被抽查产品合格；检验项目中任一项或一项以上不合格，判定为被抽查产品不合格。当产品存在A类项目不合格时，属于严重不合格。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黑体" w:hAnsi="宋体" w:eastAsia="黑体"/>
          <w:sz w:val="28"/>
          <w:szCs w:val="28"/>
        </w:rPr>
      </w:pPr>
      <w:r>
        <w:rPr>
          <w:rFonts w:hint="eastAsia" w:ascii="宋体" w:hAnsi="宋体"/>
          <w:color w:val="000000"/>
          <w:szCs w:val="21"/>
        </w:rPr>
        <w:t>若被检产品明示的质量要求缺少本细则中检验项目依据的推荐性标准要求时，该项目不参与判定。</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3193391"/>
      <w:docPartObj>
        <w:docPartGallery w:val="AutoText"/>
      </w:docPartObj>
    </w:sdtPr>
    <w:sdtContent>
      <w:p>
        <w:pPr>
          <w:pStyle w:val="2"/>
          <w:jc w:val="right"/>
        </w:pPr>
        <w:r>
          <w:fldChar w:fldCharType="begin"/>
        </w:r>
        <w:r>
          <w:instrText xml:space="preserve">PAGE   \* MERGEFORMAT</w:instrText>
        </w:r>
        <w:r>
          <w:fldChar w:fldCharType="separate"/>
        </w:r>
        <w:r>
          <w:rPr>
            <w:lang w:val="zh-CN"/>
          </w:rPr>
          <w:t>3</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5C05"/>
    <w:rsid w:val="0008128C"/>
    <w:rsid w:val="000A7AE6"/>
    <w:rsid w:val="001D5F10"/>
    <w:rsid w:val="0021536D"/>
    <w:rsid w:val="003E4848"/>
    <w:rsid w:val="004D2989"/>
    <w:rsid w:val="005E35D9"/>
    <w:rsid w:val="009C53B6"/>
    <w:rsid w:val="00AC5C05"/>
    <w:rsid w:val="00C94BDE"/>
    <w:rsid w:val="00CC1F76"/>
    <w:rsid w:val="00D51DA9"/>
    <w:rsid w:val="00DF60AB"/>
    <w:rsid w:val="3F277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232</Words>
  <Characters>1328</Characters>
  <Lines>11</Lines>
  <Paragraphs>3</Paragraphs>
  <TotalTime>2</TotalTime>
  <ScaleCrop>false</ScaleCrop>
  <LinksUpToDate>false</LinksUpToDate>
  <CharactersWithSpaces>1557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2019-07-12T00:39:00Z</dcterms:created>
  <dc:creator>陈卓辉</dc:creator>
  <cp:lastModifiedBy>Administrator</cp:lastModifiedBy>
  <dcterms:modified xsi:type="dcterms:W3CDTF">2020-05-11T06:54:36Z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