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江门市食品用塑料膜（袋）</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widowControl/>
        <w:spacing w:line="360" w:lineRule="auto"/>
        <w:ind w:firstLine="420" w:firstLineChars="200"/>
        <w:jc w:val="left"/>
        <w:rPr>
          <w:rFonts w:hint="eastAsia" w:ascii="宋体" w:hAnsi="宋体"/>
          <w:color w:val="000000"/>
          <w:szCs w:val="21"/>
        </w:rPr>
      </w:pPr>
    </w:p>
    <w:p>
      <w:pPr>
        <w:widowControl/>
        <w:spacing w:line="360" w:lineRule="auto"/>
        <w:ind w:firstLine="420" w:firstLineChars="200"/>
        <w:jc w:val="left"/>
        <w:rPr>
          <w:rFonts w:hint="eastAsia" w:ascii="仿宋_GB2312" w:hAnsi="仿宋_GB2312" w:eastAsia="仿宋_GB2312" w:cs="仿宋_GB2312"/>
          <w:kern w:val="0"/>
          <w:sz w:val="28"/>
          <w:szCs w:val="28"/>
        </w:rPr>
      </w:pPr>
      <w:r>
        <w:rPr>
          <w:rFonts w:hint="eastAsia" w:ascii="宋体" w:hAnsi="宋体"/>
          <w:color w:val="000000"/>
          <w:szCs w:val="21"/>
        </w:rPr>
        <w:t>本细则适用于江门市生产环节中食品用塑料膜（袋）的市级监督抽查。</w:t>
      </w:r>
    </w:p>
    <w:p>
      <w:pPr>
        <w:snapToGrid w:val="0"/>
        <w:spacing w:line="360" w:lineRule="auto"/>
        <w:rPr>
          <w:rFonts w:hint="eastAsia" w:ascii="黑体" w:hAnsi="宋体" w:eastAsia="黑体"/>
          <w:color w:val="000000"/>
          <w:szCs w:val="21"/>
        </w:rPr>
      </w:pPr>
      <w:r>
        <w:rPr>
          <w:rFonts w:hint="eastAsia" w:ascii="黑体" w:hAnsi="宋体" w:eastAsia="黑体"/>
          <w:color w:val="000000"/>
          <w:szCs w:val="21"/>
        </w:rPr>
        <w:t>1 抽样方法</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以随机抽样的方式在被抽样生产者的待销产品中抽取。</w:t>
      </w:r>
      <w:bookmarkStart w:id="1" w:name="_GoBack"/>
      <w:bookmarkEnd w:id="1"/>
    </w:p>
    <w:p>
      <w:pPr>
        <w:widowControl/>
        <w:spacing w:line="360" w:lineRule="auto"/>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随机数一般可使用随机数表、随机数骰子或扑克牌等方法产生。</w:t>
      </w:r>
    </w:p>
    <w:p>
      <w:pPr>
        <w:snapToGrid w:val="0"/>
        <w:spacing w:line="360" w:lineRule="auto"/>
        <w:rPr>
          <w:rFonts w:ascii="黑体" w:hAnsi="黑体" w:eastAsia="黑体"/>
          <w:kern w:val="0"/>
          <w:sz w:val="28"/>
          <w:szCs w:val="28"/>
        </w:rPr>
      </w:pPr>
      <w:r>
        <w:rPr>
          <w:rFonts w:hint="eastAsia" w:ascii="黑体" w:hAnsi="宋体" w:eastAsia="黑体"/>
          <w:color w:val="000000"/>
          <w:szCs w:val="21"/>
        </w:rPr>
        <w:t>2 检验依据</w:t>
      </w:r>
    </w:p>
    <w:p>
      <w:pPr>
        <w:widowControl/>
        <w:spacing w:line="560" w:lineRule="exact"/>
        <w:ind w:firstLine="422" w:firstLineChars="200"/>
        <w:jc w:val="center"/>
        <w:rPr>
          <w:rFonts w:ascii="仿宋_GB2312" w:hAnsi="仿宋_GB2312" w:eastAsia="仿宋_GB2312" w:cs="仿宋_GB2312"/>
          <w:b/>
          <w:kern w:val="0"/>
        </w:rPr>
      </w:pPr>
      <w:r>
        <w:rPr>
          <w:rFonts w:hint="eastAsia" w:ascii="仿宋_GB2312" w:hAnsi="仿宋_GB2312" w:eastAsia="仿宋_GB2312" w:cs="仿宋_GB2312"/>
          <w:b/>
          <w:kern w:val="0"/>
        </w:rPr>
        <w:t>表1  食品用塑料膜（袋）检验项目及重要程度分类</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011"/>
        <w:gridCol w:w="1590"/>
        <w:gridCol w:w="1984"/>
        <w:gridCol w:w="1007"/>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8"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2011"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1590"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w:t>
            </w:r>
          </w:p>
        </w:tc>
        <w:tc>
          <w:tcPr>
            <w:tcW w:w="1984"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检测方法</w:t>
            </w:r>
          </w:p>
        </w:tc>
        <w:tc>
          <w:tcPr>
            <w:tcW w:w="2059" w:type="dxa"/>
            <w:gridSpan w:val="2"/>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8" w:type="dxa"/>
            <w:vMerge w:val="continue"/>
            <w:vAlign w:val="center"/>
          </w:tcPr>
          <w:p>
            <w:pPr>
              <w:widowControl/>
              <w:jc w:val="center"/>
              <w:textAlignment w:val="center"/>
              <w:rPr>
                <w:rFonts w:ascii="仿宋_GB2312" w:hAnsi="仿宋_GB2312" w:eastAsia="仿宋_GB2312" w:cs="仿宋_GB2312"/>
                <w:kern w:val="0"/>
                <w:szCs w:val="21"/>
              </w:rPr>
            </w:pPr>
          </w:p>
        </w:tc>
        <w:tc>
          <w:tcPr>
            <w:tcW w:w="2011" w:type="dxa"/>
            <w:vMerge w:val="continue"/>
            <w:vAlign w:val="center"/>
          </w:tcPr>
          <w:p>
            <w:pPr>
              <w:widowControl/>
              <w:jc w:val="center"/>
              <w:textAlignment w:val="center"/>
              <w:rPr>
                <w:rFonts w:ascii="仿宋_GB2312" w:hAnsi="仿宋_GB2312" w:eastAsia="仿宋_GB2312" w:cs="仿宋_GB2312"/>
                <w:kern w:val="0"/>
                <w:szCs w:val="21"/>
              </w:rPr>
            </w:pPr>
          </w:p>
        </w:tc>
        <w:tc>
          <w:tcPr>
            <w:tcW w:w="1590" w:type="dxa"/>
            <w:vMerge w:val="continue"/>
            <w:vAlign w:val="center"/>
          </w:tcPr>
          <w:p>
            <w:pPr>
              <w:widowControl/>
              <w:jc w:val="center"/>
              <w:textAlignment w:val="center"/>
              <w:rPr>
                <w:rFonts w:ascii="仿宋_GB2312" w:hAnsi="仿宋_GB2312" w:eastAsia="仿宋_GB2312" w:cs="仿宋_GB2312"/>
                <w:kern w:val="0"/>
                <w:szCs w:val="21"/>
              </w:rPr>
            </w:pPr>
          </w:p>
        </w:tc>
        <w:tc>
          <w:tcPr>
            <w:tcW w:w="1984" w:type="dxa"/>
            <w:vMerge w:val="continue"/>
            <w:vAlign w:val="center"/>
          </w:tcPr>
          <w:p>
            <w:pPr>
              <w:widowControl/>
              <w:jc w:val="center"/>
              <w:textAlignment w:val="center"/>
              <w:rPr>
                <w:rFonts w:ascii="仿宋_GB2312" w:hAnsi="仿宋_GB2312" w:eastAsia="仿宋_GB2312" w:cs="仿宋_GB2312"/>
                <w:kern w:val="0"/>
                <w:szCs w:val="21"/>
              </w:rPr>
            </w:pP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w:t>
            </w:r>
            <w:r>
              <w:rPr>
                <w:rFonts w:hint="eastAsia" w:ascii="仿宋_GB2312" w:hAnsi="仿宋_GB2312" w:eastAsia="仿宋_GB2312" w:cs="仿宋_GB2312"/>
                <w:kern w:val="0"/>
                <w:szCs w:val="21"/>
                <w:vertAlign w:val="superscript"/>
              </w:rPr>
              <w:t>a</w:t>
            </w:r>
          </w:p>
        </w:tc>
        <w:tc>
          <w:tcPr>
            <w:tcW w:w="1052"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w:t>
            </w:r>
            <w:r>
              <w:rPr>
                <w:rFonts w:hint="eastAsia" w:ascii="仿宋_GB2312" w:hAnsi="仿宋_GB2312" w:eastAsia="仿宋_GB2312" w:cs="仿宋_GB2312"/>
                <w:kern w:val="0"/>
                <w:szCs w:val="21"/>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感官</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浸泡液</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高锰酸钾消耗量</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31604.2</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总迁移量</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31604.8</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重金属</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31604.9</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脱色试验(仅适用添加了着色剂的产品)</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31604.7</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tc>
      </w:tr>
    </w:tbl>
    <w:p>
      <w:pPr>
        <w:widowControl/>
        <w:jc w:val="center"/>
        <w:textAlignment w:val="center"/>
        <w:rPr>
          <w:rFonts w:ascii="仿宋_GB2312" w:hAnsi="仿宋_GB2312" w:eastAsia="仿宋_GB2312" w:cs="仿宋_GB2312"/>
          <w:kern w:val="0"/>
          <w:szCs w:val="21"/>
        </w:rPr>
      </w:pPr>
    </w:p>
    <w:p>
      <w:pPr>
        <w:widowControl/>
        <w:jc w:val="center"/>
        <w:textAlignment w:val="center"/>
        <w:rPr>
          <w:rFonts w:ascii="仿宋_GB2312" w:hAnsi="仿宋_GB2312" w:eastAsia="仿宋_GB2312" w:cs="仿宋_GB2312"/>
          <w:b/>
          <w:kern w:val="0"/>
        </w:rPr>
      </w:pPr>
      <w:r>
        <w:rPr>
          <w:rFonts w:hint="eastAsia" w:ascii="仿宋_GB2312" w:hAnsi="仿宋_GB2312" w:eastAsia="仿宋_GB2312" w:cs="仿宋_GB2312"/>
          <w:b/>
          <w:kern w:val="0"/>
        </w:rPr>
        <w:t>表2 食品用塑料膜（袋）-（复合膜袋）检验项目及重要程度分类</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011"/>
        <w:gridCol w:w="1590"/>
        <w:gridCol w:w="1984"/>
        <w:gridCol w:w="1007"/>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8"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2011"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1590"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w:t>
            </w:r>
          </w:p>
        </w:tc>
        <w:tc>
          <w:tcPr>
            <w:tcW w:w="1984"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检测方法</w:t>
            </w:r>
          </w:p>
        </w:tc>
        <w:tc>
          <w:tcPr>
            <w:tcW w:w="2059" w:type="dxa"/>
            <w:gridSpan w:val="2"/>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8" w:type="dxa"/>
            <w:vMerge w:val="continue"/>
            <w:vAlign w:val="center"/>
          </w:tcPr>
          <w:p>
            <w:pPr>
              <w:widowControl/>
              <w:jc w:val="center"/>
              <w:textAlignment w:val="center"/>
              <w:rPr>
                <w:rFonts w:ascii="仿宋_GB2312" w:hAnsi="仿宋_GB2312" w:eastAsia="仿宋_GB2312" w:cs="仿宋_GB2312"/>
                <w:kern w:val="0"/>
                <w:szCs w:val="21"/>
              </w:rPr>
            </w:pPr>
          </w:p>
        </w:tc>
        <w:tc>
          <w:tcPr>
            <w:tcW w:w="2011" w:type="dxa"/>
            <w:vMerge w:val="continue"/>
            <w:vAlign w:val="center"/>
          </w:tcPr>
          <w:p>
            <w:pPr>
              <w:widowControl/>
              <w:jc w:val="center"/>
              <w:textAlignment w:val="center"/>
              <w:rPr>
                <w:rFonts w:ascii="仿宋_GB2312" w:hAnsi="仿宋_GB2312" w:eastAsia="仿宋_GB2312" w:cs="仿宋_GB2312"/>
                <w:kern w:val="0"/>
                <w:szCs w:val="21"/>
              </w:rPr>
            </w:pPr>
          </w:p>
        </w:tc>
        <w:tc>
          <w:tcPr>
            <w:tcW w:w="1590" w:type="dxa"/>
            <w:vMerge w:val="continue"/>
            <w:vAlign w:val="center"/>
          </w:tcPr>
          <w:p>
            <w:pPr>
              <w:widowControl/>
              <w:jc w:val="center"/>
              <w:textAlignment w:val="center"/>
              <w:rPr>
                <w:rFonts w:ascii="仿宋_GB2312" w:hAnsi="仿宋_GB2312" w:eastAsia="仿宋_GB2312" w:cs="仿宋_GB2312"/>
                <w:kern w:val="0"/>
                <w:szCs w:val="21"/>
              </w:rPr>
            </w:pPr>
          </w:p>
        </w:tc>
        <w:tc>
          <w:tcPr>
            <w:tcW w:w="1984" w:type="dxa"/>
            <w:vMerge w:val="continue"/>
            <w:vAlign w:val="center"/>
          </w:tcPr>
          <w:p>
            <w:pPr>
              <w:widowControl/>
              <w:jc w:val="center"/>
              <w:textAlignment w:val="center"/>
              <w:rPr>
                <w:rFonts w:ascii="仿宋_GB2312" w:hAnsi="仿宋_GB2312" w:eastAsia="仿宋_GB2312" w:cs="仿宋_GB2312"/>
                <w:kern w:val="0"/>
                <w:szCs w:val="21"/>
              </w:rPr>
            </w:pP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A类a</w:t>
            </w:r>
          </w:p>
        </w:tc>
        <w:tc>
          <w:tcPr>
            <w:tcW w:w="1052"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感官</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9683</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9683</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袋装浸泡液</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9683</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9683</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蒸发残渣4%乙酸</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9683</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5009.60</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蒸发残渣正己烷</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9683</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5009.60</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蒸发残渣65%乙醇</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9683</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5009.60</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高锰酸钾消耗量（水）</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GB 9683 </w:t>
            </w:r>
            <w:r>
              <w:rPr>
                <w:rFonts w:hint="eastAsia" w:ascii="仿宋_GB2312" w:hAnsi="仿宋_GB2312" w:eastAsia="仿宋_GB2312" w:cs="仿宋_GB2312"/>
              </w:rPr>
              <w:t>GB 4806.7-2016</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5009.60</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重金属（以Pb计）</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GB 9683 </w:t>
            </w:r>
            <w:r>
              <w:rPr>
                <w:rFonts w:hint="eastAsia" w:ascii="仿宋_GB2312" w:hAnsi="仿宋_GB2312" w:eastAsia="仿宋_GB2312" w:cs="仿宋_GB2312"/>
              </w:rPr>
              <w:t>GB 4806.7-2016</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5009.60</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甲苯二胺（4%乙酸）</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9683</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5009.60</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溶剂残留总量</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10004-2008/《生产许可证实施细则》/产品标准要求，生产过程中有印刷和胶黏剂复合工艺的产品（单膜印刷除外）,按GB/T 5009.119-2003检测</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10004</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011"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苯系物含量</w:t>
            </w:r>
          </w:p>
        </w:tc>
        <w:tc>
          <w:tcPr>
            <w:tcW w:w="1590"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10004-2008/《生产许可证实施细则》/产品标准要求</w:t>
            </w:r>
          </w:p>
        </w:tc>
        <w:tc>
          <w:tcPr>
            <w:tcW w:w="1984"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GB/T 10004</w:t>
            </w:r>
          </w:p>
        </w:tc>
        <w:tc>
          <w:tcPr>
            <w:tcW w:w="1007"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tc>
      </w:tr>
    </w:tbl>
    <w:p>
      <w:pPr>
        <w:snapToGrid w:val="0"/>
        <w:spacing w:line="360" w:lineRule="auto"/>
        <w:rPr>
          <w:rFonts w:ascii="宋体" w:hAnsi="宋体"/>
          <w:color w:val="000000"/>
          <w:szCs w:val="21"/>
        </w:rPr>
      </w:pPr>
      <w:r>
        <w:rPr>
          <w:rFonts w:hint="eastAsia" w:ascii="宋体" w:hAnsi="宋体"/>
          <w:color w:val="000000"/>
          <w:szCs w:val="21"/>
        </w:rPr>
        <w:t>注：①极重要质量项目是指直接涉及人体健康、使用安全的指标；重要质量项目是指产品涉及环保、能效、关键性能或特征值的指标。</w:t>
      </w:r>
    </w:p>
    <w:p>
      <w:pPr>
        <w:snapToGrid w:val="0"/>
        <w:spacing w:line="360" w:lineRule="auto"/>
        <w:ind w:firstLine="420" w:firstLineChars="200"/>
        <w:rPr>
          <w:rFonts w:ascii="宋体" w:hAnsi="宋体"/>
          <w:color w:val="000000"/>
          <w:szCs w:val="21"/>
        </w:rPr>
      </w:pPr>
      <w:r>
        <w:rPr>
          <w:rFonts w:hint="eastAsia" w:ascii="宋体" w:hAnsi="宋体"/>
          <w:color w:val="000000"/>
          <w:szCs w:val="21"/>
        </w:rPr>
        <w:t>②上表所列检验项目是有关法律法规、标准等规定的，重点涉及健康、安全、节能、环保以及消费者、有关组织反映有质量问题的重要项目。</w:t>
      </w:r>
    </w:p>
    <w:p>
      <w:pPr>
        <w:widowControl/>
        <w:spacing w:line="360" w:lineRule="auto"/>
        <w:ind w:firstLine="420" w:firstLineChars="200"/>
        <w:jc w:val="left"/>
        <w:rPr>
          <w:rFonts w:hint="eastAsia" w:ascii="仿宋_GB2312" w:hAnsi="仿宋_GB2312" w:eastAsia="仿宋_GB2312" w:cs="仿宋_GB2312"/>
          <w:kern w:val="0"/>
          <w:sz w:val="28"/>
          <w:szCs w:val="28"/>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beforeLines="50" w:line="360" w:lineRule="auto"/>
        <w:ind w:left="420" w:hanging="420" w:hangingChars="200"/>
        <w:outlineLvl w:val="0"/>
        <w:rPr>
          <w:rFonts w:hint="eastAsia" w:ascii="黑体" w:hAnsi="黑体" w:eastAsia="黑体"/>
          <w:color w:val="000000"/>
          <w:szCs w:val="21"/>
        </w:rPr>
      </w:pPr>
      <w:r>
        <w:rPr>
          <w:rFonts w:hint="eastAsia" w:ascii="黑体" w:hAnsi="黑体" w:eastAsia="黑体"/>
          <w:color w:val="000000"/>
          <w:szCs w:val="21"/>
        </w:rPr>
        <w:t>3 判定规则</w:t>
      </w:r>
    </w:p>
    <w:p>
      <w:pPr>
        <w:widowControl/>
        <w:spacing w:line="360" w:lineRule="auto"/>
        <w:jc w:val="left"/>
        <w:rPr>
          <w:rFonts w:ascii="仿宋_GB2312" w:hAnsi="仿宋_GB2312" w:eastAsia="仿宋_GB2312" w:cs="仿宋_GB2312"/>
          <w:kern w:val="0"/>
          <w:sz w:val="28"/>
          <w:szCs w:val="28"/>
        </w:rPr>
      </w:pPr>
      <w:r>
        <w:rPr>
          <w:rFonts w:hint="eastAsia" w:ascii="宋体" w:hAnsi="宋体"/>
          <w:color w:val="000000"/>
          <w:szCs w:val="21"/>
        </w:rPr>
        <w:t>3.1 依据标准</w:t>
      </w:r>
    </w:p>
    <w:p>
      <w:pPr>
        <w:widowControl/>
        <w:spacing w:line="360" w:lineRule="auto"/>
        <w:ind w:firstLine="420" w:firstLineChars="200"/>
        <w:jc w:val="left"/>
        <w:rPr>
          <w:rFonts w:ascii="宋体" w:hAnsi="宋体"/>
          <w:color w:val="000000"/>
          <w:szCs w:val="21"/>
        </w:rPr>
      </w:pPr>
      <w:r>
        <w:rPr>
          <w:rFonts w:ascii="宋体" w:hAnsi="宋体"/>
          <w:color w:val="000000"/>
          <w:szCs w:val="21"/>
        </w:rPr>
        <w:t xml:space="preserve">GB 4806.1-2016 </w:t>
      </w:r>
      <w:r>
        <w:rPr>
          <w:rFonts w:hint="eastAsia" w:ascii="宋体" w:hAnsi="宋体"/>
          <w:color w:val="000000"/>
          <w:szCs w:val="21"/>
        </w:rPr>
        <w:t>食品安全国家标准食品接触材料及制品通用安全要求》</w:t>
      </w:r>
    </w:p>
    <w:p>
      <w:pPr>
        <w:widowControl/>
        <w:spacing w:line="360" w:lineRule="auto"/>
        <w:ind w:firstLine="420" w:firstLineChars="200"/>
        <w:jc w:val="left"/>
        <w:rPr>
          <w:rFonts w:ascii="宋体" w:hAnsi="宋体"/>
          <w:color w:val="000000"/>
          <w:szCs w:val="21"/>
        </w:rPr>
      </w:pPr>
      <w:r>
        <w:rPr>
          <w:rFonts w:ascii="宋体" w:hAnsi="宋体"/>
          <w:color w:val="000000"/>
          <w:szCs w:val="21"/>
        </w:rPr>
        <w:t>GB 4806.6-2016</w:t>
      </w:r>
      <w:r>
        <w:rPr>
          <w:rFonts w:hint="eastAsia" w:ascii="宋体" w:hAnsi="宋体"/>
          <w:color w:val="000000"/>
          <w:szCs w:val="21"/>
        </w:rPr>
        <w:t>食品安全国家标准</w:t>
      </w:r>
      <w:r>
        <w:rPr>
          <w:rFonts w:ascii="宋体" w:hAnsi="宋体"/>
          <w:color w:val="000000"/>
          <w:szCs w:val="21"/>
        </w:rPr>
        <w:t xml:space="preserve"> </w:t>
      </w:r>
      <w:r>
        <w:rPr>
          <w:rFonts w:hint="eastAsia" w:ascii="宋体" w:hAnsi="宋体"/>
          <w:color w:val="000000"/>
          <w:szCs w:val="21"/>
        </w:rPr>
        <w:t>食品接触用塑料树脂</w:t>
      </w:r>
    </w:p>
    <w:p>
      <w:pPr>
        <w:widowControl/>
        <w:spacing w:line="360" w:lineRule="auto"/>
        <w:ind w:firstLine="420" w:firstLineChars="200"/>
        <w:jc w:val="left"/>
        <w:rPr>
          <w:rFonts w:ascii="宋体" w:hAnsi="宋体"/>
          <w:color w:val="000000"/>
          <w:szCs w:val="21"/>
        </w:rPr>
      </w:pPr>
      <w:r>
        <w:rPr>
          <w:rFonts w:ascii="宋体" w:hAnsi="宋体"/>
          <w:color w:val="000000"/>
          <w:szCs w:val="21"/>
        </w:rPr>
        <w:t xml:space="preserve">GB 4806.7-2016 </w:t>
      </w:r>
      <w:r>
        <w:rPr>
          <w:rFonts w:hint="eastAsia" w:ascii="宋体" w:hAnsi="宋体"/>
          <w:color w:val="000000"/>
          <w:szCs w:val="21"/>
        </w:rPr>
        <w:t>食品安全国家标准</w:t>
      </w:r>
      <w:r>
        <w:rPr>
          <w:rFonts w:ascii="宋体" w:hAnsi="宋体"/>
          <w:color w:val="000000"/>
          <w:szCs w:val="21"/>
        </w:rPr>
        <w:t xml:space="preserve"> </w:t>
      </w:r>
      <w:r>
        <w:rPr>
          <w:rFonts w:hint="eastAsia" w:ascii="宋体" w:hAnsi="宋体"/>
          <w:color w:val="000000"/>
          <w:szCs w:val="21"/>
        </w:rPr>
        <w:t>食品接触材料及制品</w:t>
      </w:r>
    </w:p>
    <w:p>
      <w:pPr>
        <w:widowControl/>
        <w:spacing w:line="360" w:lineRule="auto"/>
        <w:ind w:firstLine="420" w:firstLineChars="200"/>
        <w:jc w:val="left"/>
        <w:rPr>
          <w:rFonts w:ascii="宋体" w:hAnsi="宋体"/>
          <w:color w:val="000000"/>
          <w:szCs w:val="21"/>
        </w:rPr>
      </w:pPr>
      <w:r>
        <w:rPr>
          <w:rFonts w:ascii="宋体" w:hAnsi="宋体"/>
          <w:color w:val="000000"/>
          <w:szCs w:val="21"/>
        </w:rPr>
        <w:t>GB 9683-1988</w:t>
      </w:r>
      <w:r>
        <w:rPr>
          <w:rFonts w:hint="eastAsia" w:ascii="宋体" w:hAnsi="宋体"/>
          <w:color w:val="000000"/>
          <w:szCs w:val="21"/>
        </w:rPr>
        <w:t>《复合食品包装袋卫生标准》</w:t>
      </w:r>
    </w:p>
    <w:p>
      <w:pPr>
        <w:widowControl/>
        <w:spacing w:line="360" w:lineRule="auto"/>
        <w:ind w:firstLine="420" w:firstLineChars="200"/>
        <w:jc w:val="left"/>
        <w:rPr>
          <w:rFonts w:ascii="宋体" w:hAnsi="宋体"/>
          <w:color w:val="000000"/>
          <w:szCs w:val="21"/>
        </w:rPr>
      </w:pPr>
      <w:r>
        <w:rPr>
          <w:rFonts w:ascii="宋体" w:hAnsi="宋体"/>
          <w:color w:val="000000"/>
          <w:szCs w:val="21"/>
        </w:rPr>
        <w:t>GB/T 10004-2008</w:t>
      </w:r>
      <w:r>
        <w:rPr>
          <w:rFonts w:hint="eastAsia" w:ascii="宋体" w:hAnsi="宋体"/>
          <w:color w:val="000000"/>
          <w:szCs w:val="21"/>
        </w:rPr>
        <w:t>《包装用塑料复合膜、袋</w:t>
      </w:r>
      <w:r>
        <w:rPr>
          <w:rFonts w:ascii="宋体" w:hAnsi="宋体"/>
          <w:color w:val="000000"/>
          <w:szCs w:val="21"/>
        </w:rPr>
        <w:t xml:space="preserve"> </w:t>
      </w:r>
      <w:r>
        <w:rPr>
          <w:rFonts w:hint="eastAsia" w:ascii="宋体" w:hAnsi="宋体"/>
          <w:color w:val="000000"/>
          <w:szCs w:val="21"/>
        </w:rPr>
        <w:t>干法复合、挤出复合》</w:t>
      </w:r>
    </w:p>
    <w:p>
      <w:pPr>
        <w:widowControl/>
        <w:spacing w:line="360" w:lineRule="auto"/>
        <w:ind w:firstLine="420" w:firstLineChars="200"/>
        <w:jc w:val="left"/>
        <w:rPr>
          <w:rFonts w:ascii="宋体" w:hAnsi="宋体"/>
          <w:color w:val="000000"/>
          <w:szCs w:val="21"/>
        </w:rPr>
      </w:pPr>
      <w:r>
        <w:rPr>
          <w:rFonts w:ascii="宋体" w:hAnsi="宋体"/>
          <w:color w:val="000000"/>
          <w:szCs w:val="21"/>
        </w:rPr>
        <w:t>GB 9685-2008</w:t>
      </w:r>
      <w:r>
        <w:rPr>
          <w:rFonts w:hint="eastAsia" w:ascii="宋体" w:hAnsi="宋体"/>
          <w:color w:val="000000"/>
          <w:szCs w:val="21"/>
        </w:rPr>
        <w:t>食品容器、包装材料用添加剂使用卫生标准</w:t>
      </w:r>
    </w:p>
    <w:p>
      <w:pPr>
        <w:widowControl/>
        <w:spacing w:line="360" w:lineRule="auto"/>
        <w:ind w:firstLine="420" w:firstLineChars="200"/>
        <w:jc w:val="left"/>
        <w:rPr>
          <w:rFonts w:hint="eastAsia" w:ascii="宋体" w:hAnsi="宋体"/>
          <w:color w:val="000000"/>
          <w:szCs w:val="21"/>
        </w:rPr>
      </w:pPr>
      <w:bookmarkStart w:id="0" w:name="OLE_LINK2"/>
      <w:r>
        <w:rPr>
          <w:rFonts w:hint="eastAsia" w:ascii="宋体" w:hAnsi="宋体"/>
          <w:color w:val="000000"/>
          <w:szCs w:val="21"/>
        </w:rPr>
        <w:t>《食品相关产品生产许可实施细则（一）食品用塑料包装容器工具等制品部分》</w:t>
      </w:r>
      <w:bookmarkEnd w:id="0"/>
    </w:p>
    <w:p>
      <w:pPr>
        <w:widowControl/>
        <w:spacing w:line="360" w:lineRule="auto"/>
        <w:ind w:firstLine="420" w:firstLineChars="200"/>
        <w:jc w:val="left"/>
        <w:rPr>
          <w:rFonts w:hint="eastAsia" w:ascii="仿宋_GB2312" w:hAnsi="仿宋_GB2312" w:eastAsia="仿宋_GB2312" w:cs="仿宋_GB2312"/>
          <w:kern w:val="0"/>
          <w:sz w:val="28"/>
          <w:szCs w:val="28"/>
        </w:rPr>
      </w:pPr>
      <w:r>
        <w:rPr>
          <w:rFonts w:hint="eastAsia" w:ascii="宋体" w:hAnsi="宋体"/>
          <w:color w:val="000000"/>
          <w:szCs w:val="21"/>
        </w:rPr>
        <w:t>现行有效的企业标准、团体标准、地方标准及产品明示质量要求</w:t>
      </w:r>
    </w:p>
    <w:p>
      <w:pPr>
        <w:snapToGrid w:val="0"/>
        <w:spacing w:line="360" w:lineRule="auto"/>
        <w:outlineLvl w:val="0"/>
        <w:rPr>
          <w:rFonts w:ascii="宋体" w:hAnsi="宋体"/>
          <w:color w:val="000000"/>
          <w:szCs w:val="21"/>
        </w:rPr>
      </w:pPr>
      <w:r>
        <w:rPr>
          <w:rFonts w:hint="eastAsia" w:ascii="宋体" w:hAnsi="宋体"/>
          <w:color w:val="000000"/>
          <w:szCs w:val="21"/>
        </w:rPr>
        <w:t>3.2判定原则</w:t>
      </w:r>
    </w:p>
    <w:p>
      <w:pPr>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经检验，检验项目全部合格，判定为被抽查产品合格；检验项目中任一项或一项以上不合格，判定为被抽查产品不合格。当产品存在A类项目不合格时，属于严重不合格。</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因溶剂残留量（</w:t>
      </w:r>
      <w:r>
        <w:rPr>
          <w:rFonts w:hint="eastAsia" w:ascii="宋体" w:hAnsi="宋体" w:cs="仿宋_GB2312"/>
          <w:color w:val="000000"/>
          <w:szCs w:val="21"/>
        </w:rPr>
        <w:t>溶剂残留量总量</w:t>
      </w:r>
      <w:r>
        <w:rPr>
          <w:rFonts w:hint="eastAsia" w:ascii="宋体" w:hAnsi="宋体"/>
          <w:color w:val="000000"/>
          <w:szCs w:val="21"/>
        </w:rPr>
        <w:t>和</w:t>
      </w:r>
      <w:r>
        <w:rPr>
          <w:rFonts w:hint="eastAsia" w:ascii="宋体" w:hAnsi="宋体" w:cs="仿宋_GB2312"/>
          <w:color w:val="000000"/>
          <w:szCs w:val="21"/>
        </w:rPr>
        <w:t>苯类溶剂残留量</w:t>
      </w:r>
      <w:r>
        <w:rPr>
          <w:rFonts w:hint="eastAsia" w:ascii="宋体" w:hAnsi="宋体"/>
          <w:color w:val="000000"/>
          <w:szCs w:val="21"/>
        </w:rPr>
        <w:t>）易挥发、不稳定等特点，长期存放影响其残留本体含量，故溶剂残留量（</w:t>
      </w:r>
      <w:r>
        <w:rPr>
          <w:rFonts w:hint="eastAsia" w:ascii="宋体" w:hAnsi="宋体" w:cs="仿宋_GB2312"/>
          <w:color w:val="000000"/>
          <w:szCs w:val="21"/>
        </w:rPr>
        <w:t>溶剂残留量总量</w:t>
      </w:r>
      <w:r>
        <w:rPr>
          <w:rFonts w:hint="eastAsia" w:ascii="宋体" w:hAnsi="宋体"/>
          <w:color w:val="000000"/>
          <w:szCs w:val="21"/>
        </w:rPr>
        <w:t>和</w:t>
      </w:r>
      <w:r>
        <w:rPr>
          <w:rFonts w:hint="eastAsia" w:ascii="宋体" w:hAnsi="宋体" w:cs="仿宋_GB2312"/>
          <w:color w:val="000000"/>
          <w:szCs w:val="21"/>
        </w:rPr>
        <w:t>苯类溶剂残留量</w:t>
      </w:r>
      <w:r>
        <w:rPr>
          <w:rFonts w:hint="eastAsia" w:ascii="宋体" w:hAnsi="宋体"/>
          <w:color w:val="000000"/>
          <w:szCs w:val="21"/>
        </w:rPr>
        <w:t>）项目不合格不进行复检。</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54521526"/>
      <w:docPartObj>
        <w:docPartGallery w:val="AutoText"/>
      </w:docPartObj>
    </w:sdtPr>
    <w:sdtContent>
      <w:p>
        <w:pPr>
          <w:pStyle w:val="2"/>
          <w:jc w:val="right"/>
        </w:pPr>
        <w:r>
          <w:fldChar w:fldCharType="begin"/>
        </w:r>
        <w:r>
          <w:instrText xml:space="preserve">PAGE   \* MERGEFORMAT</w:instrText>
        </w:r>
        <w:r>
          <w:fldChar w:fldCharType="separate"/>
        </w:r>
        <w:r>
          <w:rPr>
            <w:lang w:val="zh-CN"/>
          </w:rPr>
          <w:t>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0FF9"/>
    <w:rsid w:val="002C7072"/>
    <w:rsid w:val="004D2989"/>
    <w:rsid w:val="00550B27"/>
    <w:rsid w:val="005A31A1"/>
    <w:rsid w:val="00665668"/>
    <w:rsid w:val="006E0B0F"/>
    <w:rsid w:val="00780562"/>
    <w:rsid w:val="009F4DFE"/>
    <w:rsid w:val="00BD098B"/>
    <w:rsid w:val="00DD0FF9"/>
    <w:rsid w:val="00EC3947"/>
    <w:rsid w:val="00EF59F1"/>
    <w:rsid w:val="00FF2195"/>
    <w:rsid w:val="5FD16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280</Words>
  <Characters>1598</Characters>
  <Lines>13</Lines>
  <Paragraphs>3</Paragraphs>
  <TotalTime>4</TotalTime>
  <ScaleCrop>false</ScaleCrop>
  <LinksUpToDate>false</LinksUpToDate>
  <CharactersWithSpaces>1875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2019-07-12T00:29:00Z</dcterms:created>
  <dc:creator>陈卓辉</dc:creator>
  <cp:lastModifiedBy>Administrator</cp:lastModifiedBy>
  <dcterms:modified xsi:type="dcterms:W3CDTF">2020-05-11T06:57:03Z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