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outlineLvl w:val="0"/>
        <w:rPr>
          <w:rFonts w:hint="eastAsia" w:ascii="方正小标宋简体" w:hAnsi="仿宋" w:eastAsia="方正小标宋简体" w:cs="方正仿宋简体"/>
          <w:bCs/>
          <w:color w:val="000000"/>
          <w:sz w:val="32"/>
          <w:szCs w:val="32"/>
        </w:rPr>
      </w:pPr>
      <w:r>
        <w:rPr>
          <w:rFonts w:hint="eastAsia" w:ascii="方正小标宋简体" w:hAnsi="仿宋" w:eastAsia="方正小标宋简体" w:cs="方正仿宋简体"/>
          <w:color w:val="000000"/>
          <w:sz w:val="32"/>
          <w:szCs w:val="32"/>
        </w:rPr>
        <w:t>江门市工业和商用电热食品加工设备</w:t>
      </w:r>
      <w:r>
        <w:rPr>
          <w:rFonts w:hint="eastAsia" w:ascii="方正小标宋简体" w:hAnsi="仿宋" w:eastAsia="方正小标宋简体" w:cs="方正仿宋简体"/>
          <w:bCs/>
          <w:color w:val="000000"/>
          <w:sz w:val="32"/>
          <w:szCs w:val="32"/>
        </w:rPr>
        <w:t>质量安全</w:t>
      </w:r>
    </w:p>
    <w:p>
      <w:pPr>
        <w:snapToGrid w:val="0"/>
        <w:spacing w:line="560" w:lineRule="exact"/>
        <w:jc w:val="center"/>
        <w:outlineLvl w:val="0"/>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bCs/>
          <w:color w:val="000000"/>
          <w:sz w:val="32"/>
          <w:szCs w:val="32"/>
        </w:rPr>
        <w:t>监督抽查</w:t>
      </w:r>
      <w:r>
        <w:rPr>
          <w:rFonts w:hint="eastAsia" w:ascii="方正小标宋简体" w:hAnsi="仿宋" w:eastAsia="方正小标宋简体" w:cs="方正仿宋简体"/>
          <w:color w:val="000000"/>
          <w:sz w:val="32"/>
          <w:szCs w:val="32"/>
        </w:rPr>
        <w:t>实施细则</w:t>
      </w:r>
    </w:p>
    <w:p>
      <w:pPr>
        <w:spacing w:line="360" w:lineRule="auto"/>
        <w:ind w:firstLine="420" w:firstLineChars="200"/>
        <w:rPr>
          <w:rFonts w:hint="eastAsia" w:ascii="宋体" w:hAnsi="宋体"/>
          <w:color w:val="000000"/>
          <w:szCs w:val="21"/>
        </w:rPr>
      </w:pPr>
    </w:p>
    <w:p>
      <w:pPr>
        <w:spacing w:line="360" w:lineRule="auto"/>
        <w:ind w:firstLine="420" w:firstLineChars="200"/>
        <w:rPr>
          <w:rFonts w:hint="eastAsia" w:ascii="仿宋_GB2312" w:hAnsi="仿宋_GB2312" w:eastAsia="仿宋_GB2312" w:cs="仿宋_GB2312"/>
          <w:color w:val="000000"/>
          <w:sz w:val="28"/>
          <w:szCs w:val="28"/>
        </w:rPr>
      </w:pPr>
      <w:bookmarkStart w:id="0" w:name="_GoBack"/>
      <w:bookmarkEnd w:id="0"/>
      <w:r>
        <w:rPr>
          <w:rFonts w:hint="eastAsia" w:ascii="宋体" w:hAnsi="宋体"/>
          <w:color w:val="000000"/>
          <w:szCs w:val="21"/>
        </w:rPr>
        <w:t>本细则适用于江门市生产环节中工业和商用电热食品加工设备产品的市级监督抽查。</w:t>
      </w:r>
    </w:p>
    <w:p>
      <w:pPr>
        <w:snapToGrid w:val="0"/>
        <w:spacing w:line="360" w:lineRule="auto"/>
        <w:rPr>
          <w:rFonts w:hint="eastAsia" w:ascii="黑体" w:hAnsi="宋体" w:eastAsia="黑体"/>
          <w:color w:val="000000"/>
          <w:szCs w:val="21"/>
        </w:rPr>
      </w:pPr>
      <w:r>
        <w:rPr>
          <w:rFonts w:hint="eastAsia" w:ascii="黑体" w:hAnsi="宋体" w:eastAsia="黑体"/>
          <w:color w:val="000000"/>
          <w:szCs w:val="21"/>
        </w:rPr>
        <w:t>1 抽样方法</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360" w:lineRule="auto"/>
        <w:ind w:firstLine="420" w:firstLineChars="200"/>
        <w:rPr>
          <w:rFonts w:hint="eastAsia" w:ascii="黑体" w:hAnsi="宋体" w:eastAsia="黑体"/>
          <w:color w:val="000000"/>
          <w:szCs w:val="21"/>
        </w:rPr>
      </w:pPr>
      <w:r>
        <w:rPr>
          <w:rFonts w:hint="eastAsia" w:ascii="宋体" w:hAnsi="宋体"/>
          <w:color w:val="000000"/>
          <w:szCs w:val="21"/>
        </w:rPr>
        <w:t>随机数一般可使用随机数表、随机数骰子或扑克牌等方法产生。</w:t>
      </w:r>
    </w:p>
    <w:p>
      <w:pPr>
        <w:spacing w:line="360" w:lineRule="auto"/>
        <w:rPr>
          <w:rFonts w:hint="eastAsia" w:ascii="黑体" w:hAnsi="宋体" w:eastAsia="黑体"/>
          <w:color w:val="000000"/>
          <w:szCs w:val="21"/>
        </w:rPr>
      </w:pPr>
      <w:r>
        <w:rPr>
          <w:rFonts w:hint="eastAsia" w:ascii="黑体" w:hAnsi="宋体" w:eastAsia="黑体"/>
          <w:color w:val="000000"/>
          <w:szCs w:val="21"/>
        </w:rPr>
        <w:t>2 检验依据</w:t>
      </w:r>
    </w:p>
    <w:p>
      <w:pPr>
        <w:widowControl/>
        <w:jc w:val="left"/>
        <w:rPr>
          <w:b/>
        </w:rPr>
      </w:pP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2018"/>
        <w:gridCol w:w="1733"/>
        <w:gridCol w:w="1938"/>
        <w:gridCol w:w="989"/>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55"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2018"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733"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1938" w:type="dxa"/>
            <w:vMerge w:val="restart"/>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1978" w:type="dxa"/>
            <w:gridSpan w:val="2"/>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55" w:type="dxa"/>
            <w:vMerge w:val="continue"/>
            <w:vAlign w:val="center"/>
          </w:tcPr>
          <w:p>
            <w:pPr>
              <w:widowControl/>
              <w:jc w:val="center"/>
              <w:textAlignment w:val="center"/>
              <w:rPr>
                <w:rFonts w:ascii="仿宋_GB2312" w:hAnsi="仿宋_GB2312" w:eastAsia="仿宋_GB2312" w:cs="仿宋_GB2312"/>
                <w:kern w:val="0"/>
                <w:szCs w:val="21"/>
              </w:rPr>
            </w:pPr>
          </w:p>
        </w:tc>
        <w:tc>
          <w:tcPr>
            <w:tcW w:w="2018" w:type="dxa"/>
            <w:vMerge w:val="continue"/>
            <w:vAlign w:val="center"/>
          </w:tcPr>
          <w:p>
            <w:pPr>
              <w:widowControl/>
              <w:jc w:val="center"/>
              <w:textAlignment w:val="center"/>
              <w:rPr>
                <w:rFonts w:ascii="仿宋_GB2312" w:hAnsi="仿宋_GB2312" w:eastAsia="仿宋_GB2312" w:cs="仿宋_GB2312"/>
                <w:kern w:val="0"/>
                <w:szCs w:val="21"/>
              </w:rPr>
            </w:pPr>
          </w:p>
        </w:tc>
        <w:tc>
          <w:tcPr>
            <w:tcW w:w="1733" w:type="dxa"/>
            <w:vMerge w:val="continue"/>
            <w:vAlign w:val="center"/>
          </w:tcPr>
          <w:p>
            <w:pPr>
              <w:widowControl/>
              <w:jc w:val="center"/>
              <w:textAlignment w:val="center"/>
              <w:rPr>
                <w:rFonts w:ascii="仿宋_GB2312" w:hAnsi="仿宋_GB2312" w:eastAsia="仿宋_GB2312" w:cs="仿宋_GB2312"/>
                <w:kern w:val="0"/>
                <w:szCs w:val="21"/>
              </w:rPr>
            </w:pPr>
          </w:p>
        </w:tc>
        <w:tc>
          <w:tcPr>
            <w:tcW w:w="1938" w:type="dxa"/>
            <w:vMerge w:val="continue"/>
            <w:vAlign w:val="center"/>
          </w:tcPr>
          <w:p>
            <w:pPr>
              <w:widowControl/>
              <w:jc w:val="center"/>
              <w:textAlignment w:val="center"/>
              <w:rPr>
                <w:rFonts w:ascii="仿宋_GB2312" w:hAnsi="仿宋_GB2312" w:eastAsia="仿宋_GB2312" w:cs="仿宋_GB2312"/>
                <w:kern w:val="0"/>
                <w:szCs w:val="21"/>
              </w:rPr>
            </w:pP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w:t>
            </w:r>
            <w:r>
              <w:rPr>
                <w:rFonts w:hint="eastAsia" w:ascii="仿宋_GB2312" w:hAnsi="仿宋_GB2312" w:eastAsia="仿宋_GB2312" w:cs="仿宋_GB2312"/>
                <w:kern w:val="0"/>
                <w:szCs w:val="21"/>
                <w:vertAlign w:val="superscript"/>
              </w:rPr>
              <w:t>a</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w:t>
            </w:r>
            <w:r>
              <w:rPr>
                <w:rFonts w:hint="eastAsia" w:ascii="仿宋_GB2312" w:hAnsi="仿宋_GB2312" w:eastAsia="仿宋_GB2312" w:cs="仿宋_GB2312"/>
                <w:kern w:val="0"/>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铅</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31604.34</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铬</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31604.25</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镉</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31604.24</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镍</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31604.33</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砷</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4806.9</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31604.38</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标志和说明</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对触及带电部件的防护</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输入功率和电流</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工作温度下的泄漏电流和电气强度</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泄漏电流和电气强度</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非正常工作</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14</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稳定性和机械危险</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机械强度</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16</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结构</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rPr>
                <w:rFonts w:ascii="仿宋_GB2312" w:hAnsi="仿宋_GB2312" w:eastAsia="仿宋_GB2312" w:cs="仿宋_GB2312"/>
                <w:kern w:val="0"/>
                <w:szCs w:val="21"/>
              </w:rPr>
            </w:pPr>
          </w:p>
        </w:tc>
        <w:tc>
          <w:tcPr>
            <w:tcW w:w="989" w:type="dxa"/>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17</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内部布线</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textAlignment w:val="center"/>
              <w:rPr>
                <w:rFonts w:ascii="仿宋_GB2312" w:hAnsi="仿宋_GB2312" w:eastAsia="仿宋_GB2312" w:cs="仿宋_GB2312"/>
                <w:kern w:val="0"/>
                <w:szCs w:val="21"/>
              </w:rPr>
            </w:pP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18</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电源连接和外部软线</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textAlignment w:val="center"/>
              <w:rPr>
                <w:rFonts w:ascii="仿宋_GB2312" w:hAnsi="仿宋_GB2312" w:eastAsia="仿宋_GB2312" w:cs="仿宋_GB2312"/>
                <w:kern w:val="0"/>
                <w:szCs w:val="21"/>
              </w:rPr>
            </w:pP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19</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外部导线用接线端子</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textAlignment w:val="center"/>
              <w:rPr>
                <w:rFonts w:ascii="仿宋_GB2312" w:hAnsi="仿宋_GB2312" w:eastAsia="仿宋_GB2312" w:cs="仿宋_GB2312"/>
                <w:kern w:val="0"/>
                <w:szCs w:val="21"/>
              </w:rPr>
            </w:pP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接地措施</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21</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螺钉和连接</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textAlignment w:val="center"/>
              <w:rPr>
                <w:rFonts w:ascii="仿宋_GB2312" w:hAnsi="仿宋_GB2312" w:eastAsia="仿宋_GB2312" w:cs="仿宋_GB2312"/>
                <w:kern w:val="0"/>
                <w:szCs w:val="21"/>
              </w:rPr>
            </w:pP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5"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22</w:t>
            </w:r>
          </w:p>
        </w:tc>
        <w:tc>
          <w:tcPr>
            <w:tcW w:w="201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电气间隙、爬电距离和固体绝缘</w:t>
            </w:r>
          </w:p>
        </w:tc>
        <w:tc>
          <w:tcPr>
            <w:tcW w:w="1733"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1938"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4706.40</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4706.39</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4706.37</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4706.36</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4706.35</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4706.34</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4706.33</w:t>
            </w:r>
          </w:p>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4706.52</w:t>
            </w:r>
          </w:p>
        </w:tc>
        <w:tc>
          <w:tcPr>
            <w:tcW w:w="989" w:type="dxa"/>
            <w:vAlign w:val="center"/>
          </w:tcPr>
          <w:p>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89" w:type="dxa"/>
            <w:vAlign w:val="center"/>
          </w:tcPr>
          <w:p>
            <w:pPr>
              <w:widowControl/>
              <w:jc w:val="center"/>
              <w:textAlignment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p>
            <w:pPr>
              <w:widowControl/>
              <w:ind w:firstLine="420" w:firstLineChars="200"/>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c马氏体型不锈钢材料不检测；</w:t>
            </w:r>
          </w:p>
          <w:p>
            <w:pPr>
              <w:widowControl/>
              <w:ind w:firstLine="420" w:firstLineChars="200"/>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d马氏体型不锈钢材料及制品不检测；</w:t>
            </w:r>
          </w:p>
          <w:p>
            <w:pPr>
              <w:widowControl/>
              <w:ind w:firstLine="420" w:firstLineChars="200"/>
              <w:jc w:val="left"/>
            </w:pPr>
            <w:r>
              <w:rPr>
                <w:rFonts w:hint="eastAsia" w:ascii="仿宋_GB2312" w:hAnsi="仿宋_GB2312" w:eastAsia="仿宋_GB2312" w:cs="仿宋_GB2312"/>
                <w:kern w:val="0"/>
                <w:szCs w:val="21"/>
              </w:rPr>
              <w:t>e与食品直接接触的除不锈钢外的其他金属材料及制品不检测。</w:t>
            </w:r>
          </w:p>
        </w:tc>
      </w:tr>
    </w:tbl>
    <w:p>
      <w:pPr>
        <w:spacing w:line="360" w:lineRule="auto"/>
        <w:rPr>
          <w:rFonts w:ascii="宋体" w:hAnsi="宋体"/>
          <w:szCs w:val="21"/>
        </w:rPr>
      </w:pPr>
      <w:r>
        <w:rPr>
          <w:rFonts w:hint="eastAsia" w:ascii="宋体" w:hAnsi="宋体"/>
          <w:szCs w:val="21"/>
        </w:rPr>
        <w:t>注：①极重要质量项目是指直接涉及人体健康、使用安全的指标；重要质量项目是指产品涉及环保、能效、关键性能或特征值的指标。</w:t>
      </w:r>
    </w:p>
    <w:p>
      <w:pPr>
        <w:spacing w:line="360" w:lineRule="auto"/>
        <w:ind w:firstLine="420" w:firstLineChars="200"/>
        <w:rPr>
          <w:rFonts w:ascii="仿宋_GB2312" w:hAnsi="仿宋_GB2312" w:eastAsia="仿宋_GB2312" w:cs="仿宋_GB2312"/>
          <w:szCs w:val="21"/>
        </w:rPr>
      </w:pPr>
      <w:r>
        <w:rPr>
          <w:rFonts w:hint="eastAsia" w:ascii="宋体" w:hAnsi="宋体"/>
          <w:szCs w:val="21"/>
        </w:rPr>
        <w:t>②上表所列检验项目是有关法律法规、标准等规定的，重点涉及健康、安全、节能、环保以及消费者、有关组织反映有质量问题的重要项目。</w:t>
      </w:r>
    </w:p>
    <w:p>
      <w:pPr>
        <w:spacing w:line="360" w:lineRule="auto"/>
        <w:ind w:firstLine="420" w:firstLineChars="200"/>
        <w:rPr>
          <w:rFonts w:hint="eastAsia" w:ascii="仿宋_GB2312" w:hAnsi="仿宋_GB2312" w:eastAsia="仿宋_GB2312" w:cs="仿宋_GB2312"/>
          <w:color w:val="000000"/>
          <w:sz w:val="28"/>
          <w:szCs w:val="28"/>
        </w:rPr>
      </w:pPr>
      <w:r>
        <w:rPr>
          <w:rFonts w:hint="eastAsia" w:ascii="宋体" w:hAnsi="宋体"/>
          <w:szCs w:val="21"/>
        </w:rPr>
        <w:t>凡是注日期的文件，其随后所有的修改单（不包括勘误的内容）或修订版不适用于本细则。凡是不注日期的文件，其最新版本适用于本细则。</w:t>
      </w:r>
    </w:p>
    <w:p>
      <w:pPr>
        <w:spacing w:line="360" w:lineRule="auto"/>
        <w:rPr>
          <w:rFonts w:ascii="仿宋_GB2312" w:hAnsi="仿宋_GB2312" w:eastAsia="仿宋_GB2312" w:cs="仿宋_GB2312"/>
          <w:color w:val="000000"/>
          <w:sz w:val="28"/>
          <w:szCs w:val="28"/>
        </w:rPr>
      </w:pPr>
      <w:r>
        <w:rPr>
          <w:rFonts w:hint="eastAsia" w:ascii="黑体" w:hAnsi="宋体" w:eastAsia="黑体"/>
          <w:color w:val="000000"/>
          <w:szCs w:val="21"/>
        </w:rPr>
        <w:t>3 判定规则</w:t>
      </w:r>
    </w:p>
    <w:p>
      <w:pPr>
        <w:snapToGrid w:val="0"/>
        <w:spacing w:line="360" w:lineRule="auto"/>
        <w:rPr>
          <w:rFonts w:ascii="宋体" w:hAnsi="宋体"/>
          <w:color w:val="000000"/>
          <w:szCs w:val="21"/>
        </w:rPr>
      </w:pPr>
      <w:r>
        <w:rPr>
          <w:rFonts w:hint="eastAsia" w:ascii="宋体" w:hAnsi="宋体"/>
          <w:color w:val="000000"/>
          <w:szCs w:val="21"/>
        </w:rPr>
        <w:t>3.1 依据标准</w:t>
      </w:r>
    </w:p>
    <w:p>
      <w:pPr>
        <w:spacing w:line="360" w:lineRule="auto"/>
        <w:ind w:firstLine="420" w:firstLineChars="200"/>
        <w:rPr>
          <w:rFonts w:ascii="宋体" w:hAnsi="宋体"/>
          <w:color w:val="000000"/>
          <w:szCs w:val="21"/>
        </w:rPr>
      </w:pPr>
      <w:r>
        <w:rPr>
          <w:rFonts w:hint="eastAsia" w:ascii="宋体" w:hAnsi="宋体"/>
          <w:color w:val="000000"/>
          <w:szCs w:val="21"/>
        </w:rPr>
        <w:t>GB 4806.9-2016《食品安全国家标准 食品接触用金属材料及制品》（2017-4-19实施）</w:t>
      </w:r>
    </w:p>
    <w:p>
      <w:pPr>
        <w:spacing w:line="360" w:lineRule="auto"/>
        <w:ind w:firstLine="420" w:firstLineChars="200"/>
        <w:rPr>
          <w:rFonts w:ascii="宋体" w:hAnsi="宋体"/>
          <w:color w:val="000000"/>
          <w:szCs w:val="21"/>
        </w:rPr>
      </w:pPr>
      <w:r>
        <w:rPr>
          <w:rFonts w:hint="eastAsia" w:ascii="宋体" w:hAnsi="宋体"/>
          <w:color w:val="000000"/>
          <w:szCs w:val="21"/>
        </w:rPr>
        <w:t>GB 31604.24-2016《食品安全国家标准 食品接触材料及制品 镉迁移量的测定》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31604.25-2016《食品安全国家标准 食品接触材料及制品 铬迁移量的测定》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31604.33-2016《食品安全国家标准 食品接触材料及制品 镍迁移量的测定》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31604.34-2016《食品安全国家标准 食品接触材料及制品 铅的测定和迁移量的测定》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31604.38-2016《食品安全国家标准 食品接触材料及制品 砷的测定和迁移量的测定》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31604.49-2016《食品安全国家标准 食品接触材料及制品 砷、镉、铬、铅的测定和砷、镉、铬、镍、铅、锑、锌迁移量的测定》</w:t>
      </w:r>
    </w:p>
    <w:p>
      <w:pPr>
        <w:spacing w:line="360" w:lineRule="auto"/>
        <w:ind w:firstLine="420" w:firstLineChars="200"/>
        <w:rPr>
          <w:rFonts w:ascii="宋体" w:hAnsi="宋体"/>
          <w:color w:val="000000"/>
          <w:szCs w:val="21"/>
        </w:rPr>
      </w:pPr>
      <w:r>
        <w:rPr>
          <w:rFonts w:hint="eastAsia" w:ascii="宋体" w:hAnsi="宋体"/>
          <w:color w:val="000000"/>
          <w:szCs w:val="21"/>
        </w:rPr>
        <w:t>GB 16798-1997《食品机械安全卫生》</w:t>
      </w:r>
    </w:p>
    <w:p>
      <w:pPr>
        <w:spacing w:line="360" w:lineRule="auto"/>
        <w:ind w:firstLine="420" w:firstLineChars="200"/>
        <w:rPr>
          <w:rFonts w:ascii="宋体" w:hAnsi="宋体"/>
          <w:color w:val="000000"/>
          <w:szCs w:val="21"/>
        </w:rPr>
      </w:pPr>
      <w:r>
        <w:rPr>
          <w:rFonts w:ascii="宋体" w:hAnsi="宋体"/>
          <w:color w:val="000000"/>
          <w:szCs w:val="21"/>
        </w:rPr>
        <w:t>GB 5226.1-2008《机械电气安全</w:t>
      </w:r>
      <w:r>
        <w:rPr>
          <w:rFonts w:hint="eastAsia" w:ascii="宋体" w:hAnsi="宋体"/>
          <w:color w:val="000000"/>
          <w:szCs w:val="21"/>
        </w:rPr>
        <w:t xml:space="preserve">  </w:t>
      </w:r>
      <w:r>
        <w:rPr>
          <w:rFonts w:ascii="宋体" w:hAnsi="宋体"/>
          <w:color w:val="000000"/>
          <w:szCs w:val="21"/>
        </w:rPr>
        <w:t>机械电气设备</w:t>
      </w:r>
      <w:r>
        <w:rPr>
          <w:rFonts w:hint="eastAsia" w:ascii="宋体" w:hAnsi="宋体"/>
          <w:color w:val="000000"/>
          <w:szCs w:val="21"/>
        </w:rPr>
        <w:t xml:space="preserve">  </w:t>
      </w:r>
      <w:r>
        <w:rPr>
          <w:rFonts w:ascii="宋体" w:hAnsi="宋体"/>
          <w:color w:val="000000"/>
          <w:szCs w:val="21"/>
        </w:rPr>
        <w:t>第1部分：通用技术条件》</w:t>
      </w:r>
    </w:p>
    <w:p>
      <w:pPr>
        <w:spacing w:line="360" w:lineRule="auto"/>
        <w:ind w:firstLine="420" w:firstLineChars="200"/>
        <w:rPr>
          <w:rFonts w:ascii="宋体" w:hAnsi="宋体"/>
          <w:color w:val="000000"/>
          <w:szCs w:val="21"/>
        </w:rPr>
      </w:pPr>
      <w:r>
        <w:rPr>
          <w:rFonts w:hint="eastAsia" w:ascii="宋体" w:hAnsi="宋体"/>
          <w:color w:val="000000"/>
          <w:szCs w:val="21"/>
        </w:rPr>
        <w:t>GB 4706.40-2008  《家用和类似用途电器的安全 商用多用途电平锅的特殊要求》</w:t>
      </w:r>
    </w:p>
    <w:p>
      <w:pPr>
        <w:spacing w:line="360" w:lineRule="auto"/>
        <w:ind w:firstLine="420" w:firstLineChars="200"/>
        <w:rPr>
          <w:rFonts w:hint="eastAsia" w:ascii="宋体" w:hAnsi="宋体"/>
          <w:color w:val="000000"/>
          <w:szCs w:val="21"/>
        </w:rPr>
      </w:pPr>
      <w:r>
        <w:rPr>
          <w:rFonts w:hint="eastAsia" w:ascii="宋体" w:hAnsi="宋体"/>
          <w:color w:val="000000"/>
          <w:szCs w:val="21"/>
        </w:rPr>
        <w:t>GB 4706.39-2008  《家用和类似用途电器的安全 商用电烤炉和烤面包炉的特殊要求》</w:t>
      </w:r>
    </w:p>
    <w:p>
      <w:pPr>
        <w:spacing w:line="360" w:lineRule="auto"/>
        <w:ind w:firstLine="420" w:firstLineChars="200"/>
        <w:rPr>
          <w:rFonts w:ascii="宋体" w:hAnsi="宋体"/>
          <w:color w:val="000000"/>
          <w:szCs w:val="21"/>
        </w:rPr>
      </w:pPr>
      <w:r>
        <w:rPr>
          <w:rFonts w:hint="eastAsia" w:ascii="宋体" w:hAnsi="宋体"/>
          <w:color w:val="000000"/>
          <w:szCs w:val="21"/>
        </w:rPr>
        <w:t>GB4706.37-2008《家用和类似用途电器的安全 商用单双面电热铛的特殊要求》</w:t>
      </w:r>
    </w:p>
    <w:p>
      <w:pPr>
        <w:spacing w:line="360" w:lineRule="auto"/>
        <w:ind w:firstLine="420" w:firstLineChars="200"/>
        <w:rPr>
          <w:rFonts w:ascii="宋体" w:hAnsi="宋体"/>
          <w:color w:val="000000"/>
          <w:szCs w:val="21"/>
        </w:rPr>
      </w:pPr>
      <w:r>
        <w:rPr>
          <w:rFonts w:hint="eastAsia" w:ascii="宋体" w:hAnsi="宋体"/>
          <w:color w:val="000000"/>
          <w:szCs w:val="21"/>
        </w:rPr>
        <w:t>GB 4706.36-2014  《家用和类似用途电器的安全 商用电开水器和液体加热器的特殊要求》</w:t>
      </w:r>
    </w:p>
    <w:p>
      <w:pPr>
        <w:spacing w:line="360" w:lineRule="auto"/>
        <w:ind w:firstLine="420" w:firstLineChars="200"/>
        <w:rPr>
          <w:rFonts w:ascii="宋体" w:hAnsi="宋体"/>
          <w:color w:val="000000"/>
          <w:szCs w:val="21"/>
        </w:rPr>
      </w:pPr>
      <w:r>
        <w:rPr>
          <w:rFonts w:hint="eastAsia" w:ascii="宋体" w:hAnsi="宋体"/>
          <w:color w:val="000000"/>
          <w:szCs w:val="21"/>
        </w:rPr>
        <w:t>GB 4706.35-2008  《家用和类似用途电器的安全 商用电煮锅的特殊要求》</w:t>
      </w:r>
    </w:p>
    <w:p>
      <w:pPr>
        <w:spacing w:line="360" w:lineRule="auto"/>
        <w:ind w:firstLine="420" w:firstLineChars="200"/>
        <w:rPr>
          <w:rFonts w:ascii="宋体" w:hAnsi="宋体"/>
          <w:color w:val="000000"/>
          <w:szCs w:val="21"/>
        </w:rPr>
      </w:pPr>
      <w:r>
        <w:rPr>
          <w:rFonts w:hint="eastAsia" w:ascii="宋体" w:hAnsi="宋体"/>
          <w:color w:val="000000"/>
          <w:szCs w:val="21"/>
        </w:rPr>
        <w:t>GB 4706.34-2008  《家用和类似用途电器的安全 商用电强制对流烤炉、蒸汽炊具和蒸汽对流炉的特殊要求》</w:t>
      </w:r>
    </w:p>
    <w:p>
      <w:pPr>
        <w:spacing w:line="360" w:lineRule="auto"/>
        <w:ind w:firstLine="420" w:firstLineChars="200"/>
        <w:rPr>
          <w:rFonts w:ascii="宋体" w:hAnsi="宋体"/>
          <w:color w:val="000000"/>
          <w:szCs w:val="21"/>
        </w:rPr>
      </w:pPr>
      <w:r>
        <w:rPr>
          <w:rFonts w:hint="eastAsia" w:ascii="宋体" w:hAnsi="宋体"/>
          <w:color w:val="000000"/>
          <w:szCs w:val="21"/>
        </w:rPr>
        <w:t>GB 4706.33-2008  《家用和类似用途电器的安全 商用电深油炸锅的特殊要求》</w:t>
      </w:r>
    </w:p>
    <w:p>
      <w:pPr>
        <w:spacing w:line="360" w:lineRule="auto"/>
        <w:ind w:firstLine="420" w:firstLineChars="200"/>
        <w:rPr>
          <w:rFonts w:hint="eastAsia" w:ascii="宋体" w:hAnsi="宋体"/>
          <w:color w:val="000000"/>
          <w:szCs w:val="21"/>
        </w:rPr>
      </w:pPr>
      <w:r>
        <w:rPr>
          <w:rFonts w:hint="eastAsia" w:ascii="宋体" w:hAnsi="宋体"/>
          <w:color w:val="000000"/>
          <w:szCs w:val="21"/>
        </w:rPr>
        <w:t>GB 4706.52-2008  《家用和类似用途电器的安全 商用电炉灶、烤箱、灶和灶单元的特殊要求》</w:t>
      </w:r>
    </w:p>
    <w:p>
      <w:pPr>
        <w:spacing w:line="360" w:lineRule="auto"/>
        <w:ind w:firstLine="420" w:firstLineChars="200"/>
        <w:rPr>
          <w:rFonts w:ascii="宋体" w:hAnsi="宋体"/>
          <w:color w:val="000000"/>
          <w:szCs w:val="21"/>
        </w:rPr>
      </w:pPr>
      <w:r>
        <w:rPr>
          <w:rFonts w:hint="eastAsia" w:ascii="宋体" w:hAnsi="宋体"/>
          <w:color w:val="000000"/>
          <w:szCs w:val="21"/>
        </w:rPr>
        <w:t>其他现行有效的国家标准、企业标准、团体标准、地方标准及产品明示质量要求</w:t>
      </w:r>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360" w:lineRule="auto"/>
        <w:ind w:firstLine="420" w:firstLineChars="200"/>
        <w:rPr>
          <w:rFonts w:ascii="仿宋_GB2312" w:hAnsi="仿宋_GB2312" w:eastAsia="仿宋_GB2312" w:cs="仿宋_GB2312"/>
          <w:sz w:val="28"/>
          <w:szCs w:val="28"/>
        </w:rPr>
      </w:pPr>
      <w:r>
        <w:rPr>
          <w:rFonts w:hint="eastAsia" w:ascii="宋体" w:hAnsi="宋体"/>
          <w:color w:val="000000"/>
          <w:szCs w:val="21"/>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0997487"/>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3F50"/>
    <w:rsid w:val="00144ECD"/>
    <w:rsid w:val="003013E1"/>
    <w:rsid w:val="00312B7C"/>
    <w:rsid w:val="003B3F50"/>
    <w:rsid w:val="004D2989"/>
    <w:rsid w:val="004E4E4A"/>
    <w:rsid w:val="005C4FD3"/>
    <w:rsid w:val="00814007"/>
    <w:rsid w:val="00984E76"/>
    <w:rsid w:val="009A5092"/>
    <w:rsid w:val="00A866B3"/>
    <w:rsid w:val="00DD4CC6"/>
    <w:rsid w:val="00E17100"/>
    <w:rsid w:val="129C606F"/>
    <w:rsid w:val="44CC5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704</Words>
  <Characters>4013</Characters>
  <Lines>33</Lines>
  <Paragraphs>9</Paragraphs>
  <TotalTime>7</TotalTime>
  <ScaleCrop>false</ScaleCrop>
  <LinksUpToDate>false</LinksUpToDate>
  <CharactersWithSpaces>4708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2019-07-12T00:26:00Z</dcterms:created>
  <dc:creator>陈卓辉</dc:creator>
  <cp:lastModifiedBy>Administrator</cp:lastModifiedBy>
  <dcterms:modified xsi:type="dcterms:W3CDTF">2020-05-11T06:57:45Z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